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FC9DE" w14:textId="0952252C" w:rsidR="00625DC6" w:rsidRPr="001954E9" w:rsidRDefault="00B909B8"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52918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5669976" r:id="rId9"/>
        </w:object>
      </w:r>
    </w:p>
    <w:p w14:paraId="49300ECF"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53B4E7C6"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5E2C8932"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6D981D13"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FA060E7"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46B279A0" w14:textId="7777777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14:paraId="47F0C4C5"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7AB984A4" w14:textId="77777777"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14:paraId="3A2287EE"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59C59525" w14:textId="4E8D3BB6" w:rsidR="0092593B" w:rsidRDefault="0092593B" w:rsidP="00341E8F">
      <w:pPr>
        <w:widowControl w:val="0"/>
        <w:adjustRightInd w:val="0"/>
        <w:ind w:left="0" w:right="20"/>
        <w:jc w:val="both"/>
        <w:rPr>
          <w:rFonts w:ascii="Bookman Old Style" w:hAnsi="Bookman Old Style" w:cs="Arial"/>
          <w:lang w:val="es-ES_tradnl"/>
        </w:rPr>
      </w:pPr>
    </w:p>
    <w:p w14:paraId="1B38958D" w14:textId="77777777" w:rsidR="00CC4E45" w:rsidRPr="001954E9" w:rsidRDefault="00CC4E45" w:rsidP="00341E8F">
      <w:pPr>
        <w:widowControl w:val="0"/>
        <w:adjustRightInd w:val="0"/>
        <w:ind w:left="0" w:right="20"/>
        <w:jc w:val="both"/>
        <w:rPr>
          <w:rFonts w:ascii="Bookman Old Style" w:hAnsi="Bookman Old Style" w:cs="Arial"/>
          <w:lang w:val="es-ES_tradnl"/>
        </w:rPr>
      </w:pPr>
    </w:p>
    <w:p w14:paraId="0BF78490" w14:textId="77777777" w:rsidR="00280C73" w:rsidRPr="00341E8F" w:rsidRDefault="00273C2C" w:rsidP="00556CEB">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280C73">
        <w:rPr>
          <w:rFonts w:ascii="Bookman Old Style" w:hAnsi="Bookman Old Style" w:cs="Arial"/>
          <w:lang w:val="es-ES_tradnl"/>
        </w:rPr>
        <w:t xml:space="preserve">los </w:t>
      </w:r>
      <w:r w:rsidR="00C62CA2" w:rsidRPr="00C62CA2">
        <w:rPr>
          <w:rFonts w:ascii="Bookman Old Style" w:hAnsi="Bookman Old Style" w:cs="Arial"/>
          <w:lang w:val="es-ES_tradnl"/>
        </w:rPr>
        <w:t xml:space="preserve">centros poblados de </w:t>
      </w:r>
      <w:r w:rsidR="00B60A02">
        <w:rPr>
          <w:rFonts w:ascii="Bookman Old Style" w:hAnsi="Bookman Old Style" w:cs="Arial"/>
          <w:lang w:val="es-ES_tradnl"/>
        </w:rPr>
        <w:t>Jaraquiel</w:t>
      </w:r>
      <w:r w:rsidR="00B860E3">
        <w:rPr>
          <w:rFonts w:ascii="Bookman Old Style" w:hAnsi="Bookman Old Style" w:cs="Arial"/>
          <w:lang w:val="es-ES_tradnl"/>
        </w:rPr>
        <w:t xml:space="preserve"> y</w:t>
      </w:r>
      <w:r w:rsidR="00B60A02">
        <w:rPr>
          <w:rFonts w:ascii="Bookman Old Style" w:hAnsi="Bookman Old Style" w:cs="Arial"/>
          <w:lang w:val="es-ES_tradnl"/>
        </w:rPr>
        <w:t xml:space="preserve"> Sierra Chiquita</w:t>
      </w:r>
      <w:r w:rsidR="00B860E3">
        <w:rPr>
          <w:rFonts w:ascii="Bookman Old Style" w:hAnsi="Bookman Old Style" w:cs="Arial"/>
          <w:lang w:val="es-ES_tradnl"/>
        </w:rPr>
        <w:t xml:space="preserve"> </w:t>
      </w:r>
      <w:r w:rsidR="00B60A02">
        <w:rPr>
          <w:rFonts w:ascii="Bookman Old Style" w:hAnsi="Bookman Old Style" w:cs="Arial"/>
          <w:lang w:val="es-ES_tradnl"/>
        </w:rPr>
        <w:t xml:space="preserve">en el </w:t>
      </w:r>
      <w:r w:rsidR="00C62CA2" w:rsidRPr="00C62CA2">
        <w:rPr>
          <w:rFonts w:ascii="Bookman Old Style" w:hAnsi="Bookman Old Style" w:cs="Arial"/>
          <w:lang w:val="es-ES_tradnl"/>
        </w:rPr>
        <w:t xml:space="preserve">municipio de </w:t>
      </w:r>
      <w:r w:rsidR="00B60A02">
        <w:rPr>
          <w:rFonts w:ascii="Bookman Old Style" w:hAnsi="Bookman Old Style" w:cs="Arial"/>
          <w:lang w:val="es-ES_tradnl"/>
        </w:rPr>
        <w:t>Montería; Rabolargo, San Antonio y El Cedro en el municipio de Cereté,</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 xml:space="preserve">departamento de </w:t>
      </w:r>
      <w:r w:rsidR="00B60A02">
        <w:rPr>
          <w:rFonts w:ascii="Bookman Old Style" w:hAnsi="Bookman Old Style" w:cs="Arial"/>
          <w:lang w:val="es-ES_tradnl"/>
        </w:rPr>
        <w:t>Córdoba</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B60A02">
        <w:rPr>
          <w:rFonts w:ascii="Bookman Old Style" w:hAnsi="Bookman Old Style" w:cs="Arial"/>
          <w:lang w:val="es-ES_tradnl"/>
        </w:rPr>
        <w:t>JADAPE</w:t>
      </w:r>
      <w:r w:rsidR="00B860E3">
        <w:rPr>
          <w:rFonts w:ascii="Bookman Old Style" w:hAnsi="Bookman Old Style" w:cs="Arial"/>
          <w:lang w:val="es-ES_tradnl"/>
        </w:rPr>
        <w:t xml:space="preserve"> </w:t>
      </w:r>
      <w:r w:rsidR="00280C73">
        <w:rPr>
          <w:rFonts w:ascii="Bookman Old Style" w:hAnsi="Bookman Old Style" w:cs="Arial"/>
          <w:lang w:val="es-ES_tradnl"/>
        </w:rPr>
        <w:t>S.A.</w:t>
      </w:r>
      <w:r w:rsidR="00B60A02">
        <w:rPr>
          <w:rFonts w:ascii="Bookman Old Style" w:hAnsi="Bookman Old Style" w:cs="Arial"/>
          <w:lang w:val="es-ES_tradnl"/>
        </w:rPr>
        <w:t>S.</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14:paraId="31A52CCE"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3467E658" w14:textId="77777777" w:rsidR="00273C2C" w:rsidRPr="00CC4E45" w:rsidRDefault="00273C2C" w:rsidP="00341E8F">
      <w:pPr>
        <w:widowControl w:val="0"/>
        <w:adjustRightInd w:val="0"/>
        <w:ind w:left="0" w:right="20"/>
        <w:jc w:val="both"/>
        <w:rPr>
          <w:rFonts w:ascii="Bookman Old Style" w:hAnsi="Bookman Old Style" w:cs="Arial"/>
          <w:lang w:val="es-ES_tradnl"/>
        </w:rPr>
      </w:pPr>
    </w:p>
    <w:p w14:paraId="10FC8DF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43E022D0" w14:textId="77777777" w:rsidR="00273C2C" w:rsidRPr="001954E9" w:rsidRDefault="00273C2C" w:rsidP="00341E8F">
      <w:pPr>
        <w:ind w:left="0"/>
        <w:jc w:val="both"/>
        <w:rPr>
          <w:rFonts w:ascii="Bookman Old Style" w:hAnsi="Bookman Old Style" w:cs="Arial"/>
          <w:b/>
        </w:rPr>
      </w:pPr>
    </w:p>
    <w:p w14:paraId="08A461BA" w14:textId="77777777" w:rsidR="00273C2C" w:rsidRPr="001954E9" w:rsidRDefault="00273C2C" w:rsidP="00341E8F">
      <w:pPr>
        <w:ind w:left="0"/>
        <w:jc w:val="both"/>
        <w:rPr>
          <w:rFonts w:ascii="Bookman Old Style" w:hAnsi="Bookman Old Style" w:cs="Arial"/>
        </w:rPr>
      </w:pPr>
    </w:p>
    <w:p w14:paraId="2545E015" w14:textId="77777777"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04B2525C" w14:textId="77777777" w:rsidR="00273C2C" w:rsidRPr="001954E9" w:rsidRDefault="00273C2C" w:rsidP="00341E8F">
      <w:pPr>
        <w:ind w:left="0"/>
        <w:jc w:val="both"/>
        <w:rPr>
          <w:rFonts w:ascii="Bookman Old Style" w:hAnsi="Bookman Old Style" w:cs="Arial"/>
        </w:rPr>
      </w:pPr>
    </w:p>
    <w:p w14:paraId="480E46E6" w14:textId="77777777" w:rsidR="009D138E" w:rsidRPr="001954E9" w:rsidRDefault="009D138E" w:rsidP="00341E8F">
      <w:pPr>
        <w:ind w:left="0"/>
        <w:jc w:val="both"/>
        <w:rPr>
          <w:rFonts w:ascii="Bookman Old Style" w:hAnsi="Bookman Old Style" w:cs="Arial"/>
        </w:rPr>
      </w:pPr>
    </w:p>
    <w:p w14:paraId="66C2B739"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56FC0575" w14:textId="77777777" w:rsidR="00273C2C" w:rsidRPr="001954E9" w:rsidRDefault="00273C2C" w:rsidP="00341E8F">
      <w:pPr>
        <w:ind w:left="0"/>
        <w:jc w:val="both"/>
        <w:rPr>
          <w:rFonts w:ascii="Bookman Old Style" w:hAnsi="Bookman Old Style" w:cs="Arial"/>
          <w:b/>
        </w:rPr>
      </w:pPr>
    </w:p>
    <w:p w14:paraId="1D6A4E18" w14:textId="22D5D8F3"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A75A2">
        <w:rPr>
          <w:rFonts w:ascii="Bookman Old Style" w:hAnsi="Bookman Old Style" w:cs="Arial"/>
        </w:rPr>
        <w:t xml:space="preserve">Numeral </w:t>
      </w:r>
      <w:r w:rsidRPr="001954E9">
        <w:rPr>
          <w:rFonts w:ascii="Bookman Old Style" w:hAnsi="Bookman Old Style" w:cs="Arial"/>
        </w:rPr>
        <w:t xml:space="preserve">14.28 </w:t>
      </w:r>
      <w:r w:rsidR="00EA75A2">
        <w:rPr>
          <w:rFonts w:ascii="Bookman Old Style" w:hAnsi="Bookman Old Style" w:cs="Arial"/>
        </w:rPr>
        <w:t xml:space="preserve">del Artículo 14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1242BA79" w14:textId="667513FB"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EA75A2">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24F87FF0" w14:textId="348C740D"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A75A2">
        <w:rPr>
          <w:rFonts w:ascii="Bookman Old Style" w:hAnsi="Bookman Old Style" w:cs="Arial"/>
        </w:rPr>
        <w:t xml:space="preserve">Numeral </w:t>
      </w:r>
      <w:r w:rsidRPr="001954E9">
        <w:rPr>
          <w:rFonts w:ascii="Bookman Old Style" w:hAnsi="Bookman Old Style" w:cs="Arial"/>
        </w:rPr>
        <w:t xml:space="preserve"> 73.11 </w:t>
      </w:r>
      <w:r w:rsidR="00EA75A2">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6C50D4B4" w14:textId="0B4CF7D5"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EA75A2">
        <w:rPr>
          <w:rFonts w:ascii="Bookman Old Style" w:hAnsi="Bookman Old Style" w:cs="Arial"/>
        </w:rPr>
        <w:t xml:space="preserve">Numeral </w:t>
      </w:r>
      <w:r w:rsidRPr="001954E9">
        <w:rPr>
          <w:rFonts w:ascii="Bookman Old Style" w:hAnsi="Bookman Old Style" w:cs="Arial"/>
        </w:rPr>
        <w:t xml:space="preserve"> 88.1 </w:t>
      </w:r>
      <w:r w:rsidR="00EA75A2">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73FCF845" w14:textId="77777777"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14:paraId="4ACD6B13" w14:textId="77777777" w:rsidR="00A44502" w:rsidRPr="001954E9" w:rsidRDefault="007467F1" w:rsidP="00B860E3">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4591830E" w14:textId="77777777" w:rsidR="0000682F" w:rsidRPr="001954E9" w:rsidRDefault="0000682F" w:rsidP="00B860E3">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14:paraId="7A5D910A" w14:textId="77777777" w:rsidR="001C24F8" w:rsidRPr="001954E9" w:rsidRDefault="001C24F8" w:rsidP="00B860E3">
      <w:pPr>
        <w:spacing w:before="240" w:after="240"/>
        <w:ind w:left="0"/>
        <w:jc w:val="both"/>
        <w:rPr>
          <w:rFonts w:ascii="Bookman Old Style" w:hAnsi="Bookman Old Style" w:cs="Arial"/>
        </w:rPr>
      </w:pPr>
      <w:r w:rsidRPr="00657DE1">
        <w:rPr>
          <w:rFonts w:ascii="Bookman Old Style" w:hAnsi="Bookman Old Style"/>
          <w:lang w:val="es-ES_tradnl"/>
        </w:rPr>
        <w:t xml:space="preserve">Con la Resolución </w:t>
      </w:r>
      <w:r w:rsidRPr="00657DE1">
        <w:rPr>
          <w:rFonts w:ascii="Bookman Old Style" w:hAnsi="Bookman Old Style" w:cs="Arial"/>
        </w:rPr>
        <w:t>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r w:rsidRPr="001954E9">
        <w:rPr>
          <w:rFonts w:ascii="Bookman Old Style" w:hAnsi="Bookman Old Style" w:cs="Arial"/>
        </w:rPr>
        <w:t xml:space="preserve"> </w:t>
      </w:r>
    </w:p>
    <w:p w14:paraId="72922E7B" w14:textId="77777777" w:rsidR="00657DE1" w:rsidRDefault="001C24F8" w:rsidP="00B860E3">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14:paraId="6D0E1CA4" w14:textId="77777777"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 xml:space="preserve">En esta resolución, 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el artículo 4</w:t>
      </w:r>
      <w:r>
        <w:rPr>
          <w:rFonts w:ascii="Bookman Old Style" w:eastAsia="Calibri" w:hAnsi="Bookman Old Style"/>
          <w:lang w:val="es-CO" w:eastAsia="en-US"/>
        </w:rPr>
        <w:t>, se</w:t>
      </w:r>
      <w:r w:rsidRPr="00F92B41">
        <w:rPr>
          <w:rFonts w:ascii="Bookman Old Style" w:eastAsia="Calibri" w:hAnsi="Bookman Old Style"/>
          <w:lang w:val="es-CO" w:eastAsia="en-US"/>
        </w:rPr>
        <w:t xml:space="preserve"> </w:t>
      </w:r>
      <w:r>
        <w:rPr>
          <w:rFonts w:ascii="Bookman Old Style" w:eastAsia="Calibri" w:hAnsi="Bookman Old Style"/>
          <w:lang w:val="es-CO" w:eastAsia="en-US"/>
        </w:rPr>
        <w:t>establece</w:t>
      </w:r>
      <w:r w:rsidRPr="00F92B41">
        <w:rPr>
          <w:rFonts w:ascii="Bookman Old Style" w:eastAsia="Calibri" w:hAnsi="Bookman Old Style"/>
          <w:lang w:val="es-CO" w:eastAsia="en-US"/>
        </w:rPr>
        <w:t xml:space="preserve"> lo siguiente:</w:t>
      </w:r>
    </w:p>
    <w:p w14:paraId="516DB870" w14:textId="77777777"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14:paraId="79497A13" w14:textId="77777777"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icación del estatuto tributario aplicable a partir del año 2017; el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B860E3">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14:paraId="12DD1F7E" w14:textId="21049C19" w:rsidR="00657DE1" w:rsidRDefault="00FB305B" w:rsidP="00CC4E45">
      <w:pPr>
        <w:ind w:left="0"/>
        <w:jc w:val="both"/>
        <w:rPr>
          <w:rFonts w:ascii="Bookman Old Style" w:eastAsia="Calibri" w:hAnsi="Bookman Old Style"/>
          <w:lang w:val="es-CO" w:eastAsia="en-US"/>
        </w:rPr>
      </w:pPr>
      <w:r>
        <w:rPr>
          <w:rFonts w:ascii="Bookman Old Style" w:eastAsia="Calibri" w:hAnsi="Bookman Old Style"/>
          <w:lang w:val="es-CO" w:eastAsia="en-US"/>
        </w:rPr>
        <w:t>Conforme</w:t>
      </w:r>
      <w:r w:rsidRPr="00F92B41">
        <w:rPr>
          <w:rFonts w:ascii="Bookman Old Style" w:eastAsia="Calibri" w:hAnsi="Bookman Old Style"/>
          <w:lang w:val="es-CO" w:eastAsia="en-US"/>
        </w:rPr>
        <w:t xml:space="preserve"> </w:t>
      </w:r>
      <w:r w:rsidR="00657DE1" w:rsidRPr="00F92B41">
        <w:rPr>
          <w:rFonts w:ascii="Bookman Old Style" w:eastAsia="Calibri" w:hAnsi="Bookman Old Style"/>
          <w:lang w:val="es-CO" w:eastAsia="en-US"/>
        </w:rPr>
        <w:t>lo previsto en la Resolución CREG 096 de 2015, la Comisión procede a hacer el ajuste de la respectiva tasa de descuento</w:t>
      </w:r>
      <w:r w:rsidR="00657DE1">
        <w:rPr>
          <w:rFonts w:ascii="Bookman Old Style" w:eastAsia="Calibri" w:hAnsi="Bookman Old Style"/>
          <w:lang w:val="es-CO" w:eastAsia="en-US"/>
        </w:rPr>
        <w:t>, cuyo valor es el siguiente:</w:t>
      </w:r>
    </w:p>
    <w:p w14:paraId="48E53E7A" w14:textId="225D61D0" w:rsidR="00CC4E45" w:rsidRDefault="00CC4E45" w:rsidP="00CC4E45">
      <w:pPr>
        <w:ind w:left="0"/>
        <w:jc w:val="both"/>
        <w:rPr>
          <w:rFonts w:ascii="Bookman Old Style" w:eastAsia="Calibri" w:hAnsi="Bookman Old Style"/>
          <w:lang w:val="es-CO" w:eastAsia="en-US"/>
        </w:rPr>
      </w:pPr>
    </w:p>
    <w:p w14:paraId="737E1B23" w14:textId="77777777" w:rsidR="00CC4E45" w:rsidRDefault="00CC4E45" w:rsidP="00CC4E45">
      <w:pPr>
        <w:ind w:left="0"/>
        <w:jc w:val="both"/>
        <w:rPr>
          <w:rFonts w:ascii="Bookman Old Style" w:eastAsia="Calibri" w:hAnsi="Bookman Old Style"/>
          <w:lang w:val="es-CO"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14:paraId="4A389BB3" w14:textId="77777777" w:rsidTr="00B860E3">
        <w:trPr>
          <w:trHeight w:val="422"/>
          <w:jc w:val="center"/>
        </w:trPr>
        <w:tc>
          <w:tcPr>
            <w:tcW w:w="2709" w:type="dxa"/>
            <w:shd w:val="clear" w:color="auto" w:fill="D9D9D9" w:themeFill="background1" w:themeFillShade="D9"/>
            <w:vAlign w:val="center"/>
          </w:tcPr>
          <w:p w14:paraId="480DF087" w14:textId="77777777" w:rsidR="00657DE1" w:rsidRPr="00B860E3" w:rsidRDefault="00657DE1" w:rsidP="00AD47C2">
            <w:pPr>
              <w:ind w:left="-16"/>
              <w:contextualSpacing/>
              <w:jc w:val="center"/>
              <w:rPr>
                <w:rFonts w:ascii="Bookman Old Style" w:hAnsi="Bookman Old Style" w:cs="Arial"/>
                <w:b/>
                <w:sz w:val="22"/>
                <w:szCs w:val="22"/>
                <w:lang w:val="es-CO"/>
              </w:rPr>
            </w:pPr>
            <w:r w:rsidRPr="00B860E3">
              <w:rPr>
                <w:rFonts w:ascii="Bookman Old Style" w:hAnsi="Bookman Old Style" w:cs="Arial"/>
                <w:b/>
                <w:sz w:val="22"/>
                <w:szCs w:val="22"/>
                <w:lang w:val="es-CO"/>
              </w:rPr>
              <w:t>Año</w:t>
            </w:r>
          </w:p>
        </w:tc>
        <w:tc>
          <w:tcPr>
            <w:tcW w:w="1579" w:type="dxa"/>
            <w:shd w:val="clear" w:color="auto" w:fill="D9D9D9" w:themeFill="background1" w:themeFillShade="D9"/>
            <w:vAlign w:val="center"/>
          </w:tcPr>
          <w:p w14:paraId="59D13705" w14:textId="77777777" w:rsidR="00657DE1" w:rsidRPr="00B860E3" w:rsidRDefault="00657DE1" w:rsidP="00AD47C2">
            <w:pPr>
              <w:ind w:left="-16"/>
              <w:contextualSpacing/>
              <w:jc w:val="center"/>
              <w:rPr>
                <w:rFonts w:ascii="Bookman Old Style" w:hAnsi="Bookman Old Style" w:cs="Arial"/>
                <w:b/>
                <w:sz w:val="22"/>
                <w:szCs w:val="22"/>
                <w:lang w:val="es-CO"/>
              </w:rPr>
            </w:pPr>
            <w:r w:rsidRPr="00B860E3">
              <w:rPr>
                <w:rFonts w:ascii="Bookman Old Style" w:hAnsi="Bookman Old Style" w:cs="Arial"/>
                <w:b/>
                <w:sz w:val="22"/>
                <w:szCs w:val="22"/>
                <w:lang w:val="es-CO"/>
              </w:rPr>
              <w:t>Tasa de descuento</w:t>
            </w:r>
          </w:p>
        </w:tc>
      </w:tr>
      <w:tr w:rsidR="00657DE1" w:rsidRPr="00195EC1" w14:paraId="19E8D605" w14:textId="77777777" w:rsidTr="00B860E3">
        <w:trPr>
          <w:trHeight w:val="228"/>
          <w:jc w:val="center"/>
        </w:trPr>
        <w:tc>
          <w:tcPr>
            <w:tcW w:w="2709" w:type="dxa"/>
            <w:shd w:val="clear" w:color="auto" w:fill="auto"/>
            <w:vAlign w:val="center"/>
          </w:tcPr>
          <w:p w14:paraId="78B9F68B" w14:textId="77777777" w:rsidR="00657DE1" w:rsidRPr="00B860E3" w:rsidRDefault="00657DE1" w:rsidP="00AD47C2">
            <w:pPr>
              <w:ind w:left="-16"/>
              <w:contextualSpacing/>
              <w:jc w:val="center"/>
              <w:rPr>
                <w:rFonts w:ascii="Bookman Old Style" w:hAnsi="Bookman Old Style" w:cs="Arial"/>
                <w:sz w:val="22"/>
                <w:szCs w:val="22"/>
                <w:lang w:val="es-CO"/>
              </w:rPr>
            </w:pPr>
            <w:r w:rsidRPr="00B860E3">
              <w:rPr>
                <w:rFonts w:ascii="Bookman Old Style" w:hAnsi="Bookman Old Style" w:cs="Arial"/>
                <w:sz w:val="22"/>
                <w:szCs w:val="22"/>
                <w:lang w:val="es-CO"/>
              </w:rPr>
              <w:t>2019 en adelante</w:t>
            </w:r>
          </w:p>
        </w:tc>
        <w:tc>
          <w:tcPr>
            <w:tcW w:w="1579" w:type="dxa"/>
            <w:shd w:val="clear" w:color="auto" w:fill="auto"/>
            <w:vAlign w:val="center"/>
          </w:tcPr>
          <w:p w14:paraId="11342E81" w14:textId="77777777" w:rsidR="00657DE1" w:rsidRPr="00B860E3" w:rsidRDefault="00657DE1" w:rsidP="00AD47C2">
            <w:pPr>
              <w:ind w:left="-16"/>
              <w:contextualSpacing/>
              <w:jc w:val="center"/>
              <w:rPr>
                <w:rFonts w:ascii="Bookman Old Style" w:hAnsi="Bookman Old Style" w:cs="Arial"/>
                <w:sz w:val="22"/>
                <w:szCs w:val="22"/>
                <w:lang w:val="es-CO"/>
              </w:rPr>
            </w:pPr>
            <w:r w:rsidRPr="00B860E3">
              <w:rPr>
                <w:rFonts w:ascii="Bookman Old Style" w:hAnsi="Bookman Old Style" w:cs="Arial"/>
                <w:sz w:val="22"/>
                <w:szCs w:val="22"/>
                <w:lang w:val="es-CO"/>
              </w:rPr>
              <w:t>12,30%</w:t>
            </w:r>
          </w:p>
        </w:tc>
      </w:tr>
    </w:tbl>
    <w:p w14:paraId="4248B21B" w14:textId="77777777" w:rsidR="00CC4E45" w:rsidRDefault="00CC4E45" w:rsidP="00CC4E45">
      <w:pPr>
        <w:adjustRightInd w:val="0"/>
        <w:spacing w:after="240"/>
        <w:ind w:left="0"/>
        <w:jc w:val="both"/>
        <w:rPr>
          <w:rFonts w:ascii="Bookman Old Style" w:hAnsi="Bookman Old Style" w:cs="Arial"/>
        </w:rPr>
      </w:pPr>
    </w:p>
    <w:p w14:paraId="1467386A" w14:textId="351A0543" w:rsidR="00034210" w:rsidRPr="00034210" w:rsidRDefault="00034210" w:rsidP="00CC4E45">
      <w:pPr>
        <w:adjustRightInd w:val="0"/>
        <w:spacing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 xml:space="preserve">proceso de presentación de solicitudes tarifarias para la aprobación de cargos de distribución de gas combustible por redes de tubería para nuevos mercados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14:paraId="56EBEFA2" w14:textId="77777777" w:rsidR="00E6146A" w:rsidRDefault="00E6146A" w:rsidP="00B860E3">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3454EB60" w14:textId="77777777" w:rsidR="001877F2" w:rsidRPr="00AF5F56" w:rsidRDefault="001877F2" w:rsidP="00B860E3">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14:paraId="38D68D54" w14:textId="77777777" w:rsidR="001877F2" w:rsidRPr="00AF5F56" w:rsidRDefault="001877F2" w:rsidP="00B860E3">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14:paraId="19F8A5FC" w14:textId="77777777" w:rsidR="001877F2" w:rsidRDefault="001877F2" w:rsidP="00B860E3">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sidR="00174788">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sidR="00F43112">
        <w:rPr>
          <w:rFonts w:ascii="Bookman Old Style" w:hAnsi="Bookman Old Style"/>
          <w:bCs/>
          <w:lang w:val="es-CO"/>
        </w:rPr>
        <w:t>.</w:t>
      </w:r>
    </w:p>
    <w:p w14:paraId="73047F8C" w14:textId="16F5DD55" w:rsidR="00F43112" w:rsidRPr="001954E9" w:rsidRDefault="00F43112" w:rsidP="00B860E3">
      <w:pPr>
        <w:spacing w:before="240" w:after="240"/>
        <w:ind w:left="0"/>
        <w:jc w:val="both"/>
        <w:outlineLvl w:val="0"/>
        <w:rPr>
          <w:rFonts w:ascii="Bookman Old Style" w:hAnsi="Bookman Old Style"/>
          <w:bCs/>
        </w:rPr>
      </w:pPr>
      <w:r>
        <w:rPr>
          <w:rFonts w:ascii="Bookman Old Style" w:hAnsi="Bookman Old Style"/>
          <w:bCs/>
          <w:lang w:val="es-CO"/>
        </w:rPr>
        <w:t>Así las cosas, las Resoluciones CREG 202 de 2013, 090 de 2018 y 13</w:t>
      </w:r>
      <w:r w:rsidR="00EA75A2">
        <w:rPr>
          <w:rFonts w:ascii="Bookman Old Style" w:hAnsi="Bookman Old Style"/>
          <w:bCs/>
          <w:lang w:val="es-CO"/>
        </w:rPr>
        <w:t>2</w:t>
      </w:r>
      <w:r>
        <w:rPr>
          <w:rFonts w:ascii="Bookman Old Style" w:hAnsi="Bookman Old Style"/>
          <w:bCs/>
          <w:lang w:val="es-CO"/>
        </w:rPr>
        <w:t xml:space="preserve"> de 2018 establecen los criterios generales para remunerar la actividad de distribución de gas combustible por redes de tubería</w:t>
      </w:r>
      <w:r w:rsidR="00E04DDE">
        <w:rPr>
          <w:rFonts w:ascii="Bookman Old Style" w:hAnsi="Bookman Old Style"/>
          <w:bCs/>
          <w:lang w:val="es-CO"/>
        </w:rPr>
        <w:t>.</w:t>
      </w:r>
    </w:p>
    <w:p w14:paraId="0E9E173F" w14:textId="77777777" w:rsidR="00F43112" w:rsidRDefault="00F43112" w:rsidP="00B860E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La aplicación de la fórmula tarifaria general inició a partir del 1 de enero de 2014 por un período de cinco años, sin perjuicio de lo establecido en el artículo 126 de la Ley 142 de 1994.</w:t>
      </w:r>
    </w:p>
    <w:p w14:paraId="61EE8940" w14:textId="77777777" w:rsidR="00075F96" w:rsidRDefault="003A46CB" w:rsidP="00B860E3">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F97224">
        <w:rPr>
          <w:rFonts w:ascii="Bookman Old Style" w:hAnsi="Bookman Old Style" w:cs="Arial"/>
        </w:rPr>
        <w:t>JADAPE</w:t>
      </w:r>
      <w:r w:rsidR="00AD3F3B" w:rsidRPr="00AD3F3B">
        <w:rPr>
          <w:rFonts w:ascii="Bookman Old Style" w:hAnsi="Bookman Old Style" w:cs="Arial"/>
        </w:rPr>
        <w:t xml:space="preserve"> S.A.</w:t>
      </w:r>
      <w:r w:rsidR="00F97224">
        <w:rPr>
          <w:rFonts w:ascii="Bookman Old Style" w:hAnsi="Bookman Old Style" w:cs="Arial"/>
        </w:rPr>
        <w:t>S.</w:t>
      </w:r>
      <w:r w:rsidR="00AD3F3B" w:rsidRPr="00AD3F3B">
        <w:rPr>
          <w:rFonts w:ascii="Bookman Old Style" w:hAnsi="Bookman Old Style" w:cs="Arial"/>
        </w:rPr>
        <w:t xml:space="preserve">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566054" w:rsidRPr="00075F96">
        <w:rPr>
          <w:rFonts w:ascii="Bookman Old Style" w:hAnsi="Bookman Old Style" w:cs="Arial"/>
        </w:rPr>
        <w:t>E-2018-0</w:t>
      </w:r>
      <w:r w:rsidR="00F97224">
        <w:rPr>
          <w:rFonts w:ascii="Bookman Old Style" w:hAnsi="Bookman Old Style" w:cs="Arial"/>
        </w:rPr>
        <w:t>14006</w:t>
      </w:r>
      <w:r w:rsidR="00566054" w:rsidRPr="00075F96">
        <w:rPr>
          <w:rFonts w:ascii="Bookman Old Style" w:hAnsi="Bookman Old Style" w:cs="Arial"/>
        </w:rPr>
        <w:t xml:space="preserve"> de </w:t>
      </w:r>
      <w:r w:rsidR="00F97224">
        <w:rPr>
          <w:rFonts w:ascii="Bookman Old Style" w:hAnsi="Bookman Old Style" w:cs="Arial"/>
        </w:rPr>
        <w:t>diciembre</w:t>
      </w:r>
      <w:r w:rsidR="00566054" w:rsidRPr="00075F96">
        <w:rPr>
          <w:rFonts w:ascii="Bookman Old Style" w:hAnsi="Bookman Old Style" w:cs="Arial"/>
        </w:rPr>
        <w:t xml:space="preserve"> </w:t>
      </w:r>
      <w:r w:rsidR="00F97224">
        <w:rPr>
          <w:rFonts w:ascii="Bookman Old Style" w:hAnsi="Bookman Old Style" w:cs="Arial"/>
        </w:rPr>
        <w:t>27</w:t>
      </w:r>
      <w:r w:rsidR="00566054" w:rsidRPr="00075F96">
        <w:rPr>
          <w:rFonts w:ascii="Bookman Old Style" w:hAnsi="Bookman Old Style" w:cs="Arial"/>
        </w:rPr>
        <w:t xml:space="preserve"> de 2018</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156E4C">
        <w:rPr>
          <w:rFonts w:ascii="Bookman Old Style" w:hAnsi="Bookman Old Style" w:cs="Arial"/>
        </w:rPr>
        <w:t>G</w:t>
      </w:r>
      <w:r w:rsidR="00B83ABE">
        <w:rPr>
          <w:rFonts w:ascii="Bookman Old Style" w:hAnsi="Bookman Old Style" w:cs="Arial"/>
        </w:rPr>
        <w:t>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los siguientes </w:t>
      </w:r>
      <w:r w:rsidR="00AD3F3B">
        <w:rPr>
          <w:rFonts w:ascii="Bookman Old Style" w:hAnsi="Bookman Old Style" w:cs="Arial"/>
        </w:rPr>
        <w:t>centros poblados</w:t>
      </w:r>
      <w:r w:rsidR="00075F96" w:rsidRPr="00075F96">
        <w:rPr>
          <w:rFonts w:ascii="Bookman Old Style" w:hAnsi="Bookman Old Style" w:cs="Arial"/>
        </w:rPr>
        <w:t>:</w:t>
      </w:r>
    </w:p>
    <w:tbl>
      <w:tblPr>
        <w:tblStyle w:val="Tablaconcuadrcula"/>
        <w:tblW w:w="0" w:type="auto"/>
        <w:jc w:val="center"/>
        <w:tblLook w:val="04A0" w:firstRow="1" w:lastRow="0" w:firstColumn="1" w:lastColumn="0" w:noHBand="0" w:noVBand="1"/>
      </w:tblPr>
      <w:tblGrid>
        <w:gridCol w:w="2405"/>
        <w:gridCol w:w="2410"/>
        <w:gridCol w:w="1559"/>
        <w:gridCol w:w="2369"/>
      </w:tblGrid>
      <w:tr w:rsidR="00F97224" w:rsidRPr="00F97224" w14:paraId="2FA0C0C2" w14:textId="77777777" w:rsidTr="00601A4E">
        <w:trPr>
          <w:jc w:val="center"/>
        </w:trPr>
        <w:tc>
          <w:tcPr>
            <w:tcW w:w="2405" w:type="dxa"/>
            <w:shd w:val="clear" w:color="auto" w:fill="D9D9D9" w:themeFill="background1" w:themeFillShade="D9"/>
            <w:vAlign w:val="center"/>
          </w:tcPr>
          <w:p w14:paraId="17145364" w14:textId="77777777" w:rsidR="00F97224" w:rsidRPr="00F97224" w:rsidRDefault="00F97224" w:rsidP="00F97224">
            <w:pPr>
              <w:keepNext/>
              <w:ind w:left="-119"/>
              <w:jc w:val="center"/>
              <w:rPr>
                <w:rFonts w:ascii="Bookman Old Style" w:hAnsi="Bookman Old Style" w:cs="Arial"/>
                <w:b/>
                <w:sz w:val="22"/>
              </w:rPr>
            </w:pPr>
            <w:r w:rsidRPr="00F97224">
              <w:rPr>
                <w:rFonts w:ascii="Bookman Old Style" w:hAnsi="Bookman Old Style" w:cs="Arial"/>
                <w:b/>
                <w:sz w:val="22"/>
              </w:rPr>
              <w:t>CODIGO DANE DEL CENTRO POBLADO</w:t>
            </w:r>
          </w:p>
        </w:tc>
        <w:tc>
          <w:tcPr>
            <w:tcW w:w="2410" w:type="dxa"/>
            <w:shd w:val="clear" w:color="auto" w:fill="D9D9D9" w:themeFill="background1" w:themeFillShade="D9"/>
            <w:vAlign w:val="center"/>
          </w:tcPr>
          <w:p w14:paraId="01CFCF77" w14:textId="77777777" w:rsidR="00F97224" w:rsidRPr="00F97224" w:rsidRDefault="00F97224" w:rsidP="00F97224">
            <w:pPr>
              <w:keepNext/>
              <w:ind w:left="-43"/>
              <w:jc w:val="center"/>
              <w:rPr>
                <w:rFonts w:ascii="Bookman Old Style" w:hAnsi="Bookman Old Style" w:cs="Arial"/>
                <w:b/>
                <w:sz w:val="22"/>
              </w:rPr>
            </w:pPr>
            <w:r w:rsidRPr="00F97224">
              <w:rPr>
                <w:rFonts w:ascii="Bookman Old Style" w:hAnsi="Bookman Old Style" w:cs="Arial"/>
                <w:b/>
                <w:sz w:val="22"/>
              </w:rPr>
              <w:t>CENTRO POBLADO</w:t>
            </w:r>
          </w:p>
        </w:tc>
        <w:tc>
          <w:tcPr>
            <w:tcW w:w="1559" w:type="dxa"/>
            <w:shd w:val="clear" w:color="auto" w:fill="D9D9D9" w:themeFill="background1" w:themeFillShade="D9"/>
            <w:vAlign w:val="center"/>
          </w:tcPr>
          <w:p w14:paraId="1C56BB2F" w14:textId="77777777" w:rsidR="00F97224" w:rsidRPr="00F97224" w:rsidRDefault="00F97224" w:rsidP="00F97224">
            <w:pPr>
              <w:keepNext/>
              <w:ind w:left="42"/>
              <w:jc w:val="center"/>
              <w:rPr>
                <w:rFonts w:ascii="Bookman Old Style" w:hAnsi="Bookman Old Style" w:cs="Arial"/>
                <w:b/>
                <w:sz w:val="22"/>
              </w:rPr>
            </w:pPr>
            <w:r w:rsidRPr="00F97224">
              <w:rPr>
                <w:rFonts w:ascii="Bookman Old Style" w:hAnsi="Bookman Old Style" w:cs="Arial"/>
                <w:b/>
                <w:sz w:val="22"/>
              </w:rPr>
              <w:t>MUNICIPIO</w:t>
            </w:r>
          </w:p>
        </w:tc>
        <w:tc>
          <w:tcPr>
            <w:tcW w:w="2154" w:type="dxa"/>
            <w:shd w:val="clear" w:color="auto" w:fill="D9D9D9" w:themeFill="background1" w:themeFillShade="D9"/>
            <w:vAlign w:val="center"/>
          </w:tcPr>
          <w:p w14:paraId="4657C155" w14:textId="77777777" w:rsidR="00F97224" w:rsidRPr="00F97224" w:rsidRDefault="00F97224" w:rsidP="00F97224">
            <w:pPr>
              <w:keepNext/>
              <w:ind w:left="177"/>
              <w:jc w:val="center"/>
              <w:rPr>
                <w:rFonts w:ascii="Bookman Old Style" w:hAnsi="Bookman Old Style" w:cs="Arial"/>
                <w:b/>
                <w:sz w:val="22"/>
              </w:rPr>
            </w:pPr>
            <w:r w:rsidRPr="00F97224">
              <w:rPr>
                <w:rFonts w:ascii="Bookman Old Style" w:hAnsi="Bookman Old Style" w:cs="Arial"/>
                <w:b/>
                <w:sz w:val="22"/>
              </w:rPr>
              <w:t>DEPARTAMENTO</w:t>
            </w:r>
          </w:p>
        </w:tc>
      </w:tr>
      <w:tr w:rsidR="00F97224" w:rsidRPr="00F97224" w14:paraId="0DAF0713" w14:textId="77777777" w:rsidTr="00601A4E">
        <w:trPr>
          <w:jc w:val="center"/>
        </w:trPr>
        <w:tc>
          <w:tcPr>
            <w:tcW w:w="2405" w:type="dxa"/>
          </w:tcPr>
          <w:p w14:paraId="450F9503" w14:textId="77777777" w:rsidR="00F97224" w:rsidRPr="00F97224" w:rsidRDefault="00F97224" w:rsidP="00F97224">
            <w:pPr>
              <w:ind w:left="-119" w:right="-1"/>
              <w:jc w:val="center"/>
              <w:rPr>
                <w:rFonts w:ascii="Bookman Old Style" w:hAnsi="Bookman Old Style" w:cs="Arial"/>
                <w:sz w:val="22"/>
              </w:rPr>
            </w:pPr>
            <w:r w:rsidRPr="00F97224">
              <w:rPr>
                <w:rFonts w:ascii="Bookman Old Style" w:hAnsi="Bookman Old Style" w:cs="Arial"/>
                <w:sz w:val="22"/>
              </w:rPr>
              <w:t>23001006</w:t>
            </w:r>
          </w:p>
        </w:tc>
        <w:tc>
          <w:tcPr>
            <w:tcW w:w="2410" w:type="dxa"/>
          </w:tcPr>
          <w:p w14:paraId="01D47952" w14:textId="77777777" w:rsidR="00F97224" w:rsidRPr="00F97224" w:rsidRDefault="00F97224" w:rsidP="00F97224">
            <w:pPr>
              <w:ind w:left="-43" w:right="-1"/>
              <w:jc w:val="center"/>
              <w:rPr>
                <w:rFonts w:ascii="Bookman Old Style" w:hAnsi="Bookman Old Style" w:cs="Arial"/>
                <w:sz w:val="22"/>
              </w:rPr>
            </w:pPr>
            <w:r w:rsidRPr="00F97224">
              <w:rPr>
                <w:rFonts w:ascii="Bookman Old Style" w:hAnsi="Bookman Old Style" w:cs="Arial"/>
                <w:sz w:val="22"/>
              </w:rPr>
              <w:t>Jaraquiel</w:t>
            </w:r>
          </w:p>
        </w:tc>
        <w:tc>
          <w:tcPr>
            <w:tcW w:w="1559" w:type="dxa"/>
            <w:vMerge w:val="restart"/>
            <w:vAlign w:val="center"/>
          </w:tcPr>
          <w:p w14:paraId="4F3F017A" w14:textId="77777777" w:rsidR="00F97224" w:rsidRPr="00F97224" w:rsidRDefault="00F97224" w:rsidP="00F97224">
            <w:pPr>
              <w:ind w:left="42" w:right="-1"/>
              <w:jc w:val="center"/>
              <w:rPr>
                <w:rFonts w:ascii="Bookman Old Style" w:hAnsi="Bookman Old Style" w:cs="Arial"/>
                <w:sz w:val="22"/>
              </w:rPr>
            </w:pPr>
            <w:r w:rsidRPr="00F97224">
              <w:rPr>
                <w:rFonts w:ascii="Bookman Old Style" w:hAnsi="Bookman Old Style" w:cs="Arial"/>
                <w:sz w:val="22"/>
              </w:rPr>
              <w:t>Montería</w:t>
            </w:r>
          </w:p>
        </w:tc>
        <w:tc>
          <w:tcPr>
            <w:tcW w:w="2154" w:type="dxa"/>
            <w:vMerge w:val="restart"/>
            <w:vAlign w:val="center"/>
          </w:tcPr>
          <w:p w14:paraId="3F287220" w14:textId="77777777" w:rsidR="00F97224" w:rsidRPr="00F97224" w:rsidRDefault="00F97224" w:rsidP="00F97224">
            <w:pPr>
              <w:ind w:left="177" w:right="-1"/>
              <w:jc w:val="center"/>
              <w:rPr>
                <w:rFonts w:ascii="Bookman Old Style" w:hAnsi="Bookman Old Style" w:cs="Arial"/>
                <w:sz w:val="22"/>
              </w:rPr>
            </w:pPr>
            <w:r w:rsidRPr="00F97224">
              <w:rPr>
                <w:rFonts w:ascii="Bookman Old Style" w:hAnsi="Bookman Old Style" w:cs="Arial"/>
                <w:sz w:val="22"/>
              </w:rPr>
              <w:t>Córdoba</w:t>
            </w:r>
          </w:p>
        </w:tc>
      </w:tr>
      <w:tr w:rsidR="00F97224" w:rsidRPr="00F97224" w14:paraId="24ED64A7" w14:textId="77777777" w:rsidTr="00601A4E">
        <w:trPr>
          <w:jc w:val="center"/>
        </w:trPr>
        <w:tc>
          <w:tcPr>
            <w:tcW w:w="2405" w:type="dxa"/>
          </w:tcPr>
          <w:p w14:paraId="0EAF2864" w14:textId="77777777" w:rsidR="00F97224" w:rsidRPr="00F97224" w:rsidRDefault="00F97224" w:rsidP="00F97224">
            <w:pPr>
              <w:ind w:left="-119" w:right="-1"/>
              <w:jc w:val="center"/>
              <w:rPr>
                <w:rFonts w:ascii="Bookman Old Style" w:hAnsi="Bookman Old Style" w:cs="Arial"/>
                <w:sz w:val="22"/>
              </w:rPr>
            </w:pPr>
            <w:r w:rsidRPr="00F97224">
              <w:rPr>
                <w:rFonts w:ascii="Bookman Old Style" w:hAnsi="Bookman Old Style" w:cs="Arial"/>
                <w:sz w:val="22"/>
              </w:rPr>
              <w:t>-</w:t>
            </w:r>
          </w:p>
        </w:tc>
        <w:tc>
          <w:tcPr>
            <w:tcW w:w="2410" w:type="dxa"/>
          </w:tcPr>
          <w:p w14:paraId="70AD388D" w14:textId="77777777" w:rsidR="00F97224" w:rsidRPr="00F97224" w:rsidRDefault="00F97224" w:rsidP="00F97224">
            <w:pPr>
              <w:ind w:left="-43" w:right="-1"/>
              <w:jc w:val="center"/>
              <w:rPr>
                <w:rFonts w:ascii="Bookman Old Style" w:hAnsi="Bookman Old Style" w:cs="Arial"/>
                <w:sz w:val="22"/>
              </w:rPr>
            </w:pPr>
            <w:r w:rsidRPr="00F97224">
              <w:rPr>
                <w:rFonts w:ascii="Bookman Old Style" w:hAnsi="Bookman Old Style" w:cs="Arial"/>
                <w:sz w:val="22"/>
              </w:rPr>
              <w:t>Sierra Chiquita</w:t>
            </w:r>
          </w:p>
        </w:tc>
        <w:tc>
          <w:tcPr>
            <w:tcW w:w="1559" w:type="dxa"/>
            <w:vMerge/>
            <w:vAlign w:val="center"/>
          </w:tcPr>
          <w:p w14:paraId="405F6A37" w14:textId="77777777" w:rsidR="00F97224" w:rsidRPr="00F97224" w:rsidRDefault="00F97224" w:rsidP="00F97224">
            <w:pPr>
              <w:ind w:left="42" w:right="-1"/>
              <w:jc w:val="center"/>
              <w:rPr>
                <w:rFonts w:ascii="Bookman Old Style" w:hAnsi="Bookman Old Style" w:cs="Arial"/>
                <w:sz w:val="22"/>
              </w:rPr>
            </w:pPr>
          </w:p>
        </w:tc>
        <w:tc>
          <w:tcPr>
            <w:tcW w:w="2154" w:type="dxa"/>
            <w:vMerge/>
            <w:vAlign w:val="center"/>
          </w:tcPr>
          <w:p w14:paraId="277A9686" w14:textId="77777777" w:rsidR="00F97224" w:rsidRPr="00F97224" w:rsidRDefault="00F97224" w:rsidP="00601A4E">
            <w:pPr>
              <w:ind w:right="-1"/>
              <w:jc w:val="center"/>
              <w:rPr>
                <w:rFonts w:ascii="Bookman Old Style" w:hAnsi="Bookman Old Style" w:cs="Arial"/>
                <w:sz w:val="22"/>
              </w:rPr>
            </w:pPr>
          </w:p>
        </w:tc>
      </w:tr>
      <w:tr w:rsidR="00F97224" w:rsidRPr="00F97224" w14:paraId="3E5286D4" w14:textId="77777777" w:rsidTr="00601A4E">
        <w:trPr>
          <w:jc w:val="center"/>
        </w:trPr>
        <w:tc>
          <w:tcPr>
            <w:tcW w:w="2405" w:type="dxa"/>
          </w:tcPr>
          <w:p w14:paraId="423B2991" w14:textId="77777777" w:rsidR="00F97224" w:rsidRPr="00F97224" w:rsidRDefault="00F97224" w:rsidP="00F97224">
            <w:pPr>
              <w:ind w:left="-119" w:right="-1"/>
              <w:jc w:val="center"/>
              <w:rPr>
                <w:rFonts w:ascii="Bookman Old Style" w:hAnsi="Bookman Old Style" w:cs="Arial"/>
                <w:sz w:val="22"/>
              </w:rPr>
            </w:pPr>
            <w:r w:rsidRPr="00F97224">
              <w:rPr>
                <w:rFonts w:ascii="Bookman Old Style" w:hAnsi="Bookman Old Style" w:cs="Arial"/>
                <w:sz w:val="22"/>
              </w:rPr>
              <w:t>23162003</w:t>
            </w:r>
          </w:p>
        </w:tc>
        <w:tc>
          <w:tcPr>
            <w:tcW w:w="2410" w:type="dxa"/>
          </w:tcPr>
          <w:p w14:paraId="72B683C7" w14:textId="77777777" w:rsidR="00F97224" w:rsidRPr="00F97224" w:rsidRDefault="00F97224" w:rsidP="00F97224">
            <w:pPr>
              <w:ind w:left="-43" w:right="-1"/>
              <w:jc w:val="center"/>
              <w:rPr>
                <w:rFonts w:ascii="Bookman Old Style" w:hAnsi="Bookman Old Style" w:cs="Arial"/>
                <w:sz w:val="22"/>
              </w:rPr>
            </w:pPr>
            <w:r w:rsidRPr="00F97224">
              <w:rPr>
                <w:rFonts w:ascii="Bookman Old Style" w:hAnsi="Bookman Old Style" w:cs="Arial"/>
                <w:sz w:val="22"/>
              </w:rPr>
              <w:t>Rabolargo</w:t>
            </w:r>
          </w:p>
        </w:tc>
        <w:tc>
          <w:tcPr>
            <w:tcW w:w="1559" w:type="dxa"/>
            <w:vMerge w:val="restart"/>
            <w:vAlign w:val="center"/>
          </w:tcPr>
          <w:p w14:paraId="5EEA5CE8" w14:textId="77777777" w:rsidR="00F97224" w:rsidRPr="00F97224" w:rsidRDefault="00F97224" w:rsidP="00F97224">
            <w:pPr>
              <w:ind w:left="42" w:right="-1"/>
              <w:jc w:val="center"/>
              <w:rPr>
                <w:rFonts w:ascii="Bookman Old Style" w:hAnsi="Bookman Old Style" w:cs="Arial"/>
                <w:sz w:val="22"/>
              </w:rPr>
            </w:pPr>
            <w:r w:rsidRPr="00F97224">
              <w:rPr>
                <w:rFonts w:ascii="Bookman Old Style" w:hAnsi="Bookman Old Style" w:cs="Arial"/>
                <w:sz w:val="22"/>
              </w:rPr>
              <w:t>Cereté</w:t>
            </w:r>
          </w:p>
        </w:tc>
        <w:tc>
          <w:tcPr>
            <w:tcW w:w="2154" w:type="dxa"/>
            <w:vMerge/>
            <w:vAlign w:val="center"/>
          </w:tcPr>
          <w:p w14:paraId="5FFB149C" w14:textId="77777777" w:rsidR="00F97224" w:rsidRPr="00F97224" w:rsidRDefault="00F97224" w:rsidP="00601A4E">
            <w:pPr>
              <w:ind w:right="-1"/>
              <w:jc w:val="center"/>
              <w:rPr>
                <w:rFonts w:ascii="Bookman Old Style" w:hAnsi="Bookman Old Style" w:cs="Arial"/>
                <w:sz w:val="22"/>
              </w:rPr>
            </w:pPr>
          </w:p>
        </w:tc>
      </w:tr>
      <w:tr w:rsidR="00F97224" w:rsidRPr="00F97224" w14:paraId="49072AC4" w14:textId="77777777" w:rsidTr="00601A4E">
        <w:trPr>
          <w:jc w:val="center"/>
        </w:trPr>
        <w:tc>
          <w:tcPr>
            <w:tcW w:w="2405" w:type="dxa"/>
          </w:tcPr>
          <w:p w14:paraId="7F0B4AE7" w14:textId="77777777" w:rsidR="00F97224" w:rsidRPr="00F97224" w:rsidRDefault="00F97224" w:rsidP="00F97224">
            <w:pPr>
              <w:ind w:left="-119" w:right="-1"/>
              <w:jc w:val="center"/>
              <w:rPr>
                <w:rFonts w:ascii="Bookman Old Style" w:hAnsi="Bookman Old Style" w:cs="Arial"/>
                <w:sz w:val="22"/>
              </w:rPr>
            </w:pPr>
            <w:r w:rsidRPr="00F97224">
              <w:rPr>
                <w:rFonts w:ascii="Bookman Old Style" w:hAnsi="Bookman Old Style" w:cs="Arial"/>
                <w:sz w:val="22"/>
              </w:rPr>
              <w:t>23162012</w:t>
            </w:r>
          </w:p>
        </w:tc>
        <w:tc>
          <w:tcPr>
            <w:tcW w:w="2410" w:type="dxa"/>
          </w:tcPr>
          <w:p w14:paraId="6F458297" w14:textId="77777777" w:rsidR="00F97224" w:rsidRPr="00F97224" w:rsidRDefault="00F97224" w:rsidP="00F97224">
            <w:pPr>
              <w:ind w:left="-43" w:right="-1"/>
              <w:jc w:val="center"/>
              <w:rPr>
                <w:rFonts w:ascii="Bookman Old Style" w:hAnsi="Bookman Old Style" w:cs="Arial"/>
                <w:sz w:val="22"/>
              </w:rPr>
            </w:pPr>
            <w:r w:rsidRPr="00F97224">
              <w:rPr>
                <w:rFonts w:ascii="Bookman Old Style" w:hAnsi="Bookman Old Style" w:cs="Arial"/>
                <w:sz w:val="22"/>
              </w:rPr>
              <w:t>San Antonio</w:t>
            </w:r>
          </w:p>
        </w:tc>
        <w:tc>
          <w:tcPr>
            <w:tcW w:w="1559" w:type="dxa"/>
            <w:vMerge/>
            <w:vAlign w:val="center"/>
          </w:tcPr>
          <w:p w14:paraId="58AFD2AA" w14:textId="77777777" w:rsidR="00F97224" w:rsidRPr="00F97224" w:rsidRDefault="00F97224" w:rsidP="00601A4E">
            <w:pPr>
              <w:ind w:right="-1"/>
              <w:jc w:val="center"/>
              <w:rPr>
                <w:rFonts w:ascii="Bookman Old Style" w:hAnsi="Bookman Old Style" w:cs="Arial"/>
                <w:sz w:val="22"/>
              </w:rPr>
            </w:pPr>
          </w:p>
        </w:tc>
        <w:tc>
          <w:tcPr>
            <w:tcW w:w="2154" w:type="dxa"/>
            <w:vMerge/>
            <w:vAlign w:val="center"/>
          </w:tcPr>
          <w:p w14:paraId="6C31AEAE" w14:textId="77777777" w:rsidR="00F97224" w:rsidRPr="00F97224" w:rsidRDefault="00F97224" w:rsidP="00601A4E">
            <w:pPr>
              <w:ind w:right="-1"/>
              <w:jc w:val="center"/>
              <w:rPr>
                <w:rFonts w:ascii="Bookman Old Style" w:hAnsi="Bookman Old Style" w:cs="Arial"/>
                <w:sz w:val="22"/>
              </w:rPr>
            </w:pPr>
          </w:p>
        </w:tc>
      </w:tr>
      <w:tr w:rsidR="00F97224" w:rsidRPr="00F97224" w14:paraId="04F18E25" w14:textId="77777777" w:rsidTr="00601A4E">
        <w:trPr>
          <w:jc w:val="center"/>
        </w:trPr>
        <w:tc>
          <w:tcPr>
            <w:tcW w:w="2405" w:type="dxa"/>
          </w:tcPr>
          <w:p w14:paraId="33008E3A" w14:textId="77777777" w:rsidR="00F97224" w:rsidRPr="00F97224" w:rsidRDefault="00F97224" w:rsidP="00F97224">
            <w:pPr>
              <w:ind w:left="-119" w:right="-1"/>
              <w:jc w:val="center"/>
              <w:rPr>
                <w:rFonts w:ascii="Bookman Old Style" w:hAnsi="Bookman Old Style" w:cs="Arial"/>
                <w:sz w:val="22"/>
              </w:rPr>
            </w:pPr>
            <w:r w:rsidRPr="00F97224">
              <w:rPr>
                <w:rFonts w:ascii="Bookman Old Style" w:hAnsi="Bookman Old Style" w:cs="Arial"/>
                <w:sz w:val="22"/>
              </w:rPr>
              <w:t>23162000</w:t>
            </w:r>
          </w:p>
        </w:tc>
        <w:tc>
          <w:tcPr>
            <w:tcW w:w="2410" w:type="dxa"/>
          </w:tcPr>
          <w:p w14:paraId="375D0590" w14:textId="77777777" w:rsidR="00F97224" w:rsidRPr="00F97224" w:rsidRDefault="00F97224" w:rsidP="00F97224">
            <w:pPr>
              <w:ind w:left="-43" w:right="-1"/>
              <w:jc w:val="center"/>
              <w:rPr>
                <w:rFonts w:ascii="Bookman Old Style" w:hAnsi="Bookman Old Style" w:cs="Arial"/>
                <w:sz w:val="22"/>
              </w:rPr>
            </w:pPr>
            <w:r w:rsidRPr="00F97224">
              <w:rPr>
                <w:rFonts w:ascii="Bookman Old Style" w:hAnsi="Bookman Old Style" w:cs="Arial"/>
                <w:sz w:val="22"/>
              </w:rPr>
              <w:t>El Cedro</w:t>
            </w:r>
          </w:p>
        </w:tc>
        <w:tc>
          <w:tcPr>
            <w:tcW w:w="1559" w:type="dxa"/>
            <w:vMerge/>
            <w:vAlign w:val="center"/>
          </w:tcPr>
          <w:p w14:paraId="06AB2B86" w14:textId="77777777" w:rsidR="00F97224" w:rsidRPr="00F97224" w:rsidRDefault="00F97224" w:rsidP="00601A4E">
            <w:pPr>
              <w:ind w:right="-1"/>
              <w:jc w:val="center"/>
              <w:rPr>
                <w:rFonts w:ascii="Bookman Old Style" w:hAnsi="Bookman Old Style" w:cs="Arial"/>
                <w:sz w:val="22"/>
              </w:rPr>
            </w:pPr>
          </w:p>
        </w:tc>
        <w:tc>
          <w:tcPr>
            <w:tcW w:w="2154" w:type="dxa"/>
            <w:vMerge/>
            <w:vAlign w:val="center"/>
          </w:tcPr>
          <w:p w14:paraId="6FB16EB8" w14:textId="77777777" w:rsidR="00F97224" w:rsidRPr="00F97224" w:rsidRDefault="00F97224" w:rsidP="00601A4E">
            <w:pPr>
              <w:ind w:right="-1"/>
              <w:jc w:val="center"/>
              <w:rPr>
                <w:rFonts w:ascii="Bookman Old Style" w:hAnsi="Bookman Old Style" w:cs="Arial"/>
                <w:sz w:val="22"/>
              </w:rPr>
            </w:pPr>
          </w:p>
        </w:tc>
      </w:tr>
    </w:tbl>
    <w:p w14:paraId="41E6DA50" w14:textId="77777777" w:rsidR="005873FD" w:rsidRPr="001954E9" w:rsidRDefault="005873FD" w:rsidP="00B860E3">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lastRenderedPageBreak/>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14:paraId="505203BB" w14:textId="54DFC43E" w:rsidR="002222DA" w:rsidRDefault="00FB305B" w:rsidP="002222DA">
      <w:pPr>
        <w:adjustRightInd w:val="0"/>
        <w:spacing w:before="240" w:after="240"/>
        <w:ind w:left="0" w:right="20"/>
        <w:jc w:val="both"/>
        <w:rPr>
          <w:rFonts w:ascii="Bookman Old Style" w:hAnsi="Bookman Old Style" w:cs="Arial"/>
        </w:rPr>
      </w:pPr>
      <w:r>
        <w:rPr>
          <w:rFonts w:ascii="Bookman Old Style" w:hAnsi="Bookman Old Style" w:cs="Arial"/>
        </w:rPr>
        <w:t>Igualmente</w:t>
      </w:r>
      <w:r w:rsidR="002222DA">
        <w:rPr>
          <w:rFonts w:ascii="Bookman Old Style" w:hAnsi="Bookman Old Style" w:cs="Arial"/>
        </w:rPr>
        <w:t xml:space="preserve">, </w:t>
      </w:r>
      <w:r w:rsidR="002222DA" w:rsidRPr="001F4AC3">
        <w:rPr>
          <w:rFonts w:ascii="Bookman Old Style" w:hAnsi="Bookman Old Style" w:cs="Arial"/>
        </w:rPr>
        <w:t xml:space="preserve">la empresa </w:t>
      </w:r>
      <w:r w:rsidR="002222DA">
        <w:rPr>
          <w:rFonts w:ascii="Bookman Old Style" w:hAnsi="Bookman Old Style" w:cs="Arial"/>
        </w:rPr>
        <w:t>JADAPE</w:t>
      </w:r>
      <w:r w:rsidR="002222DA" w:rsidRPr="001F4AC3">
        <w:rPr>
          <w:rFonts w:ascii="Bookman Old Style" w:hAnsi="Bookman Old Style" w:cs="Arial"/>
        </w:rPr>
        <w:t xml:space="preserve"> S.A.</w:t>
      </w:r>
      <w:r w:rsidR="002222DA">
        <w:rPr>
          <w:rFonts w:ascii="Bookman Old Style" w:hAnsi="Bookman Old Style" w:cs="Arial"/>
        </w:rPr>
        <w:t>S.</w:t>
      </w:r>
      <w:r w:rsidR="002222DA" w:rsidRPr="001F4AC3">
        <w:rPr>
          <w:rFonts w:ascii="Bookman Old Style" w:hAnsi="Bookman Old Style" w:cs="Arial"/>
        </w:rPr>
        <w:t xml:space="preserve"> E.S.P. </w:t>
      </w:r>
      <w:r>
        <w:rPr>
          <w:rFonts w:ascii="Bookman Old Style" w:hAnsi="Bookman Old Style" w:cs="Arial"/>
        </w:rPr>
        <w:t>manifestó</w:t>
      </w:r>
      <w:r w:rsidRPr="001F4AC3">
        <w:rPr>
          <w:rFonts w:ascii="Bookman Old Style" w:hAnsi="Bookman Old Style" w:cs="Arial"/>
        </w:rPr>
        <w:t xml:space="preserve"> </w:t>
      </w:r>
      <w:r w:rsidR="002222DA" w:rsidRPr="001F4AC3">
        <w:rPr>
          <w:rFonts w:ascii="Bookman Old Style" w:hAnsi="Bookman Old Style" w:cs="Arial"/>
        </w:rPr>
        <w:t xml:space="preserve">que el proyecto </w:t>
      </w:r>
      <w:r w:rsidR="002222DA">
        <w:rPr>
          <w:rFonts w:ascii="Bookman Old Style" w:hAnsi="Bookman Old Style" w:cs="Arial"/>
        </w:rPr>
        <w:t xml:space="preserve">no cuenta </w:t>
      </w:r>
      <w:r w:rsidR="002222DA" w:rsidRPr="001F4AC3">
        <w:rPr>
          <w:rFonts w:ascii="Bookman Old Style" w:hAnsi="Bookman Old Style" w:cs="Arial"/>
        </w:rPr>
        <w:t>con recursos públicos para la construcción de la infraestructura de distribución de gas por redes</w:t>
      </w:r>
      <w:r w:rsidR="002222DA">
        <w:rPr>
          <w:rFonts w:ascii="Bookman Old Style" w:hAnsi="Bookman Old Style" w:cs="Arial"/>
        </w:rPr>
        <w:t>.</w:t>
      </w:r>
    </w:p>
    <w:p w14:paraId="75660083" w14:textId="77777777" w:rsidR="004A7E9E" w:rsidRDefault="004A7E9E" w:rsidP="004A7E9E">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w:t>
      </w:r>
      <w:r w:rsidR="00601A4E">
        <w:rPr>
          <w:rFonts w:ascii="Bookman Old Style" w:hAnsi="Bookman Old Style" w:cs="Arial"/>
        </w:rPr>
        <w:t>9</w:t>
      </w:r>
      <w:r w:rsidRPr="00C11A90">
        <w:rPr>
          <w:rFonts w:ascii="Bookman Old Style" w:hAnsi="Bookman Old Style" w:cs="Arial"/>
        </w:rPr>
        <w:t>-00</w:t>
      </w:r>
      <w:r w:rsidR="00601A4E">
        <w:rPr>
          <w:rFonts w:ascii="Bookman Old Style" w:hAnsi="Bookman Old Style" w:cs="Arial"/>
        </w:rPr>
        <w:t>1498</w:t>
      </w:r>
      <w:r w:rsidRPr="00C11A90">
        <w:rPr>
          <w:rFonts w:ascii="Bookman Old Style" w:hAnsi="Bookman Old Style" w:cs="Arial"/>
        </w:rPr>
        <w:t xml:space="preserve"> de </w:t>
      </w:r>
      <w:r w:rsidR="00601A4E">
        <w:rPr>
          <w:rFonts w:ascii="Bookman Old Style" w:hAnsi="Bookman Old Style" w:cs="Arial"/>
        </w:rPr>
        <w:t>febrero</w:t>
      </w:r>
      <w:r w:rsidRPr="00C11A90">
        <w:rPr>
          <w:rFonts w:ascii="Bookman Old Style" w:hAnsi="Bookman Old Style" w:cs="Arial"/>
        </w:rPr>
        <w:t xml:space="preserve"> </w:t>
      </w:r>
      <w:r w:rsidR="00601A4E">
        <w:rPr>
          <w:rFonts w:ascii="Bookman Old Style" w:hAnsi="Bookman Old Style" w:cs="Arial"/>
        </w:rPr>
        <w:t>6</w:t>
      </w:r>
      <w:r w:rsidRPr="00C11A90">
        <w:rPr>
          <w:rFonts w:ascii="Bookman Old Style" w:hAnsi="Bookman Old Style" w:cs="Arial"/>
        </w:rPr>
        <w:t xml:space="preserve"> de 201</w:t>
      </w:r>
      <w:r w:rsidR="00601A4E">
        <w:rPr>
          <w:rFonts w:ascii="Bookman Old Style" w:hAnsi="Bookman Old Style" w:cs="Arial"/>
        </w:rPr>
        <w:t>9</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Minero Energética </w:t>
      </w:r>
      <w:r>
        <w:rPr>
          <w:rFonts w:ascii="Bookman Old Style" w:hAnsi="Bookman Old Style" w:cs="Arial"/>
        </w:rPr>
        <w:t>–</w:t>
      </w:r>
      <w:r w:rsidRPr="00C11A90">
        <w:rPr>
          <w:rFonts w:ascii="Bookman Old Style" w:hAnsi="Bookman Old Style" w:cs="Arial"/>
        </w:rPr>
        <w:t>UPME</w:t>
      </w:r>
      <w:r>
        <w:rPr>
          <w:rFonts w:ascii="Bookman Old Style" w:hAnsi="Bookman Old Style" w:cs="Arial"/>
        </w:rPr>
        <w:t>-</w:t>
      </w:r>
      <w:r w:rsidRPr="00C11A90">
        <w:rPr>
          <w:rFonts w:ascii="Bookman Old Style" w:hAnsi="Bookman Old Style" w:cs="Arial"/>
        </w:rPr>
        <w:t xml:space="preserve"> remite 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601A4E">
        <w:rPr>
          <w:rFonts w:ascii="Bookman Old Style" w:hAnsi="Bookman Old Style" w:cs="Arial"/>
        </w:rPr>
        <w:t>JADAPE</w:t>
      </w:r>
      <w:r>
        <w:rPr>
          <w:rFonts w:ascii="Bookman Old Style" w:hAnsi="Bookman Old Style" w:cs="Arial"/>
        </w:rPr>
        <w:t xml:space="preserve"> S.A</w:t>
      </w:r>
      <w:r w:rsidRPr="00075F96">
        <w:rPr>
          <w:rFonts w:ascii="Bookman Old Style" w:hAnsi="Bookman Old Style" w:cs="Arial"/>
        </w:rPr>
        <w:t>.</w:t>
      </w:r>
      <w:r w:rsidR="00601A4E">
        <w:rPr>
          <w:rFonts w:ascii="Bookman Old Style" w:hAnsi="Bookman Old Style" w:cs="Arial"/>
        </w:rPr>
        <w:t>S.</w:t>
      </w:r>
      <w:r>
        <w:rPr>
          <w:rFonts w:ascii="Bookman Old Style" w:hAnsi="Bookman Old Style" w:cs="Arial"/>
        </w:rPr>
        <w:t xml:space="preserve"> E.S.P.</w:t>
      </w:r>
      <w:r w:rsidRPr="00C11A90">
        <w:rPr>
          <w:rFonts w:ascii="Bookman Old Style" w:hAnsi="Bookman Old Style" w:cs="Arial"/>
        </w:rPr>
        <w:t xml:space="preserve"> para los </w:t>
      </w:r>
      <w:r w:rsidRPr="00AD3F3B">
        <w:rPr>
          <w:rFonts w:ascii="Bookman Old Style" w:hAnsi="Bookman Old Style" w:cs="Arial"/>
        </w:rPr>
        <w:t xml:space="preserve">centros poblados de </w:t>
      </w:r>
      <w:r w:rsidR="00601A4E" w:rsidRPr="00601A4E">
        <w:rPr>
          <w:rFonts w:ascii="Bookman Old Style" w:hAnsi="Bookman Old Style" w:cs="Arial"/>
        </w:rPr>
        <w:t xml:space="preserve"> Jaraquiel y Sierra Chiquita en el municipio de Montería; Rabolargo, San Antonio y El Cedro en el municipio de Cereté, departamento de Córdoba</w:t>
      </w:r>
      <w:r w:rsidRPr="00C11A90">
        <w:rPr>
          <w:rFonts w:ascii="Bookman Old Style" w:hAnsi="Bookman Old Style" w:cs="Arial"/>
        </w:rPr>
        <w:t>, cumple con los requerimientos contenidos en el Anexo 13 de la Resolución CREG 202 de 2013.</w:t>
      </w:r>
    </w:p>
    <w:p w14:paraId="652E8ACA" w14:textId="77777777" w:rsidR="004A7E9E" w:rsidRPr="006B2572" w:rsidRDefault="004A7E9E" w:rsidP="004A7E9E">
      <w:pPr>
        <w:adjustRightInd w:val="0"/>
        <w:spacing w:before="240" w:after="240"/>
        <w:ind w:left="0" w:right="20"/>
        <w:jc w:val="both"/>
        <w:rPr>
          <w:rFonts w:ascii="Bookman Old Style" w:hAnsi="Bookman Old Style" w:cs="Arial"/>
        </w:rPr>
      </w:pPr>
      <w:r w:rsidRPr="00075F96">
        <w:rPr>
          <w:rFonts w:ascii="Bookman Old Style" w:hAnsi="Bookman Old Style" w:cs="Arial"/>
        </w:rPr>
        <w:t>En comunicación S-201</w:t>
      </w:r>
      <w:r w:rsidR="00601A4E">
        <w:rPr>
          <w:rFonts w:ascii="Bookman Old Style" w:hAnsi="Bookman Old Style" w:cs="Arial"/>
        </w:rPr>
        <w:t>9</w:t>
      </w:r>
      <w:r w:rsidRPr="00075F96">
        <w:rPr>
          <w:rFonts w:ascii="Bookman Old Style" w:hAnsi="Bookman Old Style" w:cs="Arial"/>
        </w:rPr>
        <w:t>-00</w:t>
      </w:r>
      <w:r w:rsidR="00601A4E">
        <w:rPr>
          <w:rFonts w:ascii="Bookman Old Style" w:hAnsi="Bookman Old Style" w:cs="Arial"/>
        </w:rPr>
        <w:t>064</w:t>
      </w:r>
      <w:r w:rsidRPr="00075F96">
        <w:rPr>
          <w:rFonts w:ascii="Bookman Old Style" w:hAnsi="Bookman Old Style" w:cs="Arial"/>
        </w:rPr>
        <w:t xml:space="preserve"> de </w:t>
      </w:r>
      <w:r w:rsidR="00601A4E">
        <w:rPr>
          <w:rFonts w:ascii="Bookman Old Style" w:hAnsi="Bookman Old Style" w:cs="Arial"/>
        </w:rPr>
        <w:t>enero</w:t>
      </w:r>
      <w:r w:rsidRPr="00075F96">
        <w:rPr>
          <w:rFonts w:ascii="Bookman Old Style" w:hAnsi="Bookman Old Style" w:cs="Arial"/>
        </w:rPr>
        <w:t xml:space="preserve"> </w:t>
      </w:r>
      <w:r w:rsidR="00601A4E">
        <w:rPr>
          <w:rFonts w:ascii="Bookman Old Style" w:hAnsi="Bookman Old Style" w:cs="Arial"/>
        </w:rPr>
        <w:t>31</w:t>
      </w:r>
      <w:r w:rsidRPr="00075F96">
        <w:rPr>
          <w:rFonts w:ascii="Bookman Old Style" w:hAnsi="Bookman Old Style" w:cs="Arial"/>
        </w:rPr>
        <w:t xml:space="preserve"> de 201</w:t>
      </w:r>
      <w:r w:rsidR="00601A4E">
        <w:rPr>
          <w:rFonts w:ascii="Bookman Old Style" w:hAnsi="Bookman Old Style" w:cs="Arial"/>
        </w:rPr>
        <w:t>9</w:t>
      </w:r>
      <w:r w:rsidRPr="00075F96">
        <w:rPr>
          <w:rFonts w:ascii="Bookman Old Style" w:hAnsi="Bookman Old Style" w:cs="Arial"/>
        </w:rPr>
        <w:t xml:space="preserve">, la Comisión verificó el cumplimiento de los requisitos establecidos en la </w:t>
      </w:r>
      <w:r>
        <w:rPr>
          <w:rFonts w:ascii="Bookman Old Style" w:hAnsi="Bookman Old Style" w:cs="Arial"/>
        </w:rPr>
        <w:t>R</w:t>
      </w:r>
      <w:r w:rsidRPr="008C2AC6">
        <w:rPr>
          <w:rFonts w:ascii="Bookman Old Style" w:hAnsi="Bookman Old Style" w:cs="Arial"/>
        </w:rPr>
        <w:t>esoluci</w:t>
      </w:r>
      <w:r>
        <w:rPr>
          <w:rFonts w:ascii="Bookman Old Style" w:hAnsi="Bookman Old Style" w:cs="Arial"/>
        </w:rPr>
        <w:t>ó</w:t>
      </w:r>
      <w:r w:rsidRPr="008C2AC6">
        <w:rPr>
          <w:rFonts w:ascii="Bookman Old Style" w:hAnsi="Bookman Old Style" w:cs="Arial"/>
        </w:rPr>
        <w:t xml:space="preserve">n CREG 202 de 2013 y </w:t>
      </w:r>
      <w:r>
        <w:rPr>
          <w:rFonts w:ascii="Bookman Old Style" w:hAnsi="Bookman Old Style" w:cs="Arial"/>
        </w:rPr>
        <w:t>aquellas que la modifiquen, adicionen y/o sustituyan,</w:t>
      </w:r>
      <w:r w:rsidRPr="00075F96">
        <w:rPr>
          <w:rFonts w:ascii="Bookman Old Style" w:hAnsi="Bookman Old Style" w:cs="Arial"/>
        </w:rPr>
        <w:t xml:space="preserve"> evidenciando que la información remitida no es suficiente para iniciar la actuación administrativa correspondiente, por lo que fue necesario solicitar</w:t>
      </w:r>
      <w:r>
        <w:rPr>
          <w:rFonts w:ascii="Bookman Old Style" w:hAnsi="Bookman Old Style" w:cs="Arial"/>
        </w:rPr>
        <w:t xml:space="preserve"> </w:t>
      </w:r>
      <w:r w:rsidRPr="006B2572">
        <w:rPr>
          <w:rFonts w:ascii="Bookman Old Style" w:hAnsi="Bookman Old Style" w:cs="Arial"/>
        </w:rPr>
        <w:t xml:space="preserve">a la empresa el envío de información relacionada con el </w:t>
      </w:r>
      <w:r w:rsidR="009766CA">
        <w:rPr>
          <w:rFonts w:ascii="Bookman Old Style" w:hAnsi="Bookman Old Style" w:cs="Arial"/>
        </w:rPr>
        <w:t xml:space="preserve">concepto UPME, </w:t>
      </w:r>
      <w:r w:rsidR="00670D23">
        <w:rPr>
          <w:rFonts w:ascii="Bookman Old Style" w:hAnsi="Bookman Old Style" w:cs="Arial"/>
        </w:rPr>
        <w:t xml:space="preserve"> el soporte que al menos el 80% de los usuarios en los centros poblados están interesados en contar con el servicio, </w:t>
      </w:r>
      <w:r w:rsidR="00126133">
        <w:rPr>
          <w:rFonts w:ascii="Bookman Old Style" w:hAnsi="Bookman Old Style" w:cs="Arial"/>
        </w:rPr>
        <w:t>los planos del sistema de distribución y el certificado de existencia y representación legal de la empresa</w:t>
      </w:r>
      <w:r w:rsidR="00670D23">
        <w:rPr>
          <w:rFonts w:ascii="Bookman Old Style" w:hAnsi="Bookman Old Style" w:cs="Arial"/>
        </w:rPr>
        <w:t>.</w:t>
      </w:r>
    </w:p>
    <w:p w14:paraId="458F421F" w14:textId="77777777" w:rsidR="004A7E9E" w:rsidRPr="00997BAE" w:rsidRDefault="004A7E9E" w:rsidP="004A7E9E">
      <w:pPr>
        <w:adjustRightInd w:val="0"/>
        <w:spacing w:before="240" w:after="240"/>
        <w:ind w:left="0" w:right="20"/>
        <w:jc w:val="both"/>
        <w:rPr>
          <w:rFonts w:ascii="Bookman Old Style" w:hAnsi="Bookman Old Style" w:cs="Arial"/>
        </w:rPr>
      </w:pPr>
      <w:r w:rsidRPr="00075F96">
        <w:rPr>
          <w:rFonts w:ascii="Bookman Old Style" w:hAnsi="Bookman Old Style" w:cs="Arial"/>
        </w:rPr>
        <w:t>En comunicación E-201</w:t>
      </w:r>
      <w:r w:rsidR="002222DA">
        <w:rPr>
          <w:rFonts w:ascii="Bookman Old Style" w:hAnsi="Bookman Old Style" w:cs="Arial"/>
        </w:rPr>
        <w:t>9</w:t>
      </w:r>
      <w:r w:rsidRPr="00075F96">
        <w:rPr>
          <w:rFonts w:ascii="Bookman Old Style" w:hAnsi="Bookman Old Style" w:cs="Arial"/>
        </w:rPr>
        <w:t>-0</w:t>
      </w:r>
      <w:r>
        <w:rPr>
          <w:rFonts w:ascii="Bookman Old Style" w:hAnsi="Bookman Old Style" w:cs="Arial"/>
        </w:rPr>
        <w:t>0</w:t>
      </w:r>
      <w:r w:rsidR="002222DA">
        <w:rPr>
          <w:rFonts w:ascii="Bookman Old Style" w:hAnsi="Bookman Old Style" w:cs="Arial"/>
        </w:rPr>
        <w:t>2062</w:t>
      </w:r>
      <w:r w:rsidRPr="00075F96">
        <w:rPr>
          <w:rFonts w:ascii="Bookman Old Style" w:hAnsi="Bookman Old Style" w:cs="Arial"/>
        </w:rPr>
        <w:t xml:space="preserve"> de</w:t>
      </w:r>
      <w:r>
        <w:rPr>
          <w:rFonts w:ascii="Bookman Old Style" w:hAnsi="Bookman Old Style" w:cs="Arial"/>
        </w:rPr>
        <w:t>l</w:t>
      </w:r>
      <w:r w:rsidRPr="00075F96">
        <w:rPr>
          <w:rFonts w:ascii="Bookman Old Style" w:hAnsi="Bookman Old Style" w:cs="Arial"/>
        </w:rPr>
        <w:t xml:space="preserve"> </w:t>
      </w:r>
      <w:r w:rsidR="002222DA">
        <w:rPr>
          <w:rFonts w:ascii="Bookman Old Style" w:hAnsi="Bookman Old Style" w:cs="Arial"/>
        </w:rPr>
        <w:t>15</w:t>
      </w:r>
      <w:r>
        <w:rPr>
          <w:rFonts w:ascii="Bookman Old Style" w:hAnsi="Bookman Old Style" w:cs="Arial"/>
        </w:rPr>
        <w:t xml:space="preserve"> de </w:t>
      </w:r>
      <w:r w:rsidR="002222DA">
        <w:rPr>
          <w:rFonts w:ascii="Bookman Old Style" w:hAnsi="Bookman Old Style" w:cs="Arial"/>
        </w:rPr>
        <w:t>febrero</w:t>
      </w:r>
      <w:r>
        <w:rPr>
          <w:rFonts w:ascii="Bookman Old Style" w:hAnsi="Bookman Old Style" w:cs="Arial"/>
        </w:rPr>
        <w:t xml:space="preserve"> </w:t>
      </w:r>
      <w:r w:rsidRPr="00075F96">
        <w:rPr>
          <w:rFonts w:ascii="Bookman Old Style" w:hAnsi="Bookman Old Style" w:cs="Arial"/>
        </w:rPr>
        <w:t xml:space="preserve">de 2018, la empresa </w:t>
      </w:r>
      <w:r w:rsidR="002222DA">
        <w:rPr>
          <w:rFonts w:ascii="Bookman Old Style" w:hAnsi="Bookman Old Style" w:cs="Arial"/>
        </w:rPr>
        <w:t>JADAPE</w:t>
      </w:r>
      <w:r>
        <w:rPr>
          <w:rFonts w:ascii="Bookman Old Style" w:hAnsi="Bookman Old Style" w:cs="Arial"/>
        </w:rPr>
        <w:t xml:space="preserve"> S.A</w:t>
      </w:r>
      <w:r w:rsidRPr="00075F96">
        <w:rPr>
          <w:rFonts w:ascii="Bookman Old Style" w:hAnsi="Bookman Old Style" w:cs="Arial"/>
        </w:rPr>
        <w:t>.</w:t>
      </w:r>
      <w:r w:rsidR="002222DA">
        <w:rPr>
          <w:rFonts w:ascii="Bookman Old Style" w:hAnsi="Bookman Old Style" w:cs="Arial"/>
        </w:rPr>
        <w:t>S.</w:t>
      </w:r>
      <w:r>
        <w:rPr>
          <w:rFonts w:ascii="Bookman Old Style" w:hAnsi="Bookman Old Style" w:cs="Arial"/>
        </w:rPr>
        <w:t xml:space="preserve"> E.S.P. </w:t>
      </w:r>
      <w:r w:rsidRPr="00075F96">
        <w:rPr>
          <w:rFonts w:ascii="Bookman Old Style" w:hAnsi="Bookman Old Style" w:cs="Arial"/>
        </w:rPr>
        <w:t xml:space="preserve">allega respuesta al requerimiento </w:t>
      </w:r>
      <w:r>
        <w:rPr>
          <w:rFonts w:ascii="Bookman Old Style" w:hAnsi="Bookman Old Style" w:cs="Arial"/>
        </w:rPr>
        <w:t>de</w:t>
      </w:r>
      <w:r w:rsidRPr="00075F96">
        <w:rPr>
          <w:rFonts w:ascii="Bookman Old Style" w:hAnsi="Bookman Old Style" w:cs="Arial"/>
        </w:rPr>
        <w:t xml:space="preserve"> la Comisión</w:t>
      </w:r>
      <w:r>
        <w:rPr>
          <w:rFonts w:ascii="Bookman Old Style" w:hAnsi="Bookman Old Style" w:cs="Arial"/>
        </w:rPr>
        <w:t xml:space="preserve"> y </w:t>
      </w:r>
      <w:r w:rsidRPr="00997BAE">
        <w:rPr>
          <w:rFonts w:ascii="Bookman Old Style" w:hAnsi="Bookman Old Style" w:cs="Arial"/>
        </w:rPr>
        <w:t>remite la información solicitada junto con los soportes respectivos</w:t>
      </w:r>
      <w:r>
        <w:rPr>
          <w:rFonts w:ascii="Bookman Old Style" w:hAnsi="Bookman Old Style" w:cs="Arial"/>
        </w:rPr>
        <w:t>.</w:t>
      </w:r>
    </w:p>
    <w:p w14:paraId="23E877D4"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 xml:space="preserve">Una vez la empresa </w:t>
      </w:r>
      <w:r w:rsidR="002222DA">
        <w:rPr>
          <w:rFonts w:ascii="Bookman Old Style" w:hAnsi="Bookman Old Style" w:cs="Arial"/>
        </w:rPr>
        <w:t>JADAPE</w:t>
      </w:r>
      <w:r w:rsidRPr="00935FAC">
        <w:rPr>
          <w:rFonts w:ascii="Bookman Old Style" w:hAnsi="Bookman Old Style" w:cs="Arial"/>
        </w:rPr>
        <w:t xml:space="preserve"> S.A</w:t>
      </w:r>
      <w:r w:rsidR="002222DA">
        <w:rPr>
          <w:rFonts w:ascii="Bookman Old Style" w:hAnsi="Bookman Old Style" w:cs="Arial"/>
        </w:rPr>
        <w:t>S.</w:t>
      </w:r>
      <w:r w:rsidRPr="00935FAC">
        <w:rPr>
          <w:rFonts w:ascii="Bookman Old Style" w:hAnsi="Bookman Old Style" w:cs="Arial"/>
        </w:rPr>
        <w:t xml:space="preserve"> E.S.P. completa la información requerida para la apertura de la actuación administrativa, esta Comisión consider</w:t>
      </w:r>
      <w:r>
        <w:rPr>
          <w:rFonts w:ascii="Bookman Old Style" w:hAnsi="Bookman Old Style" w:cs="Arial"/>
        </w:rPr>
        <w:t>ó</w:t>
      </w:r>
      <w:r w:rsidRPr="00935FAC">
        <w:rPr>
          <w:rFonts w:ascii="Bookman Old Style" w:hAnsi="Bookman Old Style" w:cs="Arial"/>
        </w:rPr>
        <w:t xml:space="preserve"> lo siguiente:</w:t>
      </w:r>
    </w:p>
    <w:p w14:paraId="2849CE51"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El numeral 5.3 del artículo 5 de la Resolución CREG 202 de 2013, modificado por el artículo 2 de la Resolución CREG 138 de 2014 establece:</w:t>
      </w:r>
    </w:p>
    <w:p w14:paraId="327CCC26" w14:textId="77777777" w:rsidR="00935FAC" w:rsidRPr="00935FAC" w:rsidRDefault="00935FAC" w:rsidP="00935FAC">
      <w:pPr>
        <w:overflowPunct w:val="0"/>
        <w:autoSpaceDE w:val="0"/>
        <w:autoSpaceDN w:val="0"/>
        <w:adjustRightInd w:val="0"/>
        <w:jc w:val="both"/>
        <w:textAlignment w:val="baseline"/>
        <w:outlineLvl w:val="1"/>
        <w:rPr>
          <w:rFonts w:ascii="Bookman Old Style" w:hAnsi="Bookman Old Style" w:cs="Arial"/>
          <w:b/>
          <w:bCs/>
          <w:i/>
          <w:sz w:val="22"/>
          <w:szCs w:val="22"/>
        </w:rPr>
      </w:pPr>
      <w:r w:rsidRPr="00935FAC">
        <w:rPr>
          <w:rFonts w:ascii="Bookman Old Style" w:hAnsi="Bookman Old Style" w:cs="Arial"/>
          <w:b/>
          <w:bCs/>
          <w:i/>
          <w:sz w:val="22"/>
          <w:szCs w:val="22"/>
        </w:rPr>
        <w:t>“5.3. MERCADO RELEVANTE DE DISTRIBUCIÓN ESPECIAL PARA EL SIGUIENTE PERÍODO TARIFARIO.</w:t>
      </w:r>
    </w:p>
    <w:p w14:paraId="78B095A8" w14:textId="77777777" w:rsidR="00935FAC" w:rsidRPr="00935FAC" w:rsidRDefault="00935FAC" w:rsidP="00935FAC">
      <w:pPr>
        <w:jc w:val="both"/>
        <w:rPr>
          <w:rFonts w:ascii="Bookman Old Style" w:eastAsia="Calibri" w:hAnsi="Bookman Old Style" w:cs="Arial"/>
          <w:i/>
          <w:sz w:val="22"/>
          <w:szCs w:val="22"/>
        </w:rPr>
      </w:pPr>
    </w:p>
    <w:p w14:paraId="296A55A7"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i/>
          <w:sz w:val="22"/>
          <w:szCs w:val="22"/>
        </w:rPr>
        <w:t xml:space="preserve">En los casos en los que centros poblados diferentes a la cabecera municipal, entendiéndose por estos los corregimientos, caseríos o inspecciones de policía, que forman parte de municipios que se encuentran conformando Mercados Relevantes Existentes o Mercados Relevantes para el Siguiente Período Tarifario con Cargos de Distribución aprobados </w:t>
      </w:r>
      <w:r w:rsidRPr="00935FAC">
        <w:rPr>
          <w:rFonts w:ascii="Bookman Old Style" w:hAnsi="Bookman Old Style" w:cs="Arial"/>
          <w:bCs/>
          <w:i/>
          <w:sz w:val="22"/>
          <w:szCs w:val="22"/>
          <w:u w:val="single"/>
        </w:rPr>
        <w:t>y que por razones de distancia a los Sistemas de Distribución no se encuentran incluidos dentro del plan de expansión por parte del Distribuidor que presta el servicio en dicho Mercado Relevante</w:t>
      </w:r>
      <w:r w:rsidRPr="00935FAC">
        <w:rPr>
          <w:rFonts w:ascii="Bookman Old Style" w:hAnsi="Bookman Old Style" w:cs="Arial"/>
          <w:bCs/>
          <w:i/>
          <w:sz w:val="22"/>
          <w:szCs w:val="22"/>
        </w:rPr>
        <w:t xml:space="preserve">, podrán constituirse como un Mercado Relevante de Distribución Especial para el Siguiente Período Tarifario. Para el Mercado Relevante de Distribución Especial para el Siguiente Período Tarifario se establece un cargo por uso del Sistema de Distribución, cumpliendo todas las condiciones establecidas en la presente resolución para Nuevos Mercados de Distribución. Este cargo será aplicable únicamente a dicho </w:t>
      </w:r>
      <w:r w:rsidRPr="00935FAC">
        <w:rPr>
          <w:rFonts w:ascii="Bookman Old Style" w:hAnsi="Bookman Old Style" w:cs="Arial"/>
          <w:bCs/>
          <w:i/>
          <w:sz w:val="22"/>
          <w:szCs w:val="22"/>
        </w:rPr>
        <w:lastRenderedPageBreak/>
        <w:t>centro poblado o Mercado Relevante de Distribución Especial para el Siguiente Período Tarifario.</w:t>
      </w:r>
    </w:p>
    <w:p w14:paraId="6F64B8D0"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i/>
          <w:sz w:val="22"/>
          <w:szCs w:val="22"/>
        </w:rPr>
        <w:t xml:space="preserve">La Comisión evaluará en la actuación administrativa correspondiente a la solicitud tarifaria del Distribuidor interesado, si las condiciones del centro poblado ameritan su constitución como Mercado Relevante de Distribución Especial. </w:t>
      </w:r>
    </w:p>
    <w:p w14:paraId="0612F8E7"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sz w:val="22"/>
          <w:szCs w:val="22"/>
        </w:rPr>
        <w:t>Subrayado fuera de texto.</w:t>
      </w:r>
    </w:p>
    <w:p w14:paraId="20E37AC7"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i/>
          <w:sz w:val="22"/>
          <w:szCs w:val="22"/>
        </w:rPr>
        <w:t>(…)</w:t>
      </w:r>
    </w:p>
    <w:p w14:paraId="51E9FB5C"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 xml:space="preserve">Ahora bien, </w:t>
      </w:r>
      <w:r w:rsidR="002222DA">
        <w:rPr>
          <w:rFonts w:ascii="Bookman Old Style" w:hAnsi="Bookman Old Style" w:cs="Arial"/>
        </w:rPr>
        <w:t xml:space="preserve">los </w:t>
      </w:r>
      <w:r w:rsidRPr="00935FAC">
        <w:rPr>
          <w:rFonts w:ascii="Bookman Old Style" w:hAnsi="Bookman Old Style" w:cs="Arial"/>
        </w:rPr>
        <w:t>municipio</w:t>
      </w:r>
      <w:r w:rsidR="002222DA">
        <w:rPr>
          <w:rFonts w:ascii="Bookman Old Style" w:hAnsi="Bookman Old Style" w:cs="Arial"/>
        </w:rPr>
        <w:t>s</w:t>
      </w:r>
      <w:r w:rsidRPr="00935FAC">
        <w:rPr>
          <w:rFonts w:ascii="Bookman Old Style" w:hAnsi="Bookman Old Style" w:cs="Arial"/>
        </w:rPr>
        <w:t xml:space="preserve"> de </w:t>
      </w:r>
      <w:r w:rsidR="002222DA">
        <w:rPr>
          <w:rFonts w:ascii="Bookman Old Style" w:hAnsi="Bookman Old Style" w:cs="Arial"/>
        </w:rPr>
        <w:t>Montería y Cereté en el departamento de Córdoba</w:t>
      </w:r>
      <w:r w:rsidRPr="00935FAC">
        <w:rPr>
          <w:rFonts w:ascii="Bookman Old Style" w:hAnsi="Bookman Old Style" w:cs="Arial"/>
        </w:rPr>
        <w:t>, hace</w:t>
      </w:r>
      <w:r w:rsidR="002222DA">
        <w:rPr>
          <w:rFonts w:ascii="Bookman Old Style" w:hAnsi="Bookman Old Style" w:cs="Arial"/>
        </w:rPr>
        <w:t>n</w:t>
      </w:r>
      <w:r w:rsidRPr="00935FAC">
        <w:rPr>
          <w:rFonts w:ascii="Bookman Old Style" w:hAnsi="Bookman Old Style" w:cs="Arial"/>
        </w:rPr>
        <w:t xml:space="preserve"> parte del mercado relevante de </w:t>
      </w:r>
      <w:r w:rsidR="002222DA">
        <w:rPr>
          <w:rFonts w:ascii="Bookman Old Style" w:hAnsi="Bookman Old Style" w:cs="Arial"/>
        </w:rPr>
        <w:t xml:space="preserve">SURTIGAS S.A. </w:t>
      </w:r>
      <w:r w:rsidRPr="00935FAC">
        <w:rPr>
          <w:rFonts w:ascii="Bookman Old Style" w:hAnsi="Bookman Old Style" w:cs="Arial"/>
        </w:rPr>
        <w:t xml:space="preserve">E.S.P. conformado por el mismo municipio, el cual cuenta con cargos aprobados por uso del sistema de distribución mediante </w:t>
      </w:r>
      <w:r w:rsidR="002222DA" w:rsidRPr="002222DA">
        <w:rPr>
          <w:rFonts w:ascii="Bookman Old Style" w:hAnsi="Bookman Old Style" w:cs="Arial"/>
        </w:rPr>
        <w:t>las resoluciones CREG 030 y 063 de 2004; 50 y 129 de 2008</w:t>
      </w:r>
      <w:r w:rsidRPr="00935FAC">
        <w:rPr>
          <w:rFonts w:ascii="Bookman Old Style" w:hAnsi="Bookman Old Style" w:cs="Arial"/>
        </w:rPr>
        <w:t xml:space="preserve">, con base en la metodología </w:t>
      </w:r>
      <w:r>
        <w:rPr>
          <w:rFonts w:ascii="Bookman Old Style" w:hAnsi="Bookman Old Style" w:cs="Arial"/>
        </w:rPr>
        <w:t>establecida en</w:t>
      </w:r>
      <w:r w:rsidRPr="00935FAC">
        <w:rPr>
          <w:rFonts w:ascii="Bookman Old Style" w:hAnsi="Bookman Old Style" w:cs="Arial"/>
        </w:rPr>
        <w:t xml:space="preserve"> la Resolución CREG 011 de 2003.</w:t>
      </w:r>
    </w:p>
    <w:p w14:paraId="185CD4D0"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Por lo tanto, esta Comisión mediante oficio con radicado CREG S-201</w:t>
      </w:r>
      <w:r w:rsidR="002222DA">
        <w:rPr>
          <w:rFonts w:ascii="Bookman Old Style" w:hAnsi="Bookman Old Style" w:cs="Arial"/>
        </w:rPr>
        <w:t>9</w:t>
      </w:r>
      <w:r w:rsidRPr="00935FAC">
        <w:rPr>
          <w:rFonts w:ascii="Bookman Old Style" w:hAnsi="Bookman Old Style" w:cs="Arial"/>
        </w:rPr>
        <w:t>-00</w:t>
      </w:r>
      <w:r w:rsidR="002222DA">
        <w:rPr>
          <w:rFonts w:ascii="Bookman Old Style" w:hAnsi="Bookman Old Style" w:cs="Arial"/>
        </w:rPr>
        <w:t>1213</w:t>
      </w:r>
      <w:r w:rsidRPr="00935FAC">
        <w:rPr>
          <w:rFonts w:ascii="Bookman Old Style" w:hAnsi="Bookman Old Style" w:cs="Arial"/>
        </w:rPr>
        <w:t xml:space="preserve"> de </w:t>
      </w:r>
      <w:r w:rsidR="002222DA">
        <w:rPr>
          <w:rFonts w:ascii="Bookman Old Style" w:hAnsi="Bookman Old Style" w:cs="Arial"/>
        </w:rPr>
        <w:t>marzo</w:t>
      </w:r>
      <w:r w:rsidRPr="00935FAC">
        <w:rPr>
          <w:rFonts w:ascii="Bookman Old Style" w:hAnsi="Bookman Old Style" w:cs="Arial"/>
        </w:rPr>
        <w:t xml:space="preserve"> </w:t>
      </w:r>
      <w:r w:rsidR="002222DA">
        <w:rPr>
          <w:rFonts w:ascii="Bookman Old Style" w:hAnsi="Bookman Old Style" w:cs="Arial"/>
        </w:rPr>
        <w:t>04</w:t>
      </w:r>
      <w:r w:rsidRPr="00935FAC">
        <w:rPr>
          <w:rFonts w:ascii="Bookman Old Style" w:hAnsi="Bookman Old Style" w:cs="Arial"/>
        </w:rPr>
        <w:t xml:space="preserve"> de 201</w:t>
      </w:r>
      <w:r w:rsidR="002222DA">
        <w:rPr>
          <w:rFonts w:ascii="Bookman Old Style" w:hAnsi="Bookman Old Style" w:cs="Arial"/>
        </w:rPr>
        <w:t>9</w:t>
      </w:r>
      <w:r w:rsidRPr="00935FAC">
        <w:rPr>
          <w:rFonts w:ascii="Bookman Old Style" w:hAnsi="Bookman Old Style" w:cs="Arial"/>
        </w:rPr>
        <w:t xml:space="preserve">, solicita a la empresa </w:t>
      </w:r>
      <w:r w:rsidR="002222DA">
        <w:rPr>
          <w:rFonts w:ascii="Bookman Old Style" w:hAnsi="Bookman Old Style" w:cs="Arial"/>
        </w:rPr>
        <w:t xml:space="preserve">SURTIGAS S.A. </w:t>
      </w:r>
      <w:r w:rsidRPr="00935FAC">
        <w:rPr>
          <w:rFonts w:ascii="Bookman Old Style" w:hAnsi="Bookman Old Style" w:cs="Arial"/>
        </w:rPr>
        <w:t xml:space="preserve">E.S.P. que manifieste si los centros poblados presentados por la empresa </w:t>
      </w:r>
      <w:r w:rsidR="002222DA">
        <w:rPr>
          <w:rFonts w:ascii="Bookman Old Style" w:hAnsi="Bookman Old Style" w:cs="Arial"/>
        </w:rPr>
        <w:t>JADAPE</w:t>
      </w:r>
      <w:r w:rsidRPr="00935FAC">
        <w:rPr>
          <w:rFonts w:ascii="Bookman Old Style" w:hAnsi="Bookman Old Style" w:cs="Arial"/>
        </w:rPr>
        <w:t xml:space="preserve"> S.A.</w:t>
      </w:r>
      <w:r w:rsidR="002222DA">
        <w:rPr>
          <w:rFonts w:ascii="Bookman Old Style" w:hAnsi="Bookman Old Style" w:cs="Arial"/>
        </w:rPr>
        <w:t>S.</w:t>
      </w:r>
      <w:r w:rsidRPr="00935FAC">
        <w:rPr>
          <w:rFonts w:ascii="Bookman Old Style" w:hAnsi="Bookman Old Style" w:cs="Arial"/>
        </w:rPr>
        <w:t xml:space="preserve"> E.S.P. hacen parte de su plan de expansión.</w:t>
      </w:r>
    </w:p>
    <w:p w14:paraId="3C5CE19D"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 xml:space="preserve">La empresa </w:t>
      </w:r>
      <w:r w:rsidR="002222DA">
        <w:rPr>
          <w:rFonts w:ascii="Bookman Old Style" w:hAnsi="Bookman Old Style" w:cs="Arial"/>
        </w:rPr>
        <w:t>SURTIGAS</w:t>
      </w:r>
      <w:r w:rsidRPr="00935FAC">
        <w:rPr>
          <w:rFonts w:ascii="Bookman Old Style" w:hAnsi="Bookman Old Style" w:cs="Arial"/>
        </w:rPr>
        <w:t xml:space="preserve"> </w:t>
      </w:r>
      <w:r w:rsidR="002222DA">
        <w:rPr>
          <w:rFonts w:ascii="Bookman Old Style" w:hAnsi="Bookman Old Style" w:cs="Arial"/>
        </w:rPr>
        <w:t xml:space="preserve">S.A </w:t>
      </w:r>
      <w:r w:rsidRPr="00935FAC">
        <w:rPr>
          <w:rFonts w:ascii="Bookman Old Style" w:hAnsi="Bookman Old Style" w:cs="Arial"/>
        </w:rPr>
        <w:t>E.S.P. mediante radicado CREG E-201</w:t>
      </w:r>
      <w:r w:rsidR="002222DA">
        <w:rPr>
          <w:rFonts w:ascii="Bookman Old Style" w:hAnsi="Bookman Old Style" w:cs="Arial"/>
        </w:rPr>
        <w:t>9</w:t>
      </w:r>
      <w:r w:rsidRPr="00935FAC">
        <w:rPr>
          <w:rFonts w:ascii="Bookman Old Style" w:hAnsi="Bookman Old Style" w:cs="Arial"/>
        </w:rPr>
        <w:t>-0</w:t>
      </w:r>
      <w:r w:rsidR="00981C1F">
        <w:rPr>
          <w:rFonts w:ascii="Bookman Old Style" w:hAnsi="Bookman Old Style" w:cs="Arial"/>
        </w:rPr>
        <w:t>03441</w:t>
      </w:r>
      <w:r w:rsidRPr="00935FAC">
        <w:rPr>
          <w:rFonts w:ascii="Bookman Old Style" w:hAnsi="Bookman Old Style" w:cs="Arial"/>
        </w:rPr>
        <w:t xml:space="preserve"> de </w:t>
      </w:r>
      <w:r w:rsidR="002222DA">
        <w:rPr>
          <w:rFonts w:ascii="Bookman Old Style" w:hAnsi="Bookman Old Style" w:cs="Arial"/>
        </w:rPr>
        <w:t>marzo</w:t>
      </w:r>
      <w:r w:rsidRPr="00935FAC">
        <w:rPr>
          <w:rFonts w:ascii="Bookman Old Style" w:hAnsi="Bookman Old Style" w:cs="Arial"/>
        </w:rPr>
        <w:t xml:space="preserve"> </w:t>
      </w:r>
      <w:r w:rsidR="00981C1F">
        <w:rPr>
          <w:rFonts w:ascii="Bookman Old Style" w:hAnsi="Bookman Old Style" w:cs="Arial"/>
        </w:rPr>
        <w:t>20</w:t>
      </w:r>
      <w:r w:rsidRPr="00935FAC">
        <w:rPr>
          <w:rFonts w:ascii="Bookman Old Style" w:hAnsi="Bookman Old Style" w:cs="Arial"/>
        </w:rPr>
        <w:t xml:space="preserve"> de 201</w:t>
      </w:r>
      <w:r w:rsidR="002222DA">
        <w:rPr>
          <w:rFonts w:ascii="Bookman Old Style" w:hAnsi="Bookman Old Style" w:cs="Arial"/>
        </w:rPr>
        <w:t>9</w:t>
      </w:r>
      <w:r w:rsidRPr="00935FAC">
        <w:rPr>
          <w:rFonts w:ascii="Bookman Old Style" w:hAnsi="Bookman Old Style" w:cs="Arial"/>
        </w:rPr>
        <w:t xml:space="preserve">, manifestó que </w:t>
      </w:r>
      <w:r w:rsidR="00981C1F">
        <w:rPr>
          <w:rFonts w:ascii="Bookman Old Style" w:hAnsi="Bookman Old Style" w:cs="Arial"/>
        </w:rPr>
        <w:t>los centros poblados de Jaraquiel, Sierra Chiquita en el municipio de Monteria; Rabolargo, San Antonio y El Cedro en el municipio de Cereté en el departamento de Córdoba, hacen parte del plan de expansión de la empresa y se tiene estimado la prestación del servicio en el año 2020.</w:t>
      </w:r>
    </w:p>
    <w:p w14:paraId="52482AC3" w14:textId="77777777" w:rsid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Respecto al plan de expansión es importante considerar que mediante la</w:t>
      </w:r>
      <w:r w:rsidR="00751D88">
        <w:rPr>
          <w:rFonts w:ascii="Bookman Old Style" w:hAnsi="Bookman Old Style" w:cs="Arial"/>
        </w:rPr>
        <w:t>s</w:t>
      </w:r>
      <w:r w:rsidRPr="00935FAC">
        <w:rPr>
          <w:rFonts w:ascii="Bookman Old Style" w:hAnsi="Bookman Old Style" w:cs="Arial"/>
        </w:rPr>
        <w:t xml:space="preserve"> </w:t>
      </w:r>
      <w:r w:rsidR="00751D88">
        <w:rPr>
          <w:rFonts w:ascii="Bookman Old Style" w:hAnsi="Bookman Old Style" w:cs="Arial"/>
        </w:rPr>
        <w:t>r</w:t>
      </w:r>
      <w:r w:rsidRPr="00935FAC">
        <w:rPr>
          <w:rFonts w:ascii="Bookman Old Style" w:hAnsi="Bookman Old Style" w:cs="Arial"/>
        </w:rPr>
        <w:t>esoluci</w:t>
      </w:r>
      <w:r w:rsidR="00751D88">
        <w:rPr>
          <w:rFonts w:ascii="Bookman Old Style" w:hAnsi="Bookman Old Style" w:cs="Arial"/>
        </w:rPr>
        <w:t>o</w:t>
      </w:r>
      <w:r w:rsidRPr="00935FAC">
        <w:rPr>
          <w:rFonts w:ascii="Bookman Old Style" w:hAnsi="Bookman Old Style" w:cs="Arial"/>
        </w:rPr>
        <w:t>n</w:t>
      </w:r>
      <w:r w:rsidR="00751D88">
        <w:rPr>
          <w:rFonts w:ascii="Bookman Old Style" w:hAnsi="Bookman Old Style" w:cs="Arial"/>
        </w:rPr>
        <w:t>es</w:t>
      </w:r>
      <w:r w:rsidRPr="00935FAC">
        <w:rPr>
          <w:rFonts w:ascii="Bookman Old Style" w:hAnsi="Bookman Old Style" w:cs="Arial"/>
        </w:rPr>
        <w:t xml:space="preserve"> CREG </w:t>
      </w:r>
      <w:r w:rsidR="00751D88" w:rsidRPr="00751D88">
        <w:rPr>
          <w:rFonts w:ascii="Bookman Old Style" w:hAnsi="Bookman Old Style" w:cs="Arial"/>
        </w:rPr>
        <w:t>030 y 063 de 2004; 50 y 129 de 2008</w:t>
      </w:r>
      <w:r w:rsidRPr="00935FAC">
        <w:rPr>
          <w:rFonts w:ascii="Bookman Old Style" w:hAnsi="Bookman Old Style" w:cs="Arial"/>
        </w:rPr>
        <w:t xml:space="preserve">, </w:t>
      </w:r>
      <w:r w:rsidR="00751D88">
        <w:rPr>
          <w:rFonts w:ascii="Bookman Old Style" w:hAnsi="Bookman Old Style" w:cs="Arial"/>
        </w:rPr>
        <w:t xml:space="preserve">se </w:t>
      </w:r>
      <w:r w:rsidRPr="00935FAC">
        <w:rPr>
          <w:rFonts w:ascii="Bookman Old Style" w:hAnsi="Bookman Old Style" w:cs="Arial"/>
        </w:rPr>
        <w:t xml:space="preserve">aprobó el Cargo Promedio de Distribución por uso del Sistema de Distribución con base en la metodología de costos medios de mediano plazo, establecida en la Resolución CREG 011 de 2003. Donde, para el mercado relevante </w:t>
      </w:r>
      <w:r w:rsidR="00751D88">
        <w:rPr>
          <w:rFonts w:ascii="Bookman Old Style" w:hAnsi="Bookman Old Style" w:cs="Arial"/>
        </w:rPr>
        <w:t>que incluye</w:t>
      </w:r>
      <w:r w:rsidRPr="00935FAC">
        <w:rPr>
          <w:rFonts w:ascii="Bookman Old Style" w:hAnsi="Bookman Old Style" w:cs="Arial"/>
        </w:rPr>
        <w:t xml:space="preserve"> </w:t>
      </w:r>
      <w:r w:rsidR="00751D88" w:rsidRPr="00751D88">
        <w:rPr>
          <w:rFonts w:ascii="Bookman Old Style" w:hAnsi="Bookman Old Style" w:cs="Arial"/>
        </w:rPr>
        <w:t>a los municipios de Montería y Cereté</w:t>
      </w:r>
      <w:r w:rsidR="00751D88">
        <w:rPr>
          <w:rFonts w:ascii="Bookman Old Style" w:hAnsi="Bookman Old Style" w:cs="Arial"/>
        </w:rPr>
        <w:t xml:space="preserve"> en el departamento de Córdoba,</w:t>
      </w:r>
      <w:r w:rsidR="00751D88">
        <w:rPr>
          <w:rFonts w:ascii="Arial" w:hAnsi="Arial" w:cs="Arial"/>
        </w:rPr>
        <w:t xml:space="preserve"> </w:t>
      </w:r>
      <w:r w:rsidRPr="00935FAC">
        <w:rPr>
          <w:rFonts w:ascii="Bookman Old Style" w:hAnsi="Bookman Old Style" w:cs="Arial"/>
        </w:rPr>
        <w:t>se aprobó un cargo de distribución con base en un programa de nuevas inversiones a cinco años.</w:t>
      </w:r>
    </w:p>
    <w:p w14:paraId="359D55CE"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En este sentido, el código de distribución de gas combustible por redes, establecido mediante la Resolución CREG 067 de 1995, precisa lo siguiente:</w:t>
      </w:r>
    </w:p>
    <w:p w14:paraId="6FF186F1" w14:textId="77777777" w:rsidR="00935FAC" w:rsidRPr="00935FAC" w:rsidRDefault="00935FAC" w:rsidP="00935FAC">
      <w:pPr>
        <w:pStyle w:val="Prrafodelista"/>
        <w:numPr>
          <w:ilvl w:val="0"/>
          <w:numId w:val="18"/>
        </w:numPr>
        <w:contextualSpacing/>
        <w:jc w:val="both"/>
        <w:rPr>
          <w:rFonts w:ascii="Bookman Old Style" w:hAnsi="Bookman Old Style" w:cs="Arial"/>
          <w:sz w:val="22"/>
          <w:szCs w:val="22"/>
        </w:rPr>
      </w:pPr>
      <w:r w:rsidRPr="00935FAC">
        <w:rPr>
          <w:rFonts w:ascii="Bookman Old Style" w:hAnsi="Bookman Old Style" w:cs="Arial"/>
          <w:sz w:val="22"/>
          <w:szCs w:val="22"/>
        </w:rPr>
        <w:t>En el título III.3 “Planeamiento de la expansión”, numeral 3.9 dispone que:</w:t>
      </w:r>
    </w:p>
    <w:p w14:paraId="1FD2B3DA" w14:textId="77777777" w:rsidR="00935FAC" w:rsidRPr="00935FAC" w:rsidRDefault="00935FAC" w:rsidP="00935FAC">
      <w:pPr>
        <w:jc w:val="both"/>
        <w:rPr>
          <w:rFonts w:ascii="Bookman Old Style" w:hAnsi="Bookman Old Style" w:cs="Arial"/>
          <w:sz w:val="22"/>
          <w:szCs w:val="22"/>
        </w:rPr>
      </w:pPr>
    </w:p>
    <w:p w14:paraId="714A860A" w14:textId="77777777" w:rsidR="00935FAC" w:rsidRPr="00935FAC" w:rsidRDefault="00935FAC" w:rsidP="00935FAC">
      <w:pPr>
        <w:ind w:right="613"/>
        <w:jc w:val="both"/>
        <w:rPr>
          <w:rFonts w:ascii="Bookman Old Style" w:hAnsi="Bookman Old Style" w:cs="Arial"/>
          <w:i/>
          <w:sz w:val="22"/>
          <w:szCs w:val="22"/>
        </w:rPr>
      </w:pPr>
      <w:r w:rsidRPr="00935FAC">
        <w:rPr>
          <w:rFonts w:ascii="Bookman Old Style" w:hAnsi="Bookman Old Style" w:cs="Arial"/>
          <w:i/>
          <w:sz w:val="22"/>
          <w:szCs w:val="22"/>
        </w:rPr>
        <w:t>3.9. Con el fin de definir las fórmulas de tarifas de la empresa respectiva, para la expansión, reforma o modificaciones de los sistemas de distribución, la CREG utilizará la información de los planes quinquenales con la inversión prevista, que las empresas deben enviar a la UPME para su revisión y concepto, de forma tal que la inversión se recupere por medio de tarifas, de acuerdo con las resoluciones que para el efecto expida la CREG.</w:t>
      </w:r>
    </w:p>
    <w:p w14:paraId="53051149" w14:textId="77777777" w:rsidR="00935FAC" w:rsidRDefault="00935FAC" w:rsidP="00935FAC">
      <w:pPr>
        <w:jc w:val="both"/>
        <w:rPr>
          <w:rFonts w:ascii="Arial" w:hAnsi="Arial" w:cs="Arial"/>
        </w:rPr>
      </w:pPr>
    </w:p>
    <w:p w14:paraId="04750DD7" w14:textId="19AE7FCE" w:rsidR="00935FAC" w:rsidRPr="00935FAC" w:rsidRDefault="00935FAC" w:rsidP="00935FAC">
      <w:pPr>
        <w:ind w:left="0"/>
        <w:jc w:val="both"/>
        <w:rPr>
          <w:rFonts w:ascii="Bookman Old Style" w:hAnsi="Bookman Old Style" w:cs="Arial"/>
        </w:rPr>
      </w:pPr>
      <w:r w:rsidRPr="00935FAC">
        <w:rPr>
          <w:rFonts w:ascii="Bookman Old Style" w:hAnsi="Bookman Old Style" w:cs="Arial"/>
        </w:rPr>
        <w:lastRenderedPageBreak/>
        <w:t>En tal contexto, el numeral 5.3</w:t>
      </w:r>
      <w:r w:rsidR="00DA3226">
        <w:rPr>
          <w:rFonts w:ascii="Bookman Old Style" w:hAnsi="Bookman Old Style" w:cs="Arial"/>
        </w:rPr>
        <w:t xml:space="preserve"> del artículo 5</w:t>
      </w:r>
      <w:r w:rsidRPr="00935FAC">
        <w:rPr>
          <w:rFonts w:ascii="Bookman Old Style" w:hAnsi="Bookman Old Style" w:cs="Arial"/>
        </w:rPr>
        <w:t xml:space="preserve"> de la Resolución CREG 202 de 2013, establece que los centros poblados </w:t>
      </w:r>
      <w:r w:rsidRPr="00935FAC">
        <w:rPr>
          <w:rFonts w:ascii="Bookman Old Style" w:hAnsi="Bookman Old Style" w:cs="Arial"/>
          <w:u w:val="single"/>
        </w:rPr>
        <w:t>que no se encuentren incluidos dentro del plan de expansión</w:t>
      </w:r>
      <w:r w:rsidRPr="00935FAC">
        <w:rPr>
          <w:rFonts w:ascii="Bookman Old Style" w:hAnsi="Bookman Old Style" w:cs="Arial"/>
        </w:rPr>
        <w:t xml:space="preserve"> por parte del distribuidor que presta el servicio en dicho mercado, podrán constituirse como un mercado de distribución especial. Donde, la restricción asociada a estos planes tiene por objeto garantizar que las expansiones que no habían cumplido los cinco años al momento de la expedición de la Resolución CREG 202 de 2013 pudieran ejecutarse.</w:t>
      </w:r>
    </w:p>
    <w:p w14:paraId="19A0AF4C" w14:textId="77777777" w:rsidR="00935FAC" w:rsidRDefault="00935FAC" w:rsidP="00935FAC">
      <w:pPr>
        <w:jc w:val="both"/>
        <w:rPr>
          <w:rFonts w:ascii="Arial" w:hAnsi="Arial" w:cs="Arial"/>
        </w:rPr>
      </w:pPr>
    </w:p>
    <w:p w14:paraId="4471C74F"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De manera que, durante la vigencia de los cargos aprobados con la metodología establecida en la Resolución CREG 011 de 2003, las empresas distribuidoras interesadas en ampliar la prestación del servicio debieron manifestar tanto a esta Comisión como a la UPME el plan de expansión indicado en el numeral 3.9 del código de distribución.</w:t>
      </w:r>
    </w:p>
    <w:p w14:paraId="5BF7ED3A" w14:textId="77777777" w:rsidR="00935FAC" w:rsidRDefault="00935FAC" w:rsidP="00935FAC">
      <w:pPr>
        <w:jc w:val="both"/>
        <w:rPr>
          <w:rFonts w:ascii="Arial" w:hAnsi="Arial" w:cs="Arial"/>
        </w:rPr>
      </w:pPr>
    </w:p>
    <w:p w14:paraId="5154A781"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Por lo tanto, ante la manifestación de la empresa </w:t>
      </w:r>
      <w:r w:rsidR="00DA5205">
        <w:rPr>
          <w:rFonts w:ascii="Bookman Old Style" w:hAnsi="Bookman Old Style" w:cs="Arial"/>
        </w:rPr>
        <w:t>SURTIGAS S.A.</w:t>
      </w:r>
      <w:r w:rsidRPr="00935FAC">
        <w:rPr>
          <w:rFonts w:ascii="Bookman Old Style" w:hAnsi="Bookman Old Style" w:cs="Arial"/>
        </w:rPr>
        <w:t xml:space="preserve"> E.S.P. de ampliar la cobertura del servicio en </w:t>
      </w:r>
      <w:r w:rsidR="00DA5205">
        <w:rPr>
          <w:rFonts w:ascii="Bookman Old Style" w:hAnsi="Bookman Old Style" w:cs="Arial"/>
        </w:rPr>
        <w:t>los</w:t>
      </w:r>
      <w:r w:rsidRPr="00935FAC">
        <w:rPr>
          <w:rFonts w:ascii="Bookman Old Style" w:hAnsi="Bookman Old Style" w:cs="Arial"/>
        </w:rPr>
        <w:t xml:space="preserve"> centro</w:t>
      </w:r>
      <w:r w:rsidR="00DA5205">
        <w:rPr>
          <w:rFonts w:ascii="Bookman Old Style" w:hAnsi="Bookman Old Style" w:cs="Arial"/>
        </w:rPr>
        <w:t>s</w:t>
      </w:r>
      <w:r w:rsidRPr="00935FAC">
        <w:rPr>
          <w:rFonts w:ascii="Bookman Old Style" w:hAnsi="Bookman Old Style" w:cs="Arial"/>
        </w:rPr>
        <w:t xml:space="preserve"> poblado</w:t>
      </w:r>
      <w:r w:rsidR="00DA5205">
        <w:rPr>
          <w:rFonts w:ascii="Bookman Old Style" w:hAnsi="Bookman Old Style" w:cs="Arial"/>
        </w:rPr>
        <w:t>s</w:t>
      </w:r>
      <w:r w:rsidRPr="00935FAC">
        <w:rPr>
          <w:rFonts w:ascii="Bookman Old Style" w:hAnsi="Bookman Old Style" w:cs="Arial"/>
        </w:rPr>
        <w:t xml:space="preserve"> de </w:t>
      </w:r>
      <w:r w:rsidR="00BA2504" w:rsidRPr="00BA2504">
        <w:rPr>
          <w:rFonts w:ascii="Bookman Old Style" w:hAnsi="Bookman Old Style" w:cs="Arial"/>
        </w:rPr>
        <w:t>Jaraquiel y Sierra Chiquita en el municipio de Montería; Rabolargo, San Antonio y El Cedro en el municipio de Cereté, departamento de Córdoba</w:t>
      </w:r>
      <w:r w:rsidRPr="00935FAC">
        <w:rPr>
          <w:rFonts w:ascii="Bookman Old Style" w:hAnsi="Bookman Old Style" w:cs="Arial"/>
        </w:rPr>
        <w:t>, esta Comisión considera que se encuentra fuera del plan de expansión que sirvió de base para el cálculo del cargo de la</w:t>
      </w:r>
      <w:r w:rsidR="00BA2504">
        <w:rPr>
          <w:rFonts w:ascii="Bookman Old Style" w:hAnsi="Bookman Old Style" w:cs="Arial"/>
        </w:rPr>
        <w:t>s</w:t>
      </w:r>
      <w:r w:rsidRPr="00935FAC">
        <w:rPr>
          <w:rFonts w:ascii="Bookman Old Style" w:hAnsi="Bookman Old Style" w:cs="Arial"/>
        </w:rPr>
        <w:t xml:space="preserve"> </w:t>
      </w:r>
      <w:r w:rsidR="00BA2504">
        <w:rPr>
          <w:rFonts w:ascii="Bookman Old Style" w:hAnsi="Bookman Old Style" w:cs="Arial"/>
        </w:rPr>
        <w:t>r</w:t>
      </w:r>
      <w:r w:rsidR="00BA2504" w:rsidRPr="00935FAC">
        <w:rPr>
          <w:rFonts w:ascii="Bookman Old Style" w:hAnsi="Bookman Old Style" w:cs="Arial"/>
        </w:rPr>
        <w:t>esoluci</w:t>
      </w:r>
      <w:r w:rsidR="00BA2504">
        <w:rPr>
          <w:rFonts w:ascii="Bookman Old Style" w:hAnsi="Bookman Old Style" w:cs="Arial"/>
        </w:rPr>
        <w:t>o</w:t>
      </w:r>
      <w:r w:rsidR="00BA2504" w:rsidRPr="00935FAC">
        <w:rPr>
          <w:rFonts w:ascii="Bookman Old Style" w:hAnsi="Bookman Old Style" w:cs="Arial"/>
        </w:rPr>
        <w:t>n</w:t>
      </w:r>
      <w:r w:rsidR="00BA2504">
        <w:rPr>
          <w:rFonts w:ascii="Bookman Old Style" w:hAnsi="Bookman Old Style" w:cs="Arial"/>
        </w:rPr>
        <w:t>es</w:t>
      </w:r>
      <w:r w:rsidR="00BA2504" w:rsidRPr="00935FAC">
        <w:rPr>
          <w:rFonts w:ascii="Bookman Old Style" w:hAnsi="Bookman Old Style" w:cs="Arial"/>
        </w:rPr>
        <w:t xml:space="preserve"> CREG </w:t>
      </w:r>
      <w:r w:rsidR="00BA2504" w:rsidRPr="00751D88">
        <w:rPr>
          <w:rFonts w:ascii="Bookman Old Style" w:hAnsi="Bookman Old Style" w:cs="Arial"/>
        </w:rPr>
        <w:t>030 y 063 de 2004; 50 y 129 de 2008</w:t>
      </w:r>
      <w:r w:rsidRPr="00935FAC">
        <w:rPr>
          <w:rFonts w:ascii="Bookman Old Style" w:hAnsi="Bookman Old Style" w:cs="Arial"/>
        </w:rPr>
        <w:t>.</w:t>
      </w:r>
    </w:p>
    <w:p w14:paraId="37AAED1C" w14:textId="77777777" w:rsidR="00935FAC" w:rsidRDefault="00935FAC" w:rsidP="00935FAC">
      <w:pPr>
        <w:jc w:val="both"/>
        <w:rPr>
          <w:rFonts w:ascii="Arial" w:hAnsi="Arial" w:cs="Arial"/>
        </w:rPr>
      </w:pPr>
    </w:p>
    <w:p w14:paraId="33571E91"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Ahora bien, a partir de lo establecido en la Circular CREG 034 de 2017, la empresa </w:t>
      </w:r>
      <w:r w:rsidR="00BA2504">
        <w:rPr>
          <w:rFonts w:ascii="Bookman Old Style" w:hAnsi="Bookman Old Style" w:cs="Arial"/>
        </w:rPr>
        <w:t>SURTIGAS S.A.</w:t>
      </w:r>
      <w:r w:rsidRPr="00935FAC">
        <w:rPr>
          <w:rFonts w:ascii="Bookman Old Style" w:hAnsi="Bookman Old Style" w:cs="Arial"/>
        </w:rPr>
        <w:t xml:space="preserve"> E.S.P: solicitó aprobación de cargos transitorios para el mercado relevante de distribución para el siguiente periodo tarifario, en el cual estaba incluido </w:t>
      </w:r>
      <w:r w:rsidR="00BA2504">
        <w:rPr>
          <w:rFonts w:ascii="Bookman Old Style" w:hAnsi="Bookman Old Style" w:cs="Arial"/>
        </w:rPr>
        <w:t>los</w:t>
      </w:r>
      <w:r w:rsidRPr="00935FAC">
        <w:rPr>
          <w:rFonts w:ascii="Bookman Old Style" w:hAnsi="Bookman Old Style" w:cs="Arial"/>
        </w:rPr>
        <w:t xml:space="preserve"> municipio</w:t>
      </w:r>
      <w:r w:rsidR="00BA2504">
        <w:rPr>
          <w:rFonts w:ascii="Bookman Old Style" w:hAnsi="Bookman Old Style" w:cs="Arial"/>
        </w:rPr>
        <w:t>s</w:t>
      </w:r>
      <w:r w:rsidRPr="00935FAC">
        <w:rPr>
          <w:rFonts w:ascii="Bookman Old Style" w:hAnsi="Bookman Old Style" w:cs="Arial"/>
        </w:rPr>
        <w:t xml:space="preserve"> de </w:t>
      </w:r>
      <w:r w:rsidR="00BA2504">
        <w:rPr>
          <w:rFonts w:ascii="Bookman Old Style" w:hAnsi="Bookman Old Style" w:cs="Arial"/>
        </w:rPr>
        <w:t>Montería y Cereté</w:t>
      </w:r>
      <w:r w:rsidRPr="00935FAC">
        <w:rPr>
          <w:rFonts w:ascii="Bookman Old Style" w:hAnsi="Bookman Old Style" w:cs="Arial"/>
        </w:rPr>
        <w:t xml:space="preserve">, departamento de </w:t>
      </w:r>
      <w:r w:rsidR="00BA2504">
        <w:rPr>
          <w:rFonts w:ascii="Bookman Old Style" w:hAnsi="Bookman Old Style" w:cs="Arial"/>
        </w:rPr>
        <w:t>Córdoba</w:t>
      </w:r>
      <w:r w:rsidRPr="00935FAC">
        <w:rPr>
          <w:rFonts w:ascii="Bookman Old Style" w:hAnsi="Bookman Old Style" w:cs="Arial"/>
        </w:rPr>
        <w:t>, el cual fue aprobado mediante la Resolución CREG 17</w:t>
      </w:r>
      <w:r w:rsidR="00C8225E">
        <w:rPr>
          <w:rFonts w:ascii="Bookman Old Style" w:hAnsi="Bookman Old Style" w:cs="Arial"/>
        </w:rPr>
        <w:t>4</w:t>
      </w:r>
      <w:r w:rsidRPr="00935FAC">
        <w:rPr>
          <w:rFonts w:ascii="Bookman Old Style" w:hAnsi="Bookman Old Style" w:cs="Arial"/>
        </w:rPr>
        <w:t xml:space="preserve"> de 2017.</w:t>
      </w:r>
    </w:p>
    <w:p w14:paraId="303C80E3" w14:textId="77777777" w:rsidR="00935FAC" w:rsidRPr="00BE645F" w:rsidRDefault="00935FAC" w:rsidP="00935FAC">
      <w:pPr>
        <w:jc w:val="both"/>
        <w:rPr>
          <w:rFonts w:ascii="Arial" w:hAnsi="Arial" w:cs="Arial"/>
          <w:spacing w:val="-5"/>
        </w:rPr>
      </w:pPr>
    </w:p>
    <w:p w14:paraId="1C2940A3" w14:textId="2778554B"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Sin embargo, es importante considerar que a los cargos transitorios aprobados en virtud de la Circular CREG 034 de 2017, les aplica lo dispuesto en la Resolución CREG 067 de 1995, toda vez que las empresas distribuidoras interesadas en ampliar la prestación del servicio debieron </w:t>
      </w:r>
      <w:r w:rsidR="00803CE9">
        <w:rPr>
          <w:rFonts w:ascii="Bookman Old Style" w:hAnsi="Bookman Old Style" w:cs="Arial"/>
        </w:rPr>
        <w:t xml:space="preserve">presentar </w:t>
      </w:r>
      <w:r w:rsidRPr="00935FAC">
        <w:rPr>
          <w:rFonts w:ascii="Bookman Old Style" w:hAnsi="Bookman Old Style" w:cs="Arial"/>
        </w:rPr>
        <w:t xml:space="preserve">tanto a esta Comisión como a la UPME el plan de expansión. </w:t>
      </w:r>
    </w:p>
    <w:p w14:paraId="75A15B38" w14:textId="77777777" w:rsidR="00935FAC" w:rsidRDefault="00935FAC" w:rsidP="00935FAC">
      <w:pPr>
        <w:ind w:left="0"/>
        <w:jc w:val="both"/>
        <w:rPr>
          <w:rFonts w:ascii="Bookman Old Style" w:hAnsi="Bookman Old Style" w:cs="Arial"/>
        </w:rPr>
      </w:pPr>
    </w:p>
    <w:p w14:paraId="4A35616A"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En consecuencia, el requisito establecido en la Resolución CREG 202 de 2013, relacionado con la inclusión </w:t>
      </w:r>
      <w:r w:rsidR="00C8225E">
        <w:rPr>
          <w:rFonts w:ascii="Bookman Old Style" w:hAnsi="Bookman Old Style" w:cs="Arial"/>
        </w:rPr>
        <w:t xml:space="preserve">de los </w:t>
      </w:r>
      <w:r w:rsidR="00C8225E" w:rsidRPr="00935FAC">
        <w:rPr>
          <w:rFonts w:ascii="Bookman Old Style" w:hAnsi="Bookman Old Style" w:cs="Arial"/>
        </w:rPr>
        <w:t>centro</w:t>
      </w:r>
      <w:r w:rsidR="00C8225E">
        <w:rPr>
          <w:rFonts w:ascii="Bookman Old Style" w:hAnsi="Bookman Old Style" w:cs="Arial"/>
        </w:rPr>
        <w:t>s</w:t>
      </w:r>
      <w:r w:rsidR="00C8225E" w:rsidRPr="00935FAC">
        <w:rPr>
          <w:rFonts w:ascii="Bookman Old Style" w:hAnsi="Bookman Old Style" w:cs="Arial"/>
        </w:rPr>
        <w:t xml:space="preserve"> poblado</w:t>
      </w:r>
      <w:r w:rsidR="00C8225E">
        <w:rPr>
          <w:rFonts w:ascii="Bookman Old Style" w:hAnsi="Bookman Old Style" w:cs="Arial"/>
        </w:rPr>
        <w:t>s</w:t>
      </w:r>
      <w:r w:rsidR="00C8225E" w:rsidRPr="00935FAC">
        <w:rPr>
          <w:rFonts w:ascii="Bookman Old Style" w:hAnsi="Bookman Old Style" w:cs="Arial"/>
        </w:rPr>
        <w:t xml:space="preserve"> de </w:t>
      </w:r>
      <w:r w:rsidR="00C8225E" w:rsidRPr="00BA2504">
        <w:rPr>
          <w:rFonts w:ascii="Bookman Old Style" w:hAnsi="Bookman Old Style" w:cs="Arial"/>
        </w:rPr>
        <w:t>Jaraquiel y Sierra Chiquita en el municipio de Montería; Rabolargo, San Antonio y El Cedro en el municipio de Cereté, departamento de Córdoba</w:t>
      </w:r>
      <w:r w:rsidRPr="00935FAC">
        <w:rPr>
          <w:rFonts w:ascii="Bookman Old Style" w:hAnsi="Bookman Old Style" w:cs="Arial"/>
        </w:rPr>
        <w:t xml:space="preserve"> en el plan de expansión no es aplicable en este caso, dado que se evidencia que en el plan de expansión requerido para la aprobación del cargo con la</w:t>
      </w:r>
      <w:r w:rsidR="00C8225E">
        <w:rPr>
          <w:rFonts w:ascii="Bookman Old Style" w:hAnsi="Bookman Old Style" w:cs="Arial"/>
        </w:rPr>
        <w:t xml:space="preserve">s resoluciones </w:t>
      </w:r>
      <w:r w:rsidRPr="00935FAC">
        <w:rPr>
          <w:rFonts w:ascii="Bookman Old Style" w:hAnsi="Bookman Old Style" w:cs="Arial"/>
        </w:rPr>
        <w:t xml:space="preserve"> </w:t>
      </w:r>
      <w:r w:rsidR="00C8225E" w:rsidRPr="00935FAC">
        <w:rPr>
          <w:rFonts w:ascii="Bookman Old Style" w:hAnsi="Bookman Old Style" w:cs="Arial"/>
        </w:rPr>
        <w:t xml:space="preserve">CREG </w:t>
      </w:r>
      <w:r w:rsidR="00C8225E" w:rsidRPr="00751D88">
        <w:rPr>
          <w:rFonts w:ascii="Bookman Old Style" w:hAnsi="Bookman Old Style" w:cs="Arial"/>
        </w:rPr>
        <w:t>030 y 063 de 2004; 50 y 129 de 2008</w:t>
      </w:r>
      <w:r w:rsidR="00C8225E">
        <w:rPr>
          <w:rFonts w:ascii="Bookman Old Style" w:hAnsi="Bookman Old Style" w:cs="Arial"/>
        </w:rPr>
        <w:t xml:space="preserve"> </w:t>
      </w:r>
      <w:r w:rsidRPr="00935FAC">
        <w:rPr>
          <w:rFonts w:ascii="Bookman Old Style" w:hAnsi="Bookman Old Style" w:cs="Arial"/>
        </w:rPr>
        <w:t>no tiene</w:t>
      </w:r>
      <w:r w:rsidR="00C8225E">
        <w:rPr>
          <w:rFonts w:ascii="Bookman Old Style" w:hAnsi="Bookman Old Style" w:cs="Arial"/>
        </w:rPr>
        <w:t>n</w:t>
      </w:r>
      <w:r w:rsidRPr="00935FAC">
        <w:rPr>
          <w:rFonts w:ascii="Bookman Old Style" w:hAnsi="Bookman Old Style" w:cs="Arial"/>
        </w:rPr>
        <w:t xml:space="preserve"> incluido</w:t>
      </w:r>
      <w:r w:rsidR="00C8225E">
        <w:rPr>
          <w:rFonts w:ascii="Bookman Old Style" w:hAnsi="Bookman Old Style" w:cs="Arial"/>
        </w:rPr>
        <w:t>s</w:t>
      </w:r>
      <w:r w:rsidRPr="00935FAC">
        <w:rPr>
          <w:rFonts w:ascii="Bookman Old Style" w:hAnsi="Bookman Old Style" w:cs="Arial"/>
        </w:rPr>
        <w:t xml:space="preserve"> </w:t>
      </w:r>
      <w:r w:rsidR="00C8225E">
        <w:rPr>
          <w:rFonts w:ascii="Bookman Old Style" w:hAnsi="Bookman Old Style" w:cs="Arial"/>
        </w:rPr>
        <w:t>los</w:t>
      </w:r>
      <w:r w:rsidRPr="00935FAC">
        <w:rPr>
          <w:rFonts w:ascii="Bookman Old Style" w:hAnsi="Bookman Old Style" w:cs="Arial"/>
        </w:rPr>
        <w:t xml:space="preserve"> centro</w:t>
      </w:r>
      <w:r w:rsidR="00C8225E">
        <w:rPr>
          <w:rFonts w:ascii="Bookman Old Style" w:hAnsi="Bookman Old Style" w:cs="Arial"/>
        </w:rPr>
        <w:t>s</w:t>
      </w:r>
      <w:r w:rsidRPr="00935FAC">
        <w:rPr>
          <w:rFonts w:ascii="Bookman Old Style" w:hAnsi="Bookman Old Style" w:cs="Arial"/>
        </w:rPr>
        <w:t xml:space="preserve"> poblado</w:t>
      </w:r>
      <w:r w:rsidR="00C8225E">
        <w:rPr>
          <w:rFonts w:ascii="Bookman Old Style" w:hAnsi="Bookman Old Style" w:cs="Arial"/>
        </w:rPr>
        <w:t>s</w:t>
      </w:r>
      <w:r w:rsidRPr="00935FAC">
        <w:rPr>
          <w:rFonts w:ascii="Bookman Old Style" w:hAnsi="Bookman Old Style" w:cs="Arial"/>
        </w:rPr>
        <w:t xml:space="preserve"> del asunto.</w:t>
      </w:r>
    </w:p>
    <w:p w14:paraId="7CE6F2E6" w14:textId="77777777" w:rsidR="00C8225E" w:rsidRDefault="00C8225E" w:rsidP="00935FAC">
      <w:pPr>
        <w:ind w:left="0"/>
        <w:jc w:val="both"/>
        <w:rPr>
          <w:rFonts w:ascii="Bookman Old Style" w:hAnsi="Bookman Old Style" w:cs="Arial"/>
        </w:rPr>
      </w:pPr>
    </w:p>
    <w:p w14:paraId="43016820"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Además como la prestación de los servicios públicos domiciliarios está íntimamente ligada al cumplimiento de los fines sociales del Estado Social de Derecho en tanto estos son catalogados como servicios esenciales, esta Comisión en aras de garantizar la prestación del servicio, considera pertinente que la condición de los centros poblados </w:t>
      </w:r>
      <w:r w:rsidR="004345E1" w:rsidRPr="00BA2504">
        <w:rPr>
          <w:rFonts w:ascii="Bookman Old Style" w:hAnsi="Bookman Old Style" w:cs="Arial"/>
        </w:rPr>
        <w:t>Jaraquiel y Sierra Chiquita en el municipio de Montería; Rabolargo, San Antonio y El Cedro en el municipio de Cereté, departamento de Córdoba</w:t>
      </w:r>
      <w:r w:rsidRPr="00935FAC">
        <w:rPr>
          <w:rFonts w:ascii="Bookman Old Style" w:hAnsi="Bookman Old Style" w:cs="Arial"/>
        </w:rPr>
        <w:t>, amerita</w:t>
      </w:r>
      <w:r w:rsidR="004345E1">
        <w:rPr>
          <w:rFonts w:ascii="Bookman Old Style" w:hAnsi="Bookman Old Style" w:cs="Arial"/>
        </w:rPr>
        <w:t>n</w:t>
      </w:r>
      <w:r w:rsidRPr="00935FAC">
        <w:rPr>
          <w:rFonts w:ascii="Bookman Old Style" w:hAnsi="Bookman Old Style" w:cs="Arial"/>
        </w:rPr>
        <w:t xml:space="preserve"> su constitución dentro del mercado </w:t>
      </w:r>
      <w:r w:rsidRPr="00935FAC">
        <w:rPr>
          <w:rFonts w:ascii="Bookman Old Style" w:hAnsi="Bookman Old Style" w:cs="Arial"/>
        </w:rPr>
        <w:lastRenderedPageBreak/>
        <w:t xml:space="preserve">relevante de distribución especial propuesto por la empresa </w:t>
      </w:r>
      <w:r w:rsidR="004345E1">
        <w:rPr>
          <w:rFonts w:ascii="Bookman Old Style" w:hAnsi="Bookman Old Style" w:cs="Arial"/>
        </w:rPr>
        <w:t>JADAEPE</w:t>
      </w:r>
      <w:r w:rsidRPr="00935FAC">
        <w:rPr>
          <w:rFonts w:ascii="Bookman Old Style" w:hAnsi="Bookman Old Style" w:cs="Arial"/>
        </w:rPr>
        <w:t xml:space="preserve"> S.A.</w:t>
      </w:r>
      <w:r w:rsidR="004345E1">
        <w:rPr>
          <w:rFonts w:ascii="Bookman Old Style" w:hAnsi="Bookman Old Style" w:cs="Arial"/>
        </w:rPr>
        <w:t>S.</w:t>
      </w:r>
      <w:r w:rsidRPr="00935FAC">
        <w:rPr>
          <w:rFonts w:ascii="Bookman Old Style" w:hAnsi="Bookman Old Style" w:cs="Arial"/>
        </w:rPr>
        <w:t xml:space="preserve"> E.S.P., para la aprobación de los cargos respectivos.</w:t>
      </w:r>
    </w:p>
    <w:p w14:paraId="28047628" w14:textId="77777777" w:rsidR="003A46CB" w:rsidRPr="00452CD6" w:rsidRDefault="003A46CB" w:rsidP="00B860E3">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3F687D">
        <w:rPr>
          <w:rFonts w:ascii="Bookman Old Style" w:hAnsi="Bookman Old Style" w:cs="Arial"/>
        </w:rPr>
        <w:t>25</w:t>
      </w:r>
      <w:r w:rsidRPr="000F3230">
        <w:rPr>
          <w:rFonts w:ascii="Bookman Old Style" w:hAnsi="Bookman Old Style" w:cs="Arial"/>
        </w:rPr>
        <w:t xml:space="preserve"> de</w:t>
      </w:r>
      <w:r w:rsidR="00935FAC">
        <w:rPr>
          <w:rFonts w:ascii="Bookman Old Style" w:hAnsi="Bookman Old Style" w:cs="Arial"/>
        </w:rPr>
        <w:t xml:space="preserve"> </w:t>
      </w:r>
      <w:r w:rsidR="003F687D">
        <w:rPr>
          <w:rFonts w:ascii="Bookman Old Style" w:hAnsi="Bookman Old Style" w:cs="Arial"/>
        </w:rPr>
        <w:t>abril</w:t>
      </w:r>
      <w:r w:rsidRPr="000F3230">
        <w:rPr>
          <w:rFonts w:ascii="Bookman Old Style" w:hAnsi="Bookman Old Style" w:cs="Arial"/>
        </w:rPr>
        <w:t xml:space="preserve"> de 201</w:t>
      </w:r>
      <w:r w:rsidR="003F687D">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4345E1">
        <w:rPr>
          <w:rFonts w:ascii="Bookman Old Style" w:hAnsi="Bookman Old Style" w:cs="Arial"/>
        </w:rPr>
        <w:t>JADAPE</w:t>
      </w:r>
      <w:r w:rsidR="001F4AC3">
        <w:rPr>
          <w:rFonts w:ascii="Bookman Old Style" w:hAnsi="Bookman Old Style" w:cs="Arial"/>
        </w:rPr>
        <w:t xml:space="preserve"> S.A</w:t>
      </w:r>
      <w:r w:rsidR="001F4AC3" w:rsidRPr="00075F96">
        <w:rPr>
          <w:rFonts w:ascii="Bookman Old Style" w:hAnsi="Bookman Old Style" w:cs="Arial"/>
        </w:rPr>
        <w:t>.</w:t>
      </w:r>
      <w:r w:rsidR="004345E1">
        <w:rPr>
          <w:rFonts w:ascii="Bookman Old Style" w:hAnsi="Bookman Old Style" w:cs="Arial"/>
        </w:rPr>
        <w:t>S.</w:t>
      </w:r>
      <w:r w:rsidR="001F4AC3">
        <w:rPr>
          <w:rFonts w:ascii="Bookman Old Style" w:hAnsi="Bookman Old Style" w:cs="Arial"/>
        </w:rPr>
        <w:t xml:space="preserve"> E.S.P.</w:t>
      </w:r>
      <w:r w:rsidR="001F4AC3" w:rsidRPr="00C11A90">
        <w:rPr>
          <w:rFonts w:ascii="Bookman Old Style" w:hAnsi="Bookman Old Style" w:cs="Arial"/>
        </w:rPr>
        <w:t xml:space="preserve"> para los</w:t>
      </w:r>
      <w:r w:rsidR="004345E1">
        <w:rPr>
          <w:rFonts w:ascii="Bookman Old Style" w:hAnsi="Bookman Old Style" w:cs="Arial"/>
        </w:rPr>
        <w:t xml:space="preserve"> centros poblados de</w:t>
      </w:r>
      <w:r w:rsidR="001F4AC3" w:rsidRPr="00C11A90">
        <w:rPr>
          <w:rFonts w:ascii="Bookman Old Style" w:hAnsi="Bookman Old Style" w:cs="Arial"/>
        </w:rPr>
        <w:t xml:space="preserve"> </w:t>
      </w:r>
      <w:r w:rsidR="004345E1" w:rsidRPr="00BA2504">
        <w:rPr>
          <w:rFonts w:ascii="Bookman Old Style" w:hAnsi="Bookman Old Style" w:cs="Arial"/>
        </w:rPr>
        <w:t>Jaraquiel y Sierra Chiquita en el municipio de Montería; Rabolargo, San Antonio y El Cedro en el municipio de Cereté, departamento de Córdoba</w:t>
      </w:r>
      <w:r w:rsidR="00721DB0">
        <w:rPr>
          <w:rFonts w:ascii="Bookman Old Style" w:hAnsi="Bookman Old Style" w:cs="Arial"/>
          <w:szCs w:val="22"/>
        </w:rPr>
        <w:t>.</w:t>
      </w:r>
    </w:p>
    <w:p w14:paraId="4E35B0E6" w14:textId="77777777" w:rsidR="003A46CB" w:rsidRPr="00341E8F" w:rsidRDefault="003A46CB" w:rsidP="00B860E3">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del </w:t>
      </w:r>
      <w:r w:rsidR="003F687D">
        <w:rPr>
          <w:rFonts w:ascii="Bookman Old Style" w:hAnsi="Bookman Old Style" w:cs="Arial"/>
          <w:szCs w:val="22"/>
        </w:rPr>
        <w:t>25</w:t>
      </w:r>
      <w:r w:rsidRPr="000F3230">
        <w:rPr>
          <w:rFonts w:ascii="Bookman Old Style" w:hAnsi="Bookman Old Style" w:cs="Arial"/>
        </w:rPr>
        <w:t xml:space="preserve"> de </w:t>
      </w:r>
      <w:r w:rsidR="003F687D">
        <w:rPr>
          <w:rFonts w:ascii="Bookman Old Style" w:hAnsi="Bookman Old Style" w:cs="Arial"/>
        </w:rPr>
        <w:t>abril</w:t>
      </w:r>
      <w:r w:rsidRPr="000F3230">
        <w:rPr>
          <w:rFonts w:ascii="Bookman Old Style" w:hAnsi="Bookman Old Style" w:cs="Arial"/>
        </w:rPr>
        <w:t xml:space="preserve"> de 201</w:t>
      </w:r>
      <w:r w:rsidR="003F687D">
        <w:rPr>
          <w:rFonts w:ascii="Bookman Old Style" w:hAnsi="Bookman Old Style" w:cs="Arial"/>
        </w:rPr>
        <w:t>9</w:t>
      </w:r>
      <w:r w:rsidRPr="00C07E9D">
        <w:rPr>
          <w:rFonts w:ascii="Bookman Old Style" w:hAnsi="Bookman Old Style" w:cs="Arial"/>
          <w:szCs w:val="22"/>
        </w:rPr>
        <w:t xml:space="preserve"> y para cumplir con lo dispuesto en el artículo 37 del Código de Procedimiento Administrativo y de lo Contencioso Administrativo, en el Diario Oficial </w:t>
      </w:r>
      <w:r w:rsidRPr="0069757F">
        <w:rPr>
          <w:rFonts w:ascii="Bookman Old Style" w:hAnsi="Bookman Old Style" w:cs="Arial"/>
          <w:szCs w:val="22"/>
        </w:rPr>
        <w:t xml:space="preserve">No. </w:t>
      </w:r>
      <w:r w:rsidR="003F687D">
        <w:rPr>
          <w:rFonts w:ascii="Bookman Old Style" w:hAnsi="Bookman Old Style" w:cs="Arial"/>
          <w:szCs w:val="22"/>
        </w:rPr>
        <w:t>50.939</w:t>
      </w:r>
      <w:r>
        <w:rPr>
          <w:rFonts w:ascii="Bookman Old Style" w:hAnsi="Bookman Old Style" w:cs="Arial"/>
          <w:szCs w:val="22"/>
        </w:rPr>
        <w:t xml:space="preserve"> del </w:t>
      </w:r>
      <w:r w:rsidR="003F687D">
        <w:rPr>
          <w:rFonts w:ascii="Bookman Old Style" w:hAnsi="Bookman Old Style" w:cs="Arial"/>
          <w:szCs w:val="22"/>
        </w:rPr>
        <w:t>29</w:t>
      </w:r>
      <w:r>
        <w:rPr>
          <w:rFonts w:ascii="Bookman Old Style" w:hAnsi="Bookman Old Style" w:cs="Arial"/>
          <w:szCs w:val="22"/>
        </w:rPr>
        <w:t xml:space="preserve"> </w:t>
      </w:r>
      <w:r w:rsidRPr="0069757F">
        <w:rPr>
          <w:rFonts w:ascii="Bookman Old Style" w:hAnsi="Bookman Old Style" w:cs="Arial"/>
          <w:szCs w:val="22"/>
        </w:rPr>
        <w:t xml:space="preserve">de </w:t>
      </w:r>
      <w:r w:rsidR="003F687D">
        <w:rPr>
          <w:rFonts w:ascii="Bookman Old Style" w:hAnsi="Bookman Old Style" w:cs="Arial"/>
          <w:szCs w:val="22"/>
        </w:rPr>
        <w:t>abril</w:t>
      </w:r>
      <w:r w:rsidR="00955D73">
        <w:rPr>
          <w:rFonts w:ascii="Bookman Old Style" w:hAnsi="Bookman Old Style" w:cs="Arial"/>
          <w:szCs w:val="22"/>
        </w:rPr>
        <w:t xml:space="preserve"> </w:t>
      </w:r>
      <w:r w:rsidRPr="0069757F">
        <w:rPr>
          <w:rFonts w:ascii="Bookman Old Style" w:hAnsi="Bookman Old Style" w:cs="Arial"/>
          <w:szCs w:val="22"/>
        </w:rPr>
        <w:t>de 201</w:t>
      </w:r>
      <w:r w:rsidR="00A74199">
        <w:rPr>
          <w:rFonts w:ascii="Bookman Old Style" w:hAnsi="Bookman Old Style" w:cs="Arial"/>
          <w:szCs w:val="22"/>
        </w:rPr>
        <w:t>9</w:t>
      </w:r>
      <w:r w:rsidRPr="00C07E9D">
        <w:rPr>
          <w:rFonts w:ascii="Bookman Old Style" w:hAnsi="Bookman Old Style" w:cs="Arial"/>
          <w:szCs w:val="22"/>
        </w:rPr>
        <w:t xml:space="preserve"> se publicó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3F687D">
        <w:rPr>
          <w:rFonts w:ascii="Bookman Old Style" w:hAnsi="Bookman Old Style" w:cs="Arial"/>
          <w:szCs w:val="22"/>
        </w:rPr>
        <w:t>023</w:t>
      </w:r>
      <w:r w:rsidR="00D24B72">
        <w:rPr>
          <w:rFonts w:ascii="Bookman Old Style" w:hAnsi="Bookman Old Style" w:cs="Arial"/>
          <w:szCs w:val="22"/>
        </w:rPr>
        <w:t xml:space="preserve"> </w:t>
      </w:r>
      <w:r>
        <w:rPr>
          <w:rFonts w:ascii="Bookman Old Style" w:hAnsi="Bookman Old Style" w:cs="Arial"/>
          <w:szCs w:val="22"/>
        </w:rPr>
        <w:t>de 201</w:t>
      </w:r>
      <w:r w:rsidR="00A74199">
        <w:rPr>
          <w:rFonts w:ascii="Bookman Old Style" w:hAnsi="Bookman Old Style" w:cs="Arial"/>
          <w:szCs w:val="22"/>
        </w:rPr>
        <w:t>9</w:t>
      </w:r>
      <w:r w:rsidRPr="00C07E9D">
        <w:rPr>
          <w:rFonts w:ascii="Bookman Old Style" w:hAnsi="Bookman Old Style" w:cs="Arial"/>
          <w:szCs w:val="22"/>
        </w:rPr>
        <w:t xml:space="preserve"> </w:t>
      </w:r>
      <w:r w:rsidR="00B16C42">
        <w:rPr>
          <w:rFonts w:ascii="Bookman Old Style" w:hAnsi="Bookman Old Style" w:cs="Arial"/>
          <w:szCs w:val="22"/>
        </w:rPr>
        <w:t>que contiene un</w:t>
      </w:r>
      <w:r w:rsidRPr="00C07E9D">
        <w:rPr>
          <w:rFonts w:ascii="Bookman Old Style" w:hAnsi="Bookman Old Style" w:cs="Arial"/>
          <w:szCs w:val="22"/>
        </w:rPr>
        <w:t xml:space="preserve"> extracto de la actuación administ</w:t>
      </w:r>
      <w:r>
        <w:rPr>
          <w:rFonts w:ascii="Bookman Old Style" w:hAnsi="Bookman Old Style" w:cs="Arial"/>
          <w:szCs w:val="22"/>
        </w:rPr>
        <w:t xml:space="preserve">rativa </w:t>
      </w:r>
      <w:r w:rsidR="00B16C42">
        <w:rPr>
          <w:rFonts w:ascii="Bookman Old Style" w:hAnsi="Bookman Old Style" w:cs="Arial"/>
          <w:szCs w:val="22"/>
        </w:rPr>
        <w:t>iniciada</w:t>
      </w:r>
      <w:r>
        <w:rPr>
          <w:rFonts w:ascii="Bookman Old Style" w:hAnsi="Bookman Old Style" w:cs="Arial"/>
          <w:szCs w:val="22"/>
        </w:rPr>
        <w:t xml:space="preserve"> con</w:t>
      </w:r>
      <w:r w:rsidRPr="00341E8F">
        <w:rPr>
          <w:rFonts w:ascii="Bookman Old Style" w:hAnsi="Bookman Old Style" w:cs="Arial"/>
          <w:szCs w:val="22"/>
        </w:rPr>
        <w:t xml:space="preserve"> la solicitud presentada por </w:t>
      </w:r>
      <w:r w:rsidR="004345E1">
        <w:rPr>
          <w:rFonts w:ascii="Bookman Old Style" w:hAnsi="Bookman Old Style" w:cs="Arial"/>
        </w:rPr>
        <w:t>JADAPE</w:t>
      </w:r>
      <w:r w:rsidR="001F4AC3">
        <w:rPr>
          <w:rFonts w:ascii="Bookman Old Style" w:hAnsi="Bookman Old Style" w:cs="Arial"/>
        </w:rPr>
        <w:t xml:space="preserve"> S.A</w:t>
      </w:r>
      <w:r w:rsidR="001F4AC3" w:rsidRPr="00075F96">
        <w:rPr>
          <w:rFonts w:ascii="Bookman Old Style" w:hAnsi="Bookman Old Style" w:cs="Arial"/>
        </w:rPr>
        <w:t>.</w:t>
      </w:r>
      <w:r w:rsidR="004345E1">
        <w:rPr>
          <w:rFonts w:ascii="Bookman Old Style" w:hAnsi="Bookman Old Style" w:cs="Arial"/>
        </w:rPr>
        <w:t>S.</w:t>
      </w:r>
      <w:r w:rsidR="001F4AC3">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193FF1">
        <w:rPr>
          <w:rFonts w:ascii="Bookman Old Style" w:hAnsi="Bookman Old Style" w:cs="Arial"/>
          <w:szCs w:val="22"/>
        </w:rPr>
        <w:t>G</w:t>
      </w:r>
      <w:r w:rsidR="00A74199">
        <w:rPr>
          <w:rFonts w:ascii="Bookman Old Style" w:hAnsi="Bookman Old Style" w:cs="Arial"/>
          <w:szCs w:val="22"/>
        </w:rPr>
        <w:t>LP</w:t>
      </w:r>
      <w:r w:rsidRPr="00341E8F">
        <w:rPr>
          <w:rFonts w:ascii="Bookman Old Style" w:hAnsi="Bookman Old Style" w:cs="Arial"/>
          <w:szCs w:val="22"/>
        </w:rPr>
        <w:t xml:space="preserve"> por redes de tubería</w:t>
      </w:r>
      <w:r>
        <w:rPr>
          <w:rFonts w:ascii="Bookman Old Style" w:hAnsi="Bookman Old Style" w:cs="Arial"/>
          <w:szCs w:val="22"/>
        </w:rPr>
        <w:t>.</w:t>
      </w:r>
      <w:r w:rsidR="00F95F5B">
        <w:rPr>
          <w:rFonts w:ascii="Bookman Old Style" w:hAnsi="Bookman Old Style" w:cs="Arial"/>
          <w:szCs w:val="22"/>
        </w:rPr>
        <w:t xml:space="preserve"> </w:t>
      </w:r>
      <w:r>
        <w:rPr>
          <w:rFonts w:ascii="Bookman Old Style" w:hAnsi="Bookman Old Style" w:cs="Arial"/>
          <w:szCs w:val="22"/>
        </w:rPr>
        <w:t>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parte en la respectiva actuación. </w:t>
      </w:r>
    </w:p>
    <w:p w14:paraId="7CD0559F" w14:textId="29AF1018" w:rsidR="00DD73BE" w:rsidRPr="00935FAC" w:rsidRDefault="00DD73BE" w:rsidP="00DD73BE">
      <w:pPr>
        <w:ind w:left="0"/>
        <w:jc w:val="both"/>
        <w:rPr>
          <w:rFonts w:ascii="Bookman Old Style" w:hAnsi="Bookman Old Style" w:cs="Arial"/>
        </w:rPr>
      </w:pPr>
      <w:r>
        <w:rPr>
          <w:rFonts w:ascii="Bookman Old Style" w:hAnsi="Bookman Old Style" w:cs="Arial"/>
        </w:rPr>
        <w:t>Tal como se indicó anteriormente</w:t>
      </w:r>
      <w:r w:rsidRPr="00935FAC">
        <w:rPr>
          <w:rFonts w:ascii="Bookman Old Style" w:hAnsi="Bookman Old Style" w:cs="Arial"/>
        </w:rPr>
        <w:t xml:space="preserve">, el numeral 5.3 </w:t>
      </w:r>
      <w:r w:rsidR="00DA3226">
        <w:rPr>
          <w:rFonts w:ascii="Bookman Old Style" w:hAnsi="Bookman Old Style" w:cs="Arial"/>
        </w:rPr>
        <w:t xml:space="preserve">del artículo 5 </w:t>
      </w:r>
      <w:r w:rsidRPr="00935FAC">
        <w:rPr>
          <w:rFonts w:ascii="Bookman Old Style" w:hAnsi="Bookman Old Style" w:cs="Arial"/>
        </w:rPr>
        <w:t xml:space="preserve">de la Resolución CREG 202 de 2013, establece que los centros poblados </w:t>
      </w:r>
      <w:r w:rsidRPr="00935FAC">
        <w:rPr>
          <w:rFonts w:ascii="Bookman Old Style" w:hAnsi="Bookman Old Style" w:cs="Arial"/>
          <w:u w:val="single"/>
        </w:rPr>
        <w:t>que no se encuentren incluidos dentro del plan de expansión</w:t>
      </w:r>
      <w:r w:rsidRPr="00935FAC">
        <w:rPr>
          <w:rFonts w:ascii="Bookman Old Style" w:hAnsi="Bookman Old Style" w:cs="Arial"/>
        </w:rPr>
        <w:t xml:space="preserve"> por parte del distribuidor que presta el servicio en dicho mercado, podrán constituirse como un mercado de distribución especial. Donde, la restricción asociada a estos planes tiene por objeto garantizar que las expansiones que no habían cumplido los cinco años al momento de la expedición de la Resolución CREG 202 de 2013 pudieran ejecutarse.</w:t>
      </w:r>
    </w:p>
    <w:p w14:paraId="5F71AE72" w14:textId="77777777" w:rsidR="00DD73BE" w:rsidRPr="00FB5615" w:rsidRDefault="00DD73BE" w:rsidP="00DD73BE">
      <w:pPr>
        <w:adjustRightInd w:val="0"/>
        <w:spacing w:before="240" w:after="240"/>
        <w:ind w:left="0" w:right="20"/>
        <w:jc w:val="both"/>
        <w:rPr>
          <w:rFonts w:ascii="Bookman Old Style" w:hAnsi="Bookman Old Style" w:cs="Arial"/>
          <w:szCs w:val="22"/>
        </w:rPr>
      </w:pPr>
      <w:r w:rsidRPr="00FB5615">
        <w:rPr>
          <w:rFonts w:ascii="Bookman Old Style" w:hAnsi="Bookman Old Style" w:cs="Arial"/>
          <w:szCs w:val="22"/>
        </w:rPr>
        <w:t>De manera que, durante la vigencia de los cargos aprobados, las empresas distribuidoras interesadas en ampliar la prestación del servicio debieron enviar a la UPME el plan de expansión indicado en el numeral 3.9 del código de distribución.</w:t>
      </w:r>
    </w:p>
    <w:p w14:paraId="273E24A8" w14:textId="77777777" w:rsidR="00DD73BE" w:rsidRDefault="00C7068E">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Por lo anterior, </w:t>
      </w:r>
      <w:r w:rsidRPr="00556CEB">
        <w:rPr>
          <w:rFonts w:ascii="Bookman Old Style" w:hAnsi="Bookman Old Style" w:cs="Arial"/>
          <w:szCs w:val="22"/>
        </w:rPr>
        <w:t xml:space="preserve">dentro del desarrollo de la actuación administrativa </w:t>
      </w:r>
      <w:r>
        <w:rPr>
          <w:rFonts w:ascii="Bookman Old Style" w:hAnsi="Bookman Old Style" w:cs="Arial"/>
          <w:szCs w:val="22"/>
        </w:rPr>
        <w:t xml:space="preserve">mediante Auto de Pruebas I-2019-004821 de agosto 13 de 2019, </w:t>
      </w:r>
      <w:r w:rsidRPr="00556CEB">
        <w:rPr>
          <w:rFonts w:ascii="Bookman Old Style" w:hAnsi="Bookman Old Style" w:cs="Arial"/>
          <w:szCs w:val="22"/>
        </w:rPr>
        <w:t xml:space="preserve">se observa la necesidad de </w:t>
      </w:r>
      <w:r>
        <w:rPr>
          <w:rFonts w:ascii="Bookman Old Style" w:hAnsi="Bookman Old Style" w:cs="Arial"/>
          <w:szCs w:val="22"/>
        </w:rPr>
        <w:t>solicitar</w:t>
      </w:r>
      <w:r w:rsidRPr="00556CEB">
        <w:rPr>
          <w:rFonts w:ascii="Bookman Old Style" w:hAnsi="Bookman Old Style" w:cs="Arial"/>
          <w:szCs w:val="22"/>
        </w:rPr>
        <w:t xml:space="preserve"> a la UNIDAD DE PLANEACIÓN MINERO ENERGETICA UPME que certificara sí la empresa SURTIGAS S.A. E.S.P., presentó o no ante la Unidad, los planes quinquenales establecidos en el numeral 3.9 del Código de Distribución, Resolución CREG 067 de 1995</w:t>
      </w:r>
      <w:r>
        <w:rPr>
          <w:rFonts w:ascii="Bookman Old Style" w:hAnsi="Bookman Old Style" w:cs="Arial"/>
          <w:szCs w:val="22"/>
        </w:rPr>
        <w:t>.</w:t>
      </w:r>
    </w:p>
    <w:p w14:paraId="37026BF0" w14:textId="77777777" w:rsidR="007F3518" w:rsidRDefault="007F3518" w:rsidP="007F3518">
      <w:pPr>
        <w:adjustRightInd w:val="0"/>
        <w:spacing w:before="240" w:after="240"/>
        <w:ind w:left="0" w:right="20"/>
        <w:jc w:val="both"/>
        <w:rPr>
          <w:rFonts w:ascii="Bookman Old Style" w:hAnsi="Bookman Old Style" w:cs="Arial"/>
          <w:szCs w:val="22"/>
        </w:rPr>
      </w:pPr>
      <w:r>
        <w:rPr>
          <w:rFonts w:ascii="Bookman Old Style" w:hAnsi="Bookman Old Style" w:cs="Arial"/>
          <w:szCs w:val="22"/>
        </w:rPr>
        <w:t>En respuesta, la UPME mediante oficio con radicado CREG E-2019-010067 del 20 de septiembre de 2019, manifiesta lo siguiente:</w:t>
      </w:r>
    </w:p>
    <w:p w14:paraId="72F3AD07" w14:textId="77777777" w:rsidR="007F3518" w:rsidRPr="002D0D41" w:rsidRDefault="007F3518" w:rsidP="007F3518">
      <w:pPr>
        <w:adjustRightInd w:val="0"/>
        <w:spacing w:before="240" w:after="240"/>
        <w:ind w:left="142" w:right="20"/>
        <w:jc w:val="both"/>
        <w:rPr>
          <w:rFonts w:ascii="Bookman Old Style" w:hAnsi="Bookman Old Style" w:cs="Arial"/>
          <w:i/>
          <w:sz w:val="22"/>
          <w:szCs w:val="22"/>
        </w:rPr>
      </w:pPr>
      <w:r w:rsidRPr="002D0D41">
        <w:rPr>
          <w:rFonts w:ascii="Bookman Old Style" w:hAnsi="Bookman Old Style" w:cs="Arial"/>
          <w:i/>
          <w:sz w:val="22"/>
          <w:szCs w:val="22"/>
        </w:rPr>
        <w:t>“En respuesta a su solicitud, nos permitimos informarle que ninguna empresa distribuidora de gas combustible por redes ha remitido a esta Unidad los planes quinquenales a que hace referencia el título numeral 3.9 del III.3 Planeamiento de la Expansión de la Resolución 067 de 1995 por la cual se establece el código de distribución de gas combustible por redes. (…)”</w:t>
      </w:r>
    </w:p>
    <w:p w14:paraId="56A724D0" w14:textId="6057E91A" w:rsidR="00C7068E" w:rsidRDefault="00C7068E" w:rsidP="00B860E3">
      <w:pPr>
        <w:adjustRightInd w:val="0"/>
        <w:ind w:left="0" w:right="20"/>
        <w:jc w:val="both"/>
        <w:rPr>
          <w:rFonts w:ascii="Bookman Old Style" w:hAnsi="Bookman Old Style" w:cs="Arial"/>
        </w:rPr>
      </w:pPr>
      <w:r>
        <w:rPr>
          <w:rFonts w:ascii="Bookman Old Style" w:hAnsi="Bookman Old Style" w:cs="Arial"/>
        </w:rPr>
        <w:t>De esta manera, en</w:t>
      </w:r>
      <w:r w:rsidRPr="00935FAC">
        <w:rPr>
          <w:rFonts w:ascii="Bookman Old Style" w:hAnsi="Bookman Old Style" w:cs="Arial"/>
        </w:rPr>
        <w:t xml:space="preserve"> contexto </w:t>
      </w:r>
      <w:r w:rsidR="00742D1D">
        <w:rPr>
          <w:rFonts w:ascii="Bookman Old Style" w:hAnsi="Bookman Old Style" w:cs="Arial"/>
        </w:rPr>
        <w:t xml:space="preserve">de lo indicado en </w:t>
      </w:r>
      <w:r w:rsidRPr="00935FAC">
        <w:rPr>
          <w:rFonts w:ascii="Bookman Old Style" w:hAnsi="Bookman Old Style" w:cs="Arial"/>
        </w:rPr>
        <w:t xml:space="preserve">el numeral 5.3 </w:t>
      </w:r>
      <w:r w:rsidR="00DA3226">
        <w:rPr>
          <w:rFonts w:ascii="Bookman Old Style" w:hAnsi="Bookman Old Style" w:cs="Arial"/>
        </w:rPr>
        <w:t xml:space="preserve">del artículo 5 </w:t>
      </w:r>
      <w:r w:rsidRPr="00935FAC">
        <w:rPr>
          <w:rFonts w:ascii="Bookman Old Style" w:hAnsi="Bookman Old Style" w:cs="Arial"/>
        </w:rPr>
        <w:t>de la Resolución CREG 202 de 2013</w:t>
      </w:r>
      <w:r w:rsidR="0076494E">
        <w:rPr>
          <w:rFonts w:ascii="Bookman Old Style" w:hAnsi="Bookman Old Style" w:cs="Arial"/>
        </w:rPr>
        <w:t>,</w:t>
      </w:r>
      <w:r w:rsidR="00DA3226">
        <w:rPr>
          <w:rFonts w:ascii="Bookman Old Style" w:hAnsi="Bookman Old Style" w:cs="Arial"/>
        </w:rPr>
        <w:t xml:space="preserve"> y por la no presentación de los planes </w:t>
      </w:r>
      <w:r w:rsidR="00DA3226">
        <w:rPr>
          <w:rFonts w:ascii="Bookman Old Style" w:hAnsi="Bookman Old Style" w:cs="Arial"/>
        </w:rPr>
        <w:lastRenderedPageBreak/>
        <w:t xml:space="preserve">quinquenales establecidos en el código de distribución de gas, </w:t>
      </w:r>
      <w:r w:rsidR="00742D1D">
        <w:rPr>
          <w:rFonts w:ascii="Bookman Old Style" w:hAnsi="Bookman Old Style" w:cs="Arial"/>
        </w:rPr>
        <w:t xml:space="preserve">se </w:t>
      </w:r>
      <w:r w:rsidRPr="00935FAC">
        <w:rPr>
          <w:rFonts w:ascii="Bookman Old Style" w:hAnsi="Bookman Old Style" w:cs="Arial"/>
        </w:rPr>
        <w:t xml:space="preserve">establece que los centros poblados </w:t>
      </w:r>
      <w:r w:rsidR="00742D1D">
        <w:rPr>
          <w:rFonts w:ascii="Bookman Old Style" w:hAnsi="Bookman Old Style" w:cs="Arial"/>
        </w:rPr>
        <w:t xml:space="preserve">objeto de esta solicitud </w:t>
      </w:r>
      <w:r w:rsidRPr="00556CEB">
        <w:rPr>
          <w:rFonts w:ascii="Bookman Old Style" w:hAnsi="Bookman Old Style" w:cs="Arial"/>
        </w:rPr>
        <w:t>no se encuentr</w:t>
      </w:r>
      <w:r w:rsidR="00742D1D">
        <w:rPr>
          <w:rFonts w:ascii="Bookman Old Style" w:hAnsi="Bookman Old Style" w:cs="Arial"/>
        </w:rPr>
        <w:t>a</w:t>
      </w:r>
      <w:r w:rsidRPr="00556CEB">
        <w:rPr>
          <w:rFonts w:ascii="Bookman Old Style" w:hAnsi="Bookman Old Style" w:cs="Arial"/>
        </w:rPr>
        <w:t>n incluidos dentro del plan de expansión</w:t>
      </w:r>
      <w:r w:rsidRPr="00935FAC">
        <w:rPr>
          <w:rFonts w:ascii="Bookman Old Style" w:hAnsi="Bookman Old Style" w:cs="Arial"/>
        </w:rPr>
        <w:t xml:space="preserve"> por parte del distribuidor que presta el servicio en dicho mercado,</w:t>
      </w:r>
      <w:r w:rsidR="00742D1D">
        <w:rPr>
          <w:rFonts w:ascii="Bookman Old Style" w:hAnsi="Bookman Old Style" w:cs="Arial"/>
        </w:rPr>
        <w:t xml:space="preserve"> y por lo tanto se</w:t>
      </w:r>
      <w:r w:rsidRPr="00935FAC">
        <w:rPr>
          <w:rFonts w:ascii="Bookman Old Style" w:hAnsi="Bookman Old Style" w:cs="Arial"/>
        </w:rPr>
        <w:t xml:space="preserve"> podrán constituir como un mercado de distribución especial</w:t>
      </w:r>
      <w:r w:rsidR="00742D1D">
        <w:rPr>
          <w:rFonts w:ascii="Bookman Old Style" w:hAnsi="Bookman Old Style" w:cs="Arial"/>
        </w:rPr>
        <w:t>.</w:t>
      </w:r>
    </w:p>
    <w:p w14:paraId="653C16ED" w14:textId="77777777" w:rsidR="00C7068E" w:rsidRDefault="00C7068E" w:rsidP="00B860E3">
      <w:pPr>
        <w:adjustRightInd w:val="0"/>
        <w:ind w:left="0" w:right="20"/>
        <w:jc w:val="both"/>
        <w:rPr>
          <w:rFonts w:ascii="Bookman Old Style" w:hAnsi="Bookman Old Style" w:cs="Arial"/>
        </w:rPr>
      </w:pPr>
    </w:p>
    <w:p w14:paraId="4D487A5B" w14:textId="77777777" w:rsidR="003A46CB" w:rsidRDefault="003A46CB" w:rsidP="00B860E3">
      <w:pPr>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708AE35A" w14:textId="77777777" w:rsidR="003A46CB" w:rsidRPr="005D0D58" w:rsidRDefault="003A46CB" w:rsidP="00B860E3">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1B40DBEC" w14:textId="77777777" w:rsidR="003A46CB" w:rsidRPr="005D0D58" w:rsidRDefault="003A46CB" w:rsidP="00B860E3">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241B9B0" w14:textId="77777777" w:rsidR="003A46CB" w:rsidRDefault="003A46CB" w:rsidP="00B860E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4345E1">
        <w:rPr>
          <w:rFonts w:ascii="Bookman Old Style" w:hAnsi="Bookman Old Style" w:cs="Arial"/>
        </w:rPr>
        <w:t>JADAPE</w:t>
      </w:r>
      <w:r w:rsidR="00A44586" w:rsidRPr="009575C5">
        <w:rPr>
          <w:rFonts w:ascii="Bookman Old Style" w:hAnsi="Bookman Old Style" w:cs="Arial"/>
        </w:rPr>
        <w:t xml:space="preserve"> S.A.</w:t>
      </w:r>
      <w:r w:rsidR="004345E1">
        <w:rPr>
          <w:rFonts w:ascii="Bookman Old Style" w:hAnsi="Bookman Old Style" w:cs="Arial"/>
        </w:rPr>
        <w:t>S.</w:t>
      </w:r>
      <w:r w:rsidR="00A44586" w:rsidRPr="009575C5">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distribución que será aplicable a los usuarios de uso residencial y usuarios diferentes al uso residencial.</w:t>
      </w:r>
    </w:p>
    <w:p w14:paraId="4E7D5D51" w14:textId="77777777" w:rsidR="003A46CB" w:rsidRDefault="003A46CB" w:rsidP="00B860E3">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4345E1">
        <w:rPr>
          <w:rFonts w:ascii="Bookman Old Style" w:hAnsi="Bookman Old Style" w:cs="Arial"/>
        </w:rPr>
        <w:t>JADAPE</w:t>
      </w:r>
      <w:r w:rsidR="00A44586">
        <w:rPr>
          <w:rFonts w:ascii="Bookman Old Style" w:hAnsi="Bookman Old Style" w:cs="Arial"/>
        </w:rPr>
        <w:t xml:space="preserve"> </w:t>
      </w:r>
      <w:r w:rsidR="00A44586" w:rsidRPr="009575C5">
        <w:rPr>
          <w:rFonts w:ascii="Bookman Old Style" w:hAnsi="Bookman Old Style" w:cs="Arial"/>
        </w:rPr>
        <w:t>S.A.</w:t>
      </w:r>
      <w:r w:rsidR="004345E1">
        <w:rPr>
          <w:rFonts w:ascii="Bookman Old Style" w:hAnsi="Bookman Old Style" w:cs="Arial"/>
        </w:rPr>
        <w:t>S.</w:t>
      </w:r>
      <w:r w:rsidR="00A44586" w:rsidRPr="009575C5">
        <w:rPr>
          <w:rFonts w:ascii="Bookman Old Style" w:hAnsi="Bookman Old Style" w:cs="Arial"/>
        </w:rPr>
        <w:t xml:space="preserve">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A44586" w:rsidRPr="00075F96">
        <w:rPr>
          <w:rFonts w:ascii="Bookman Old Style" w:hAnsi="Bookman Old Style" w:cs="Arial"/>
        </w:rPr>
        <w:t>E-2018-0</w:t>
      </w:r>
      <w:r w:rsidR="00BB7A66">
        <w:rPr>
          <w:rFonts w:ascii="Bookman Old Style" w:hAnsi="Bookman Old Style" w:cs="Arial"/>
        </w:rPr>
        <w:t>14006</w:t>
      </w:r>
      <w:r w:rsidR="00A74199">
        <w:rPr>
          <w:rFonts w:ascii="Bookman Old Style" w:hAnsi="Bookman Old Style" w:cs="Arial"/>
        </w:rPr>
        <w:t xml:space="preserve"> y</w:t>
      </w:r>
      <w:r w:rsidR="00A44586">
        <w:rPr>
          <w:rFonts w:ascii="Bookman Old Style" w:hAnsi="Bookman Old Style" w:cs="Arial"/>
        </w:rPr>
        <w:t xml:space="preserve"> </w:t>
      </w:r>
      <w:r w:rsidR="00A44586" w:rsidRPr="00075F96">
        <w:rPr>
          <w:rFonts w:ascii="Bookman Old Style" w:hAnsi="Bookman Old Style" w:cs="Arial"/>
        </w:rPr>
        <w:t>E-201</w:t>
      </w:r>
      <w:r w:rsidR="00BB7A66">
        <w:rPr>
          <w:rFonts w:ascii="Bookman Old Style" w:hAnsi="Bookman Old Style" w:cs="Arial"/>
        </w:rPr>
        <w:t>9</w:t>
      </w:r>
      <w:r w:rsidR="00A44586" w:rsidRPr="00075F96">
        <w:rPr>
          <w:rFonts w:ascii="Bookman Old Style" w:hAnsi="Bookman Old Style" w:cs="Arial"/>
        </w:rPr>
        <w:t>-0</w:t>
      </w:r>
      <w:r w:rsidR="00A44586">
        <w:rPr>
          <w:rFonts w:ascii="Bookman Old Style" w:hAnsi="Bookman Old Style" w:cs="Arial"/>
        </w:rPr>
        <w:t>0</w:t>
      </w:r>
      <w:r w:rsidR="00BB7A66">
        <w:rPr>
          <w:rFonts w:ascii="Bookman Old Style" w:hAnsi="Bookman Old Style" w:cs="Arial"/>
        </w:rPr>
        <w:t>2062</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D03E47">
        <w:rPr>
          <w:rFonts w:ascii="Bookman Old Style" w:hAnsi="Bookman Old Style" w:cs="Arial"/>
        </w:rPr>
        <w:t>, según se relacionan, con su respectivo sustento, en el documento soporte de la presente Resolución.</w:t>
      </w:r>
    </w:p>
    <w:p w14:paraId="3A71D819" w14:textId="3FB56A41" w:rsidR="006922CB" w:rsidRDefault="00827978" w:rsidP="00B860E3">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CC4E45">
        <w:rPr>
          <w:rFonts w:ascii="Bookman Old Style" w:hAnsi="Bookman Old Style" w:cs="Arial"/>
        </w:rPr>
        <w:t>082</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 soporte de la presente resolución.</w:t>
      </w:r>
    </w:p>
    <w:p w14:paraId="3C7C1199" w14:textId="6F195FF0"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CC4E45">
        <w:rPr>
          <w:rFonts w:ascii="Bookman Old Style" w:hAnsi="Bookman Old Style" w:cs="Arial"/>
        </w:rPr>
        <w:t xml:space="preserve">Documento CREG </w:t>
      </w:r>
      <w:r w:rsidR="00CC4E45" w:rsidRPr="00CC4E45">
        <w:rPr>
          <w:rFonts w:ascii="Bookman Old Style" w:hAnsi="Bookman Old Style" w:cs="Arial"/>
        </w:rPr>
        <w:t>082</w:t>
      </w:r>
      <w:r w:rsidRPr="00CC4E45">
        <w:rPr>
          <w:rFonts w:ascii="Bookman Old Style" w:hAnsi="Bookman Old Style" w:cs="Arial"/>
        </w:rPr>
        <w:t xml:space="preserve"> de 2019.</w:t>
      </w:r>
    </w:p>
    <w:p w14:paraId="7EBBDE3D" w14:textId="77777777"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de </w:t>
      </w:r>
      <w:r>
        <w:rPr>
          <w:rFonts w:ascii="Bookman Old Style" w:hAnsi="Bookman Old Style" w:cs="Arial"/>
        </w:rPr>
        <w:lastRenderedPageBreak/>
        <w:t>2018 y 132 de 2018,</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849CB31" w14:textId="50A3040C"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CC4E45">
        <w:rPr>
          <w:rFonts w:ascii="Bookman Old Style" w:hAnsi="Bookman Old Style" w:cs="Arial"/>
          <w:color w:val="000000"/>
          <w:spacing w:val="-3"/>
        </w:rPr>
        <w:t>949</w:t>
      </w:r>
      <w:r w:rsidRPr="001954E9">
        <w:rPr>
          <w:rFonts w:ascii="Bookman Old Style" w:hAnsi="Bookman Old Style" w:cs="Arial"/>
          <w:color w:val="000000"/>
          <w:spacing w:val="-3"/>
        </w:rPr>
        <w:t xml:space="preserve"> del </w:t>
      </w:r>
      <w:r w:rsidR="00CC4E45">
        <w:rPr>
          <w:rFonts w:ascii="Bookman Old Style" w:hAnsi="Bookman Old Style" w:cs="Arial"/>
          <w:color w:val="000000"/>
          <w:spacing w:val="-3"/>
        </w:rPr>
        <w:t>4</w:t>
      </w:r>
      <w:r w:rsidRPr="001954E9">
        <w:rPr>
          <w:rFonts w:ascii="Bookman Old Style" w:hAnsi="Bookman Old Style" w:cs="Arial"/>
          <w:color w:val="000000"/>
          <w:spacing w:val="-3"/>
        </w:rPr>
        <w:t xml:space="preserve"> de </w:t>
      </w:r>
      <w:r w:rsidR="00556CEB">
        <w:rPr>
          <w:rFonts w:ascii="Bookman Old Style" w:hAnsi="Bookman Old Style" w:cs="Arial"/>
          <w:color w:val="000000"/>
          <w:spacing w:val="-3"/>
        </w:rPr>
        <w:t>octubre</w:t>
      </w:r>
      <w:r w:rsidR="00FB305B">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14:paraId="1204C230" w14:textId="77777777" w:rsidR="00273C2C" w:rsidRDefault="00273C2C" w:rsidP="00B860E3">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5B9A656E" w14:textId="77777777" w:rsidR="002D1ECA" w:rsidRPr="001954E9" w:rsidRDefault="002D1ECA" w:rsidP="00B860E3">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4D321D6E" w14:textId="77777777" w:rsidR="002D1ECA"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69FD117" w14:textId="77777777" w:rsidR="005E5989" w:rsidRPr="001954E9" w:rsidRDefault="005E5989" w:rsidP="005E5989">
      <w:pPr>
        <w:keepNext/>
        <w:ind w:left="0"/>
        <w:jc w:val="center"/>
        <w:rPr>
          <w:rFonts w:ascii="Bookman Old Style" w:hAnsi="Bookman Old Style" w:cs="Arial"/>
          <w:b/>
          <w:spacing w:val="80"/>
        </w:rPr>
      </w:pPr>
    </w:p>
    <w:p w14:paraId="0C2527D1" w14:textId="77777777" w:rsidR="00834B60" w:rsidRDefault="00273C2C" w:rsidP="00B860E3">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w:t>
      </w:r>
      <w:r w:rsidR="00FB305B">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 xml:space="preserve">corresponde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y </w:t>
      </w:r>
      <w:r w:rsidR="00834B60" w:rsidRPr="00704312">
        <w:rPr>
          <w:rFonts w:ascii="Bookman Old Style" w:hAnsi="Bookman Old Style" w:cs="Arial"/>
        </w:rPr>
        <w:t xml:space="preserve">estará conformado </w:t>
      </w:r>
      <w:r w:rsidR="00834B60" w:rsidRPr="00772807">
        <w:rPr>
          <w:rFonts w:ascii="Bookman Old Style" w:hAnsi="Bookman Old Style" w:cs="Arial"/>
          <w:szCs w:val="20"/>
          <w:lang w:val="es-ES_tradnl"/>
        </w:rPr>
        <w:t xml:space="preserve">por </w:t>
      </w:r>
      <w:r w:rsidR="00834B60">
        <w:rPr>
          <w:rFonts w:ascii="Bookman Old Style" w:hAnsi="Bookman Old Style" w:cs="Arial"/>
        </w:rPr>
        <w:t>los siguientes centros poblados:</w:t>
      </w:r>
    </w:p>
    <w:tbl>
      <w:tblPr>
        <w:tblStyle w:val="Tablaconcuadrcula"/>
        <w:tblW w:w="0" w:type="auto"/>
        <w:jc w:val="center"/>
        <w:tblLook w:val="04A0" w:firstRow="1" w:lastRow="0" w:firstColumn="1" w:lastColumn="0" w:noHBand="0" w:noVBand="1"/>
      </w:tblPr>
      <w:tblGrid>
        <w:gridCol w:w="2405"/>
        <w:gridCol w:w="2410"/>
        <w:gridCol w:w="1559"/>
        <w:gridCol w:w="2369"/>
      </w:tblGrid>
      <w:tr w:rsidR="00BB7A66" w:rsidRPr="00F97224" w14:paraId="6721FDFF" w14:textId="77777777" w:rsidTr="00BB7A66">
        <w:trPr>
          <w:jc w:val="center"/>
        </w:trPr>
        <w:tc>
          <w:tcPr>
            <w:tcW w:w="2405" w:type="dxa"/>
            <w:shd w:val="clear" w:color="auto" w:fill="D9D9D9" w:themeFill="background1" w:themeFillShade="D9"/>
            <w:vAlign w:val="center"/>
          </w:tcPr>
          <w:p w14:paraId="087522D8" w14:textId="77777777" w:rsidR="00BB7A66" w:rsidRPr="00F97224" w:rsidRDefault="00BB7A66" w:rsidP="00BB7A66">
            <w:pPr>
              <w:keepNext/>
              <w:ind w:left="-119"/>
              <w:jc w:val="center"/>
              <w:rPr>
                <w:rFonts w:ascii="Bookman Old Style" w:hAnsi="Bookman Old Style" w:cs="Arial"/>
                <w:b/>
                <w:sz w:val="22"/>
              </w:rPr>
            </w:pPr>
            <w:r w:rsidRPr="00F97224">
              <w:rPr>
                <w:rFonts w:ascii="Bookman Old Style" w:hAnsi="Bookman Old Style" w:cs="Arial"/>
                <w:b/>
                <w:sz w:val="22"/>
              </w:rPr>
              <w:t>CODIGO DANE DEL CENTRO POBLADO</w:t>
            </w:r>
          </w:p>
        </w:tc>
        <w:tc>
          <w:tcPr>
            <w:tcW w:w="2410" w:type="dxa"/>
            <w:shd w:val="clear" w:color="auto" w:fill="D9D9D9" w:themeFill="background1" w:themeFillShade="D9"/>
            <w:vAlign w:val="center"/>
          </w:tcPr>
          <w:p w14:paraId="10C66880" w14:textId="77777777" w:rsidR="00BB7A66" w:rsidRPr="00F97224" w:rsidRDefault="00BB7A66" w:rsidP="00BB7A66">
            <w:pPr>
              <w:keepNext/>
              <w:ind w:left="-43"/>
              <w:jc w:val="center"/>
              <w:rPr>
                <w:rFonts w:ascii="Bookman Old Style" w:hAnsi="Bookman Old Style" w:cs="Arial"/>
                <w:b/>
                <w:sz w:val="22"/>
              </w:rPr>
            </w:pPr>
            <w:r w:rsidRPr="00F97224">
              <w:rPr>
                <w:rFonts w:ascii="Bookman Old Style" w:hAnsi="Bookman Old Style" w:cs="Arial"/>
                <w:b/>
                <w:sz w:val="22"/>
              </w:rPr>
              <w:t>CENTRO POBLADO</w:t>
            </w:r>
          </w:p>
        </w:tc>
        <w:tc>
          <w:tcPr>
            <w:tcW w:w="1559" w:type="dxa"/>
            <w:shd w:val="clear" w:color="auto" w:fill="D9D9D9" w:themeFill="background1" w:themeFillShade="D9"/>
            <w:vAlign w:val="center"/>
          </w:tcPr>
          <w:p w14:paraId="26A3BA89" w14:textId="77777777" w:rsidR="00BB7A66" w:rsidRPr="00F97224" w:rsidRDefault="00BB7A66" w:rsidP="00BB7A66">
            <w:pPr>
              <w:keepNext/>
              <w:ind w:left="42"/>
              <w:jc w:val="center"/>
              <w:rPr>
                <w:rFonts w:ascii="Bookman Old Style" w:hAnsi="Bookman Old Style" w:cs="Arial"/>
                <w:b/>
                <w:sz w:val="22"/>
              </w:rPr>
            </w:pPr>
            <w:r w:rsidRPr="00F97224">
              <w:rPr>
                <w:rFonts w:ascii="Bookman Old Style" w:hAnsi="Bookman Old Style" w:cs="Arial"/>
                <w:b/>
                <w:sz w:val="22"/>
              </w:rPr>
              <w:t>MUNICIPIO</w:t>
            </w:r>
          </w:p>
        </w:tc>
        <w:tc>
          <w:tcPr>
            <w:tcW w:w="2154" w:type="dxa"/>
            <w:shd w:val="clear" w:color="auto" w:fill="D9D9D9" w:themeFill="background1" w:themeFillShade="D9"/>
            <w:vAlign w:val="center"/>
          </w:tcPr>
          <w:p w14:paraId="7237F0E9" w14:textId="77777777" w:rsidR="00BB7A66" w:rsidRPr="00F97224" w:rsidRDefault="00BB7A66" w:rsidP="00BB7A66">
            <w:pPr>
              <w:keepNext/>
              <w:ind w:left="177"/>
              <w:jc w:val="center"/>
              <w:rPr>
                <w:rFonts w:ascii="Bookman Old Style" w:hAnsi="Bookman Old Style" w:cs="Arial"/>
                <w:b/>
                <w:sz w:val="22"/>
              </w:rPr>
            </w:pPr>
            <w:r w:rsidRPr="00F97224">
              <w:rPr>
                <w:rFonts w:ascii="Bookman Old Style" w:hAnsi="Bookman Old Style" w:cs="Arial"/>
                <w:b/>
                <w:sz w:val="22"/>
              </w:rPr>
              <w:t>DEPARTAMENTO</w:t>
            </w:r>
          </w:p>
        </w:tc>
      </w:tr>
      <w:tr w:rsidR="00BB7A66" w:rsidRPr="00F97224" w14:paraId="679B3BA8" w14:textId="77777777" w:rsidTr="00BB7A66">
        <w:trPr>
          <w:jc w:val="center"/>
        </w:trPr>
        <w:tc>
          <w:tcPr>
            <w:tcW w:w="2405" w:type="dxa"/>
          </w:tcPr>
          <w:p w14:paraId="1E1A1A72" w14:textId="77777777" w:rsidR="00BB7A66" w:rsidRPr="00F97224" w:rsidRDefault="00BB7A66" w:rsidP="00BB7A66">
            <w:pPr>
              <w:ind w:left="-119" w:right="-1"/>
              <w:jc w:val="center"/>
              <w:rPr>
                <w:rFonts w:ascii="Bookman Old Style" w:hAnsi="Bookman Old Style" w:cs="Arial"/>
                <w:sz w:val="22"/>
              </w:rPr>
            </w:pPr>
            <w:r w:rsidRPr="00F97224">
              <w:rPr>
                <w:rFonts w:ascii="Bookman Old Style" w:hAnsi="Bookman Old Style" w:cs="Arial"/>
                <w:sz w:val="22"/>
              </w:rPr>
              <w:t>23001006</w:t>
            </w:r>
          </w:p>
        </w:tc>
        <w:tc>
          <w:tcPr>
            <w:tcW w:w="2410" w:type="dxa"/>
          </w:tcPr>
          <w:p w14:paraId="6A755616" w14:textId="77777777" w:rsidR="00BB7A66" w:rsidRPr="00F97224" w:rsidRDefault="00BB7A66" w:rsidP="00BB7A66">
            <w:pPr>
              <w:ind w:left="-43" w:right="-1"/>
              <w:jc w:val="center"/>
              <w:rPr>
                <w:rFonts w:ascii="Bookman Old Style" w:hAnsi="Bookman Old Style" w:cs="Arial"/>
                <w:sz w:val="22"/>
              </w:rPr>
            </w:pPr>
            <w:r w:rsidRPr="00F97224">
              <w:rPr>
                <w:rFonts w:ascii="Bookman Old Style" w:hAnsi="Bookman Old Style" w:cs="Arial"/>
                <w:sz w:val="22"/>
              </w:rPr>
              <w:t>Jaraquiel</w:t>
            </w:r>
          </w:p>
        </w:tc>
        <w:tc>
          <w:tcPr>
            <w:tcW w:w="1559" w:type="dxa"/>
            <w:vMerge w:val="restart"/>
            <w:vAlign w:val="center"/>
          </w:tcPr>
          <w:p w14:paraId="32747F8E" w14:textId="77777777" w:rsidR="00BB7A66" w:rsidRPr="00F97224" w:rsidRDefault="00BB7A66" w:rsidP="00BB7A66">
            <w:pPr>
              <w:ind w:left="42" w:right="-1"/>
              <w:jc w:val="center"/>
              <w:rPr>
                <w:rFonts w:ascii="Bookman Old Style" w:hAnsi="Bookman Old Style" w:cs="Arial"/>
                <w:sz w:val="22"/>
              </w:rPr>
            </w:pPr>
            <w:r w:rsidRPr="00F97224">
              <w:rPr>
                <w:rFonts w:ascii="Bookman Old Style" w:hAnsi="Bookman Old Style" w:cs="Arial"/>
                <w:sz w:val="22"/>
              </w:rPr>
              <w:t>Montería</w:t>
            </w:r>
          </w:p>
        </w:tc>
        <w:tc>
          <w:tcPr>
            <w:tcW w:w="2154" w:type="dxa"/>
            <w:vMerge w:val="restart"/>
            <w:vAlign w:val="center"/>
          </w:tcPr>
          <w:p w14:paraId="3A4E4433" w14:textId="77777777" w:rsidR="00BB7A66" w:rsidRPr="00F97224" w:rsidRDefault="00BB7A66" w:rsidP="00BB7A66">
            <w:pPr>
              <w:ind w:left="177" w:right="-1"/>
              <w:jc w:val="center"/>
              <w:rPr>
                <w:rFonts w:ascii="Bookman Old Style" w:hAnsi="Bookman Old Style" w:cs="Arial"/>
                <w:sz w:val="22"/>
              </w:rPr>
            </w:pPr>
            <w:r w:rsidRPr="00F97224">
              <w:rPr>
                <w:rFonts w:ascii="Bookman Old Style" w:hAnsi="Bookman Old Style" w:cs="Arial"/>
                <w:sz w:val="22"/>
              </w:rPr>
              <w:t>Córdoba</w:t>
            </w:r>
          </w:p>
        </w:tc>
      </w:tr>
      <w:tr w:rsidR="00BB7A66" w:rsidRPr="00F97224" w14:paraId="6C73066D" w14:textId="77777777" w:rsidTr="00BB7A66">
        <w:trPr>
          <w:jc w:val="center"/>
        </w:trPr>
        <w:tc>
          <w:tcPr>
            <w:tcW w:w="2405" w:type="dxa"/>
          </w:tcPr>
          <w:p w14:paraId="494C81C9" w14:textId="77777777" w:rsidR="00BB7A66" w:rsidRPr="00F97224" w:rsidRDefault="00BB7A66" w:rsidP="00BB7A66">
            <w:pPr>
              <w:ind w:left="-119" w:right="-1"/>
              <w:jc w:val="center"/>
              <w:rPr>
                <w:rFonts w:ascii="Bookman Old Style" w:hAnsi="Bookman Old Style" w:cs="Arial"/>
                <w:sz w:val="22"/>
              </w:rPr>
            </w:pPr>
            <w:r w:rsidRPr="00F97224">
              <w:rPr>
                <w:rFonts w:ascii="Bookman Old Style" w:hAnsi="Bookman Old Style" w:cs="Arial"/>
                <w:sz w:val="22"/>
              </w:rPr>
              <w:t>-</w:t>
            </w:r>
          </w:p>
        </w:tc>
        <w:tc>
          <w:tcPr>
            <w:tcW w:w="2410" w:type="dxa"/>
          </w:tcPr>
          <w:p w14:paraId="171BC920" w14:textId="77777777" w:rsidR="00BB7A66" w:rsidRPr="00F97224" w:rsidRDefault="00BB7A66" w:rsidP="00BB7A66">
            <w:pPr>
              <w:ind w:left="-43" w:right="-1"/>
              <w:jc w:val="center"/>
              <w:rPr>
                <w:rFonts w:ascii="Bookman Old Style" w:hAnsi="Bookman Old Style" w:cs="Arial"/>
                <w:sz w:val="22"/>
              </w:rPr>
            </w:pPr>
            <w:r w:rsidRPr="00F97224">
              <w:rPr>
                <w:rFonts w:ascii="Bookman Old Style" w:hAnsi="Bookman Old Style" w:cs="Arial"/>
                <w:sz w:val="22"/>
              </w:rPr>
              <w:t>Sierra Chiquita</w:t>
            </w:r>
          </w:p>
        </w:tc>
        <w:tc>
          <w:tcPr>
            <w:tcW w:w="1559" w:type="dxa"/>
            <w:vMerge/>
            <w:vAlign w:val="center"/>
          </w:tcPr>
          <w:p w14:paraId="1FFF8095" w14:textId="77777777" w:rsidR="00BB7A66" w:rsidRPr="00F97224" w:rsidRDefault="00BB7A66" w:rsidP="00BB7A66">
            <w:pPr>
              <w:ind w:left="42" w:right="-1"/>
              <w:jc w:val="center"/>
              <w:rPr>
                <w:rFonts w:ascii="Bookman Old Style" w:hAnsi="Bookman Old Style" w:cs="Arial"/>
                <w:sz w:val="22"/>
              </w:rPr>
            </w:pPr>
          </w:p>
        </w:tc>
        <w:tc>
          <w:tcPr>
            <w:tcW w:w="2154" w:type="dxa"/>
            <w:vMerge/>
            <w:vAlign w:val="center"/>
          </w:tcPr>
          <w:p w14:paraId="27F49132" w14:textId="77777777" w:rsidR="00BB7A66" w:rsidRPr="00F97224" w:rsidRDefault="00BB7A66" w:rsidP="00BB7A66">
            <w:pPr>
              <w:ind w:right="-1"/>
              <w:jc w:val="center"/>
              <w:rPr>
                <w:rFonts w:ascii="Bookman Old Style" w:hAnsi="Bookman Old Style" w:cs="Arial"/>
                <w:sz w:val="22"/>
              </w:rPr>
            </w:pPr>
          </w:p>
        </w:tc>
      </w:tr>
      <w:tr w:rsidR="00BB7A66" w:rsidRPr="00F97224" w14:paraId="46159A5B" w14:textId="77777777" w:rsidTr="00BB7A66">
        <w:trPr>
          <w:jc w:val="center"/>
        </w:trPr>
        <w:tc>
          <w:tcPr>
            <w:tcW w:w="2405" w:type="dxa"/>
          </w:tcPr>
          <w:p w14:paraId="13CA6695" w14:textId="77777777" w:rsidR="00BB7A66" w:rsidRPr="00F97224" w:rsidRDefault="00BB7A66" w:rsidP="00BB7A66">
            <w:pPr>
              <w:ind w:left="-119" w:right="-1"/>
              <w:jc w:val="center"/>
              <w:rPr>
                <w:rFonts w:ascii="Bookman Old Style" w:hAnsi="Bookman Old Style" w:cs="Arial"/>
                <w:sz w:val="22"/>
              </w:rPr>
            </w:pPr>
            <w:r w:rsidRPr="00F97224">
              <w:rPr>
                <w:rFonts w:ascii="Bookman Old Style" w:hAnsi="Bookman Old Style" w:cs="Arial"/>
                <w:sz w:val="22"/>
              </w:rPr>
              <w:t>23162003</w:t>
            </w:r>
          </w:p>
        </w:tc>
        <w:tc>
          <w:tcPr>
            <w:tcW w:w="2410" w:type="dxa"/>
          </w:tcPr>
          <w:p w14:paraId="56CE13A8" w14:textId="77777777" w:rsidR="00BB7A66" w:rsidRPr="00F97224" w:rsidRDefault="00BB7A66" w:rsidP="00BB7A66">
            <w:pPr>
              <w:ind w:left="-43" w:right="-1"/>
              <w:jc w:val="center"/>
              <w:rPr>
                <w:rFonts w:ascii="Bookman Old Style" w:hAnsi="Bookman Old Style" w:cs="Arial"/>
                <w:sz w:val="22"/>
              </w:rPr>
            </w:pPr>
            <w:r w:rsidRPr="00F97224">
              <w:rPr>
                <w:rFonts w:ascii="Bookman Old Style" w:hAnsi="Bookman Old Style" w:cs="Arial"/>
                <w:sz w:val="22"/>
              </w:rPr>
              <w:t>Rabolargo</w:t>
            </w:r>
          </w:p>
        </w:tc>
        <w:tc>
          <w:tcPr>
            <w:tcW w:w="1559" w:type="dxa"/>
            <w:vMerge w:val="restart"/>
            <w:vAlign w:val="center"/>
          </w:tcPr>
          <w:p w14:paraId="3AD4F058" w14:textId="77777777" w:rsidR="00BB7A66" w:rsidRPr="00F97224" w:rsidRDefault="00BB7A66" w:rsidP="00BB7A66">
            <w:pPr>
              <w:ind w:left="42" w:right="-1"/>
              <w:jc w:val="center"/>
              <w:rPr>
                <w:rFonts w:ascii="Bookman Old Style" w:hAnsi="Bookman Old Style" w:cs="Arial"/>
                <w:sz w:val="22"/>
              </w:rPr>
            </w:pPr>
            <w:r w:rsidRPr="00F97224">
              <w:rPr>
                <w:rFonts w:ascii="Bookman Old Style" w:hAnsi="Bookman Old Style" w:cs="Arial"/>
                <w:sz w:val="22"/>
              </w:rPr>
              <w:t>Cereté</w:t>
            </w:r>
          </w:p>
        </w:tc>
        <w:tc>
          <w:tcPr>
            <w:tcW w:w="2154" w:type="dxa"/>
            <w:vMerge/>
            <w:vAlign w:val="center"/>
          </w:tcPr>
          <w:p w14:paraId="1615316B" w14:textId="77777777" w:rsidR="00BB7A66" w:rsidRPr="00F97224" w:rsidRDefault="00BB7A66" w:rsidP="00BB7A66">
            <w:pPr>
              <w:ind w:right="-1"/>
              <w:jc w:val="center"/>
              <w:rPr>
                <w:rFonts w:ascii="Bookman Old Style" w:hAnsi="Bookman Old Style" w:cs="Arial"/>
                <w:sz w:val="22"/>
              </w:rPr>
            </w:pPr>
          </w:p>
        </w:tc>
      </w:tr>
      <w:tr w:rsidR="00BB7A66" w:rsidRPr="00F97224" w14:paraId="3654CC2A" w14:textId="77777777" w:rsidTr="00BB7A66">
        <w:trPr>
          <w:jc w:val="center"/>
        </w:trPr>
        <w:tc>
          <w:tcPr>
            <w:tcW w:w="2405" w:type="dxa"/>
          </w:tcPr>
          <w:p w14:paraId="45CF6FA6" w14:textId="77777777" w:rsidR="00BB7A66" w:rsidRPr="00F97224" w:rsidRDefault="00BB7A66" w:rsidP="00BB7A66">
            <w:pPr>
              <w:ind w:left="-119" w:right="-1"/>
              <w:jc w:val="center"/>
              <w:rPr>
                <w:rFonts w:ascii="Bookman Old Style" w:hAnsi="Bookman Old Style" w:cs="Arial"/>
                <w:sz w:val="22"/>
              </w:rPr>
            </w:pPr>
            <w:r w:rsidRPr="00F97224">
              <w:rPr>
                <w:rFonts w:ascii="Bookman Old Style" w:hAnsi="Bookman Old Style" w:cs="Arial"/>
                <w:sz w:val="22"/>
              </w:rPr>
              <w:t>23162012</w:t>
            </w:r>
          </w:p>
        </w:tc>
        <w:tc>
          <w:tcPr>
            <w:tcW w:w="2410" w:type="dxa"/>
          </w:tcPr>
          <w:p w14:paraId="41FAFDEF" w14:textId="77777777" w:rsidR="00BB7A66" w:rsidRPr="00F97224" w:rsidRDefault="00BB7A66" w:rsidP="00BB7A66">
            <w:pPr>
              <w:ind w:left="-43" w:right="-1"/>
              <w:jc w:val="center"/>
              <w:rPr>
                <w:rFonts w:ascii="Bookman Old Style" w:hAnsi="Bookman Old Style" w:cs="Arial"/>
                <w:sz w:val="22"/>
              </w:rPr>
            </w:pPr>
            <w:r w:rsidRPr="00F97224">
              <w:rPr>
                <w:rFonts w:ascii="Bookman Old Style" w:hAnsi="Bookman Old Style" w:cs="Arial"/>
                <w:sz w:val="22"/>
              </w:rPr>
              <w:t>San Antonio</w:t>
            </w:r>
          </w:p>
        </w:tc>
        <w:tc>
          <w:tcPr>
            <w:tcW w:w="1559" w:type="dxa"/>
            <w:vMerge/>
            <w:vAlign w:val="center"/>
          </w:tcPr>
          <w:p w14:paraId="54EC905E" w14:textId="77777777" w:rsidR="00BB7A66" w:rsidRPr="00F97224" w:rsidRDefault="00BB7A66" w:rsidP="00BB7A66">
            <w:pPr>
              <w:ind w:right="-1"/>
              <w:jc w:val="center"/>
              <w:rPr>
                <w:rFonts w:ascii="Bookman Old Style" w:hAnsi="Bookman Old Style" w:cs="Arial"/>
                <w:sz w:val="22"/>
              </w:rPr>
            </w:pPr>
          </w:p>
        </w:tc>
        <w:tc>
          <w:tcPr>
            <w:tcW w:w="2154" w:type="dxa"/>
            <w:vMerge/>
            <w:vAlign w:val="center"/>
          </w:tcPr>
          <w:p w14:paraId="126B3820" w14:textId="77777777" w:rsidR="00BB7A66" w:rsidRPr="00F97224" w:rsidRDefault="00BB7A66" w:rsidP="00BB7A66">
            <w:pPr>
              <w:ind w:right="-1"/>
              <w:jc w:val="center"/>
              <w:rPr>
                <w:rFonts w:ascii="Bookman Old Style" w:hAnsi="Bookman Old Style" w:cs="Arial"/>
                <w:sz w:val="22"/>
              </w:rPr>
            </w:pPr>
          </w:p>
        </w:tc>
      </w:tr>
      <w:tr w:rsidR="00BB7A66" w:rsidRPr="00F97224" w14:paraId="697E71A0" w14:textId="77777777" w:rsidTr="00BB7A66">
        <w:trPr>
          <w:jc w:val="center"/>
        </w:trPr>
        <w:tc>
          <w:tcPr>
            <w:tcW w:w="2405" w:type="dxa"/>
          </w:tcPr>
          <w:p w14:paraId="6E2924FF" w14:textId="77777777" w:rsidR="00BB7A66" w:rsidRPr="00F97224" w:rsidRDefault="00BB7A66" w:rsidP="00BB7A66">
            <w:pPr>
              <w:ind w:left="-119" w:right="-1"/>
              <w:jc w:val="center"/>
              <w:rPr>
                <w:rFonts w:ascii="Bookman Old Style" w:hAnsi="Bookman Old Style" w:cs="Arial"/>
                <w:sz w:val="22"/>
              </w:rPr>
            </w:pPr>
            <w:r w:rsidRPr="00F97224">
              <w:rPr>
                <w:rFonts w:ascii="Bookman Old Style" w:hAnsi="Bookman Old Style" w:cs="Arial"/>
                <w:sz w:val="22"/>
              </w:rPr>
              <w:t>23162000</w:t>
            </w:r>
          </w:p>
        </w:tc>
        <w:tc>
          <w:tcPr>
            <w:tcW w:w="2410" w:type="dxa"/>
          </w:tcPr>
          <w:p w14:paraId="3B7D3E40" w14:textId="77777777" w:rsidR="00BB7A66" w:rsidRPr="00F97224" w:rsidRDefault="00BB7A66" w:rsidP="00BB7A66">
            <w:pPr>
              <w:ind w:left="-43" w:right="-1"/>
              <w:jc w:val="center"/>
              <w:rPr>
                <w:rFonts w:ascii="Bookman Old Style" w:hAnsi="Bookman Old Style" w:cs="Arial"/>
                <w:sz w:val="22"/>
              </w:rPr>
            </w:pPr>
            <w:r w:rsidRPr="00F97224">
              <w:rPr>
                <w:rFonts w:ascii="Bookman Old Style" w:hAnsi="Bookman Old Style" w:cs="Arial"/>
                <w:sz w:val="22"/>
              </w:rPr>
              <w:t>El Cedro</w:t>
            </w:r>
          </w:p>
        </w:tc>
        <w:tc>
          <w:tcPr>
            <w:tcW w:w="1559" w:type="dxa"/>
            <w:vMerge/>
            <w:vAlign w:val="center"/>
          </w:tcPr>
          <w:p w14:paraId="4ECA0194" w14:textId="77777777" w:rsidR="00BB7A66" w:rsidRPr="00F97224" w:rsidRDefault="00BB7A66" w:rsidP="00BB7A66">
            <w:pPr>
              <w:ind w:right="-1"/>
              <w:jc w:val="center"/>
              <w:rPr>
                <w:rFonts w:ascii="Bookman Old Style" w:hAnsi="Bookman Old Style" w:cs="Arial"/>
                <w:sz w:val="22"/>
              </w:rPr>
            </w:pPr>
          </w:p>
        </w:tc>
        <w:tc>
          <w:tcPr>
            <w:tcW w:w="2154" w:type="dxa"/>
            <w:vMerge/>
            <w:vAlign w:val="center"/>
          </w:tcPr>
          <w:p w14:paraId="36AB6CEC" w14:textId="77777777" w:rsidR="00BB7A66" w:rsidRPr="00F97224" w:rsidRDefault="00BB7A66" w:rsidP="00BB7A66">
            <w:pPr>
              <w:ind w:right="-1"/>
              <w:jc w:val="center"/>
              <w:rPr>
                <w:rFonts w:ascii="Bookman Old Style" w:hAnsi="Bookman Old Style" w:cs="Arial"/>
                <w:sz w:val="22"/>
              </w:rPr>
            </w:pPr>
          </w:p>
        </w:tc>
      </w:tr>
    </w:tbl>
    <w:p w14:paraId="32D9E370" w14:textId="77777777" w:rsidR="00883586" w:rsidRPr="001954E9" w:rsidRDefault="00883586" w:rsidP="00B860E3">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6BF71122" w14:textId="77777777" w:rsidR="001E5601" w:rsidRPr="001954E9" w:rsidRDefault="00273C2C" w:rsidP="00B860E3">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14:paraId="00593034" w14:textId="77777777" w:rsidR="00273C2C" w:rsidRPr="00F64E15" w:rsidRDefault="00105372" w:rsidP="00B860E3">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F159C0">
        <w:rPr>
          <w:rFonts w:ascii="Bookman Old Style" w:hAnsi="Bookman Old Style" w:cs="Arial"/>
        </w:rPr>
        <w:t>1.997.836.568</w:t>
      </w:r>
      <w:r w:rsidR="004872CE">
        <w:rPr>
          <w:rFonts w:ascii="Bookman Old Style" w:hAnsi="Bookman Old Style" w:cs="Arial"/>
        </w:rPr>
        <w:t xml:space="preserve"> </w:t>
      </w:r>
      <w:r w:rsidR="008150E7" w:rsidRPr="001954E9">
        <w:rPr>
          <w:rFonts w:ascii="Bookman Old Style" w:hAnsi="Bookman Old Style" w:cs="Arial"/>
        </w:rPr>
        <w:t xml:space="preserve">($ 31 de diciembre de </w:t>
      </w:r>
      <w:r w:rsidR="00934F43">
        <w:rPr>
          <w:rFonts w:ascii="Bookman Old Style" w:hAnsi="Bookman Old Style" w:cs="Arial"/>
        </w:rPr>
        <w:t>2017</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F64E15">
        <w:rPr>
          <w:rFonts w:ascii="Bookman Old Style" w:hAnsi="Bookman Old Style" w:cs="Arial"/>
          <w:bCs/>
        </w:rPr>
        <w:t>presente Resolución</w:t>
      </w:r>
      <w:r w:rsidR="005E783F" w:rsidRPr="00F64E15">
        <w:rPr>
          <w:rFonts w:ascii="Bookman Old Style" w:hAnsi="Bookman Old Style" w:cs="Arial"/>
          <w:bCs/>
        </w:rPr>
        <w:t>.</w:t>
      </w:r>
    </w:p>
    <w:p w14:paraId="789AEF43" w14:textId="7BBE3FCD" w:rsidR="008C3D2D" w:rsidRPr="00B860E3" w:rsidRDefault="008C3D2D" w:rsidP="00B860E3">
      <w:pPr>
        <w:adjustRightInd w:val="0"/>
        <w:spacing w:before="240" w:after="240"/>
        <w:ind w:left="0" w:right="23"/>
        <w:jc w:val="both"/>
        <w:rPr>
          <w:rFonts w:ascii="Bookman Old Style" w:hAnsi="Bookman Old Style" w:cs="Arial"/>
          <w:bCs/>
        </w:rPr>
      </w:pPr>
      <w:r w:rsidRPr="00B860E3">
        <w:rPr>
          <w:rFonts w:ascii="Bookman Old Style" w:hAnsi="Bookman Old Style" w:cs="Arial"/>
          <w:bCs/>
        </w:rPr>
        <w:t xml:space="preserve">Aplicando la metodología contenida en la </w:t>
      </w:r>
      <w:r w:rsidR="00AD47C2" w:rsidRPr="00B860E3">
        <w:rPr>
          <w:rFonts w:ascii="Bookman Old Style" w:hAnsi="Bookman Old Style" w:cs="Arial"/>
          <w:bCs/>
        </w:rPr>
        <w:t>Resolución CREG 202 de 2013 y aquellas que la modifiquen, adicionen o sustituyan</w:t>
      </w:r>
      <w:r w:rsidRPr="00B860E3">
        <w:rPr>
          <w:rFonts w:ascii="Bookman Old Style" w:hAnsi="Bookman Old Style" w:cs="Arial"/>
          <w:bCs/>
        </w:rPr>
        <w:t xml:space="preserve">, </w:t>
      </w:r>
      <w:r w:rsidR="007879AF" w:rsidRPr="00B860E3">
        <w:rPr>
          <w:rFonts w:ascii="Bookman Old Style" w:hAnsi="Bookman Old Style" w:cs="Arial"/>
          <w:bCs/>
        </w:rPr>
        <w:t>se calcularon las siguientes variables principales</w:t>
      </w:r>
      <w:r w:rsidR="007879AF" w:rsidRPr="00B860E3" w:rsidDel="007879AF">
        <w:rPr>
          <w:rFonts w:ascii="Bookman Old Style" w:hAnsi="Bookman Old Style" w:cs="Arial"/>
          <w:bCs/>
        </w:rPr>
        <w:t xml:space="preserve"> </w:t>
      </w:r>
      <w:r w:rsidRPr="00B860E3">
        <w:rPr>
          <w:rFonts w:ascii="Bookman Old Style" w:hAnsi="Bookman Old Style" w:cs="Arial"/>
          <w:bCs/>
        </w:rPr>
        <w:t xml:space="preserve">para la componente que remunera la inversión base </w:t>
      </w:r>
      <w:r w:rsidRPr="00B860E3">
        <w:rPr>
          <w:rFonts w:ascii="Bookman Old Style" w:hAnsi="Bookman Old Style" w:cs="Arial"/>
          <w:bCs/>
        </w:rPr>
        <w:lastRenderedPageBreak/>
        <w:t>aplicable a usuarios de uso residencial y a usuarios diferentes a los de uso residencial</w:t>
      </w:r>
      <w:r w:rsidR="00883586" w:rsidRPr="00B860E3">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14:paraId="42E41FC1" w14:textId="77777777" w:rsidTr="00B860E3">
        <w:trPr>
          <w:trHeight w:val="536"/>
          <w:jc w:val="center"/>
        </w:trPr>
        <w:tc>
          <w:tcPr>
            <w:tcW w:w="5000" w:type="pct"/>
            <w:gridSpan w:val="2"/>
            <w:shd w:val="clear" w:color="auto" w:fill="D9D9D9" w:themeFill="background1" w:themeFillShade="D9"/>
            <w:vAlign w:val="center"/>
            <w:hideMark/>
          </w:tcPr>
          <w:p w14:paraId="6AD9DC44" w14:textId="77777777" w:rsidR="00C42E05" w:rsidRPr="00BC2B64" w:rsidRDefault="00C42E05" w:rsidP="00A10908">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14:paraId="7A095DB9" w14:textId="77777777" w:rsidTr="00B860E3">
        <w:trPr>
          <w:trHeight w:val="313"/>
          <w:jc w:val="center"/>
        </w:trPr>
        <w:tc>
          <w:tcPr>
            <w:tcW w:w="2596" w:type="pct"/>
            <w:shd w:val="clear" w:color="auto" w:fill="D9D9D9" w:themeFill="background1" w:themeFillShade="D9"/>
            <w:vAlign w:val="center"/>
            <w:hideMark/>
          </w:tcPr>
          <w:p w14:paraId="44A2FD1D" w14:textId="77777777" w:rsidR="00C42E05" w:rsidRPr="00BC2B64" w:rsidRDefault="00C42E05" w:rsidP="00B860E3">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3BD51EBF" w14:textId="77777777"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7214D8" w:rsidRPr="00A10908" w14:paraId="7D9EE36A" w14:textId="77777777" w:rsidTr="00B860E3">
        <w:trPr>
          <w:trHeight w:val="271"/>
          <w:jc w:val="center"/>
        </w:trPr>
        <w:tc>
          <w:tcPr>
            <w:tcW w:w="2596" w:type="pct"/>
            <w:shd w:val="clear" w:color="auto" w:fill="auto"/>
            <w:hideMark/>
          </w:tcPr>
          <w:p w14:paraId="545D8854"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33B23016" wp14:editId="55EB802D">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2343DDC0" w14:textId="77777777" w:rsidR="007214D8" w:rsidRPr="007214D8" w:rsidRDefault="007214D8" w:rsidP="007214D8">
            <w:pPr>
              <w:ind w:left="0"/>
              <w:jc w:val="center"/>
              <w:rPr>
                <w:rFonts w:ascii="Bookman Old Style" w:hAnsi="Bookman Old Style"/>
                <w:color w:val="000000"/>
                <w:sz w:val="22"/>
                <w:szCs w:val="22"/>
                <w:lang w:val="es-CO" w:eastAsia="es-CO"/>
              </w:rPr>
            </w:pPr>
            <w:r w:rsidRPr="007214D8">
              <w:rPr>
                <w:rFonts w:ascii="Bookman Old Style" w:hAnsi="Bookman Old Style"/>
                <w:color w:val="000000"/>
                <w:sz w:val="22"/>
                <w:szCs w:val="22"/>
              </w:rPr>
              <w:t>725</w:t>
            </w:r>
            <w:r>
              <w:rPr>
                <w:rFonts w:ascii="Bookman Old Style" w:hAnsi="Bookman Old Style"/>
                <w:color w:val="000000"/>
                <w:sz w:val="22"/>
                <w:szCs w:val="22"/>
              </w:rPr>
              <w:t>.</w:t>
            </w:r>
            <w:r w:rsidRPr="007214D8">
              <w:rPr>
                <w:rFonts w:ascii="Bookman Old Style" w:hAnsi="Bookman Old Style"/>
                <w:color w:val="000000"/>
                <w:sz w:val="22"/>
                <w:szCs w:val="22"/>
              </w:rPr>
              <w:t>058</w:t>
            </w:r>
            <w:r>
              <w:rPr>
                <w:rFonts w:ascii="Bookman Old Style" w:hAnsi="Bookman Old Style"/>
                <w:color w:val="000000"/>
                <w:sz w:val="22"/>
                <w:szCs w:val="22"/>
              </w:rPr>
              <w:t>.</w:t>
            </w:r>
            <w:r w:rsidRPr="007214D8">
              <w:rPr>
                <w:rFonts w:ascii="Bookman Old Style" w:hAnsi="Bookman Old Style"/>
                <w:color w:val="000000"/>
                <w:sz w:val="22"/>
                <w:szCs w:val="22"/>
              </w:rPr>
              <w:t>465</w:t>
            </w:r>
          </w:p>
        </w:tc>
      </w:tr>
      <w:tr w:rsidR="007214D8" w:rsidRPr="00A10908" w14:paraId="54E4006E" w14:textId="77777777" w:rsidTr="00B860E3">
        <w:trPr>
          <w:trHeight w:val="271"/>
          <w:jc w:val="center"/>
        </w:trPr>
        <w:tc>
          <w:tcPr>
            <w:tcW w:w="2596" w:type="pct"/>
            <w:shd w:val="clear" w:color="auto" w:fill="auto"/>
            <w:hideMark/>
          </w:tcPr>
          <w:p w14:paraId="53876373"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46A1236D" wp14:editId="2ED8E7B6">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center"/>
          </w:tcPr>
          <w:p w14:paraId="0BFF1C0E"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1</w:t>
            </w:r>
            <w:r>
              <w:rPr>
                <w:rFonts w:ascii="Bookman Old Style" w:hAnsi="Bookman Old Style"/>
                <w:color w:val="000000"/>
                <w:sz w:val="22"/>
                <w:szCs w:val="22"/>
              </w:rPr>
              <w:t>.</w:t>
            </w:r>
            <w:r w:rsidRPr="007214D8">
              <w:rPr>
                <w:rFonts w:ascii="Bookman Old Style" w:hAnsi="Bookman Old Style"/>
                <w:color w:val="000000"/>
                <w:sz w:val="22"/>
                <w:szCs w:val="22"/>
              </w:rPr>
              <w:t>049</w:t>
            </w:r>
            <w:r>
              <w:rPr>
                <w:rFonts w:ascii="Bookman Old Style" w:hAnsi="Bookman Old Style"/>
                <w:color w:val="000000"/>
                <w:sz w:val="22"/>
                <w:szCs w:val="22"/>
              </w:rPr>
              <w:t>.</w:t>
            </w:r>
            <w:r w:rsidRPr="007214D8">
              <w:rPr>
                <w:rFonts w:ascii="Bookman Old Style" w:hAnsi="Bookman Old Style"/>
                <w:color w:val="000000"/>
                <w:sz w:val="22"/>
                <w:szCs w:val="22"/>
              </w:rPr>
              <w:t>458</w:t>
            </w:r>
            <w:r>
              <w:rPr>
                <w:rFonts w:ascii="Bookman Old Style" w:hAnsi="Bookman Old Style"/>
                <w:color w:val="000000"/>
                <w:sz w:val="22"/>
                <w:szCs w:val="22"/>
              </w:rPr>
              <w:t>.</w:t>
            </w:r>
            <w:r w:rsidRPr="007214D8">
              <w:rPr>
                <w:rFonts w:ascii="Bookman Old Style" w:hAnsi="Bookman Old Style"/>
                <w:color w:val="000000"/>
                <w:sz w:val="22"/>
                <w:szCs w:val="22"/>
              </w:rPr>
              <w:t>199</w:t>
            </w:r>
          </w:p>
        </w:tc>
      </w:tr>
      <w:tr w:rsidR="007214D8" w:rsidRPr="00A10908" w14:paraId="11CE7BB5" w14:textId="77777777" w:rsidTr="00B860E3">
        <w:trPr>
          <w:trHeight w:val="271"/>
          <w:jc w:val="center"/>
        </w:trPr>
        <w:tc>
          <w:tcPr>
            <w:tcW w:w="2596" w:type="pct"/>
            <w:shd w:val="clear" w:color="auto" w:fill="auto"/>
            <w:hideMark/>
          </w:tcPr>
          <w:p w14:paraId="49F15068" w14:textId="77777777" w:rsidR="007214D8" w:rsidRPr="00B860E3" w:rsidRDefault="007214D8" w:rsidP="007214D8">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B860E3">
              <w:rPr>
                <w:rFonts w:ascii="Bookman Old Style" w:hAnsi="Bookman Old Style"/>
                <w:b/>
                <w:bCs/>
                <w:color w:val="000000"/>
                <w:sz w:val="22"/>
                <w:szCs w:val="22"/>
                <w:lang w:val="es-CO" w:eastAsia="es-CO"/>
              </w:rPr>
              <w:t> </w:t>
            </w:r>
          </w:p>
        </w:tc>
        <w:tc>
          <w:tcPr>
            <w:tcW w:w="2404" w:type="pct"/>
            <w:shd w:val="clear" w:color="auto" w:fill="auto"/>
            <w:vAlign w:val="center"/>
          </w:tcPr>
          <w:p w14:paraId="49A67475"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r w:rsidR="007214D8" w:rsidRPr="00A10908" w14:paraId="0E5E1E88" w14:textId="77777777" w:rsidTr="00B860E3">
        <w:trPr>
          <w:trHeight w:val="271"/>
          <w:jc w:val="center"/>
        </w:trPr>
        <w:tc>
          <w:tcPr>
            <w:tcW w:w="2596" w:type="pct"/>
            <w:shd w:val="clear" w:color="auto" w:fill="auto"/>
            <w:hideMark/>
          </w:tcPr>
          <w:p w14:paraId="396C8201"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523E0629" wp14:editId="307F32F4">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2C4437F"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bl>
    <w:p w14:paraId="4BC5EE25" w14:textId="77777777" w:rsidR="00C42E05" w:rsidRPr="002442D8" w:rsidRDefault="00C42E05" w:rsidP="00B860E3">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14:paraId="5C5B10E8" w14:textId="77777777" w:rsidTr="00B860E3">
        <w:trPr>
          <w:trHeight w:val="536"/>
          <w:jc w:val="center"/>
        </w:trPr>
        <w:tc>
          <w:tcPr>
            <w:tcW w:w="5000" w:type="pct"/>
            <w:gridSpan w:val="2"/>
            <w:shd w:val="clear" w:color="auto" w:fill="D9D9D9" w:themeFill="background1" w:themeFillShade="D9"/>
            <w:vAlign w:val="center"/>
            <w:hideMark/>
          </w:tcPr>
          <w:p w14:paraId="034DD7C3"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14:paraId="3F093A6F" w14:textId="77777777" w:rsidTr="00B860E3">
        <w:trPr>
          <w:trHeight w:val="313"/>
          <w:jc w:val="center"/>
        </w:trPr>
        <w:tc>
          <w:tcPr>
            <w:tcW w:w="2596" w:type="pct"/>
            <w:shd w:val="clear" w:color="auto" w:fill="D9D9D9" w:themeFill="background1" w:themeFillShade="D9"/>
            <w:vAlign w:val="center"/>
            <w:hideMark/>
          </w:tcPr>
          <w:p w14:paraId="2CA46F8C"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3B58217B"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7214D8" w:rsidRPr="00A10908" w14:paraId="7CFFE934" w14:textId="77777777" w:rsidTr="00AD47C2">
        <w:trPr>
          <w:trHeight w:val="271"/>
          <w:jc w:val="center"/>
        </w:trPr>
        <w:tc>
          <w:tcPr>
            <w:tcW w:w="2596" w:type="pct"/>
            <w:shd w:val="clear" w:color="auto" w:fill="auto"/>
            <w:hideMark/>
          </w:tcPr>
          <w:p w14:paraId="60138A7D"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1AD28F3D" wp14:editId="1ACDCD69">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68B4D944"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725</w:t>
            </w:r>
            <w:r>
              <w:rPr>
                <w:rFonts w:ascii="Bookman Old Style" w:hAnsi="Bookman Old Style"/>
                <w:color w:val="000000"/>
                <w:sz w:val="22"/>
                <w:szCs w:val="22"/>
              </w:rPr>
              <w:t>.</w:t>
            </w:r>
            <w:r w:rsidRPr="007214D8">
              <w:rPr>
                <w:rFonts w:ascii="Bookman Old Style" w:hAnsi="Bookman Old Style"/>
                <w:color w:val="000000"/>
                <w:sz w:val="22"/>
                <w:szCs w:val="22"/>
              </w:rPr>
              <w:t>058</w:t>
            </w:r>
            <w:r>
              <w:rPr>
                <w:rFonts w:ascii="Bookman Old Style" w:hAnsi="Bookman Old Style"/>
                <w:color w:val="000000"/>
                <w:sz w:val="22"/>
                <w:szCs w:val="22"/>
              </w:rPr>
              <w:t>.</w:t>
            </w:r>
            <w:r w:rsidRPr="007214D8">
              <w:rPr>
                <w:rFonts w:ascii="Bookman Old Style" w:hAnsi="Bookman Old Style"/>
                <w:color w:val="000000"/>
                <w:sz w:val="22"/>
                <w:szCs w:val="22"/>
              </w:rPr>
              <w:t>465</w:t>
            </w:r>
          </w:p>
        </w:tc>
      </w:tr>
      <w:tr w:rsidR="007214D8" w:rsidRPr="00A10908" w14:paraId="1AD97B59" w14:textId="77777777" w:rsidTr="00AD47C2">
        <w:trPr>
          <w:trHeight w:val="271"/>
          <w:jc w:val="center"/>
        </w:trPr>
        <w:tc>
          <w:tcPr>
            <w:tcW w:w="2596" w:type="pct"/>
            <w:shd w:val="clear" w:color="auto" w:fill="auto"/>
            <w:hideMark/>
          </w:tcPr>
          <w:p w14:paraId="00A2787D"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644DFC1A" wp14:editId="1ECD4BD0">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14:paraId="73F50BFA"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0</w:t>
            </w:r>
          </w:p>
        </w:tc>
      </w:tr>
      <w:tr w:rsidR="007214D8" w:rsidRPr="00A10908" w14:paraId="10192B47" w14:textId="77777777" w:rsidTr="00AD47C2">
        <w:trPr>
          <w:trHeight w:val="271"/>
          <w:jc w:val="center"/>
        </w:trPr>
        <w:tc>
          <w:tcPr>
            <w:tcW w:w="2596" w:type="pct"/>
            <w:shd w:val="clear" w:color="auto" w:fill="auto"/>
            <w:hideMark/>
          </w:tcPr>
          <w:p w14:paraId="245DB836"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44E22049" wp14:editId="31FD736D">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3A70AFE8"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r w:rsidR="007214D8" w:rsidRPr="00A10908" w14:paraId="4457F964" w14:textId="77777777" w:rsidTr="00AD47C2">
        <w:trPr>
          <w:trHeight w:val="271"/>
          <w:jc w:val="center"/>
        </w:trPr>
        <w:tc>
          <w:tcPr>
            <w:tcW w:w="2596" w:type="pct"/>
            <w:shd w:val="clear" w:color="auto" w:fill="auto"/>
            <w:hideMark/>
          </w:tcPr>
          <w:p w14:paraId="309E0E06"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6341ED72" wp14:editId="733F07E0">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3A8CBDBE"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bl>
    <w:p w14:paraId="7E074339" w14:textId="77777777"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14:paraId="77AAD000" w14:textId="77777777" w:rsidR="001B63E5" w:rsidRPr="001954E9" w:rsidRDefault="00273C2C" w:rsidP="00B860E3">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7214D8">
        <w:rPr>
          <w:rFonts w:ascii="Bookman Old Style" w:hAnsi="Bookman Old Style" w:cs="Arial"/>
          <w:bCs/>
        </w:rPr>
        <w:t>4,17</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E06F9" w:rsidRPr="007214D8">
        <w:rPr>
          <w:rFonts w:ascii="Bookman Old Style" w:hAnsi="Bookman Old Style" w:cs="Arial"/>
          <w:bCs/>
        </w:rPr>
        <w:t>100,00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14:paraId="37D0ACA3" w14:textId="77777777" w:rsidTr="00B860E3">
        <w:trPr>
          <w:trHeight w:val="287"/>
          <w:jc w:val="center"/>
        </w:trPr>
        <w:tc>
          <w:tcPr>
            <w:tcW w:w="3188" w:type="pct"/>
            <w:shd w:val="clear" w:color="auto" w:fill="D9D9D9" w:themeFill="background1" w:themeFillShade="D9"/>
            <w:vAlign w:val="center"/>
            <w:hideMark/>
          </w:tcPr>
          <w:p w14:paraId="6EFA7839" w14:textId="77777777" w:rsidR="00BB54AF" w:rsidRPr="00F37572" w:rsidRDefault="00BB54AF" w:rsidP="00B860E3">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14:paraId="19E31606" w14:textId="77777777" w:rsidR="00BB54AF" w:rsidRPr="00F37572" w:rsidRDefault="00BB54A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w:t>
            </w:r>
            <w:r w:rsidR="00FB305B">
              <w:rPr>
                <w:rFonts w:ascii="Bookman Old Style" w:hAnsi="Bookman Old Style" w:cs="Arial"/>
                <w:b/>
                <w:bCs/>
                <w:color w:val="000000"/>
                <w:sz w:val="22"/>
                <w:szCs w:val="22"/>
                <w:lang w:eastAsia="es-CO"/>
              </w:rPr>
              <w:t xml:space="preserve"> (COP)</w:t>
            </w:r>
            <w:r>
              <w:rPr>
                <w:rFonts w:ascii="Bookman Old Style" w:hAnsi="Bookman Old Style" w:cs="Arial"/>
                <w:b/>
                <w:bCs/>
                <w:color w:val="000000"/>
                <w:sz w:val="22"/>
                <w:szCs w:val="22"/>
                <w:lang w:eastAsia="es-CO"/>
              </w:rPr>
              <w:t xml:space="preserve"> del 31 de diciembre de 2017</w:t>
            </w:r>
          </w:p>
        </w:tc>
      </w:tr>
      <w:tr w:rsidR="00BB54AF" w:rsidRPr="00F37572" w14:paraId="5EAB2AA8" w14:textId="77777777" w:rsidTr="00B860E3">
        <w:trPr>
          <w:trHeight w:val="478"/>
          <w:jc w:val="center"/>
        </w:trPr>
        <w:tc>
          <w:tcPr>
            <w:tcW w:w="3188" w:type="pct"/>
            <w:shd w:val="clear" w:color="auto" w:fill="auto"/>
            <w:vAlign w:val="center"/>
            <w:hideMark/>
          </w:tcPr>
          <w:p w14:paraId="5B7BB57E" w14:textId="77777777"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14:paraId="33EE792B" w14:textId="77777777" w:rsidR="00BB54AF" w:rsidRPr="00980D18" w:rsidRDefault="007214D8" w:rsidP="007214D8">
            <w:pPr>
              <w:ind w:left="0"/>
              <w:jc w:val="center"/>
              <w:rPr>
                <w:color w:val="000000"/>
                <w:sz w:val="22"/>
                <w:lang w:val="es-CO" w:eastAsia="es-CO"/>
              </w:rPr>
            </w:pPr>
            <w:r w:rsidRPr="007214D8">
              <w:rPr>
                <w:rFonts w:ascii="Bookman Old Style" w:hAnsi="Bookman Old Style"/>
                <w:color w:val="000000"/>
                <w:sz w:val="22"/>
                <w:szCs w:val="20"/>
              </w:rPr>
              <w:t>725.415.187</w:t>
            </w:r>
          </w:p>
        </w:tc>
      </w:tr>
    </w:tbl>
    <w:p w14:paraId="6790462C" w14:textId="4CA29DD9" w:rsidR="00A0161E" w:rsidRDefault="00A0161E"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o sustituyan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636482E6" w14:textId="77777777" w:rsidTr="00B860E3">
        <w:trPr>
          <w:trHeight w:val="536"/>
          <w:jc w:val="center"/>
        </w:trPr>
        <w:tc>
          <w:tcPr>
            <w:tcW w:w="5000" w:type="pct"/>
            <w:gridSpan w:val="2"/>
            <w:shd w:val="clear" w:color="auto" w:fill="D9D9D9" w:themeFill="background1" w:themeFillShade="D9"/>
            <w:vAlign w:val="center"/>
            <w:hideMark/>
          </w:tcPr>
          <w:p w14:paraId="24E0E957"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14:paraId="2BA3C6D3" w14:textId="77777777" w:rsidTr="00B860E3">
        <w:trPr>
          <w:trHeight w:val="313"/>
          <w:jc w:val="center"/>
        </w:trPr>
        <w:tc>
          <w:tcPr>
            <w:tcW w:w="2596" w:type="pct"/>
            <w:shd w:val="clear" w:color="auto" w:fill="D9D9D9" w:themeFill="background1" w:themeFillShade="D9"/>
            <w:vAlign w:val="center"/>
            <w:hideMark/>
          </w:tcPr>
          <w:p w14:paraId="21FE98A8"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3F333C79"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7214D8" w:rsidRPr="00A10908" w14:paraId="36BB6FF3" w14:textId="77777777" w:rsidTr="00AD47C2">
        <w:trPr>
          <w:trHeight w:val="271"/>
          <w:jc w:val="center"/>
        </w:trPr>
        <w:tc>
          <w:tcPr>
            <w:tcW w:w="2596" w:type="pct"/>
            <w:shd w:val="clear" w:color="auto" w:fill="auto"/>
            <w:hideMark/>
          </w:tcPr>
          <w:p w14:paraId="450F5076"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41E17EE" wp14:editId="2188F388">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center"/>
          </w:tcPr>
          <w:p w14:paraId="778EA777"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204</w:t>
            </w:r>
            <w:r>
              <w:rPr>
                <w:rFonts w:ascii="Bookman Old Style" w:hAnsi="Bookman Old Style"/>
                <w:color w:val="000000"/>
                <w:sz w:val="22"/>
                <w:szCs w:val="22"/>
              </w:rPr>
              <w:t>.</w:t>
            </w:r>
            <w:r w:rsidRPr="007214D8">
              <w:rPr>
                <w:rFonts w:ascii="Bookman Old Style" w:hAnsi="Bookman Old Style"/>
                <w:color w:val="000000"/>
                <w:sz w:val="22"/>
                <w:szCs w:val="22"/>
              </w:rPr>
              <w:t>350</w:t>
            </w:r>
            <w:r>
              <w:rPr>
                <w:rFonts w:ascii="Bookman Old Style" w:hAnsi="Bookman Old Style"/>
                <w:color w:val="000000"/>
                <w:sz w:val="22"/>
                <w:szCs w:val="22"/>
              </w:rPr>
              <w:t>.</w:t>
            </w:r>
            <w:r w:rsidRPr="007214D8">
              <w:rPr>
                <w:rFonts w:ascii="Bookman Old Style" w:hAnsi="Bookman Old Style"/>
                <w:color w:val="000000"/>
                <w:sz w:val="22"/>
                <w:szCs w:val="22"/>
              </w:rPr>
              <w:t>834</w:t>
            </w:r>
          </w:p>
        </w:tc>
      </w:tr>
      <w:tr w:rsidR="007214D8" w:rsidRPr="00A10908" w14:paraId="0C5BF30E" w14:textId="77777777" w:rsidTr="00AD47C2">
        <w:trPr>
          <w:trHeight w:val="271"/>
          <w:jc w:val="center"/>
        </w:trPr>
        <w:tc>
          <w:tcPr>
            <w:tcW w:w="2596" w:type="pct"/>
            <w:shd w:val="clear" w:color="auto" w:fill="auto"/>
            <w:hideMark/>
          </w:tcPr>
          <w:p w14:paraId="4FC29086"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F37BBB" wp14:editId="20DE67D0">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center"/>
          </w:tcPr>
          <w:p w14:paraId="762F36F3"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521</w:t>
            </w:r>
            <w:r>
              <w:rPr>
                <w:rFonts w:ascii="Bookman Old Style" w:hAnsi="Bookman Old Style"/>
                <w:color w:val="000000"/>
                <w:sz w:val="22"/>
                <w:szCs w:val="22"/>
              </w:rPr>
              <w:t>.</w:t>
            </w:r>
            <w:r w:rsidRPr="007214D8">
              <w:rPr>
                <w:rFonts w:ascii="Bookman Old Style" w:hAnsi="Bookman Old Style"/>
                <w:color w:val="000000"/>
                <w:sz w:val="22"/>
                <w:szCs w:val="22"/>
              </w:rPr>
              <w:t>064</w:t>
            </w:r>
            <w:r>
              <w:rPr>
                <w:rFonts w:ascii="Bookman Old Style" w:hAnsi="Bookman Old Style"/>
                <w:color w:val="000000"/>
                <w:sz w:val="22"/>
                <w:szCs w:val="22"/>
              </w:rPr>
              <w:t>.</w:t>
            </w:r>
            <w:r w:rsidRPr="007214D8">
              <w:rPr>
                <w:rFonts w:ascii="Bookman Old Style" w:hAnsi="Bookman Old Style"/>
                <w:color w:val="000000"/>
                <w:sz w:val="22"/>
                <w:szCs w:val="22"/>
              </w:rPr>
              <w:t>352</w:t>
            </w:r>
          </w:p>
        </w:tc>
      </w:tr>
      <w:tr w:rsidR="007214D8" w:rsidRPr="00A10908" w14:paraId="7AFF4DE6" w14:textId="77777777" w:rsidTr="00AD47C2">
        <w:trPr>
          <w:trHeight w:val="271"/>
          <w:jc w:val="center"/>
        </w:trPr>
        <w:tc>
          <w:tcPr>
            <w:tcW w:w="2596" w:type="pct"/>
            <w:shd w:val="clear" w:color="auto" w:fill="auto"/>
            <w:hideMark/>
          </w:tcPr>
          <w:p w14:paraId="3E880D6B" w14:textId="77777777" w:rsidR="007214D8" w:rsidRPr="000B4904" w:rsidRDefault="007214D8" w:rsidP="007214D8">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14:paraId="04779798"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r w:rsidR="007214D8" w:rsidRPr="00A10908" w14:paraId="5AD822BB" w14:textId="77777777" w:rsidTr="00AD47C2">
        <w:trPr>
          <w:trHeight w:val="271"/>
          <w:jc w:val="center"/>
        </w:trPr>
        <w:tc>
          <w:tcPr>
            <w:tcW w:w="2596" w:type="pct"/>
            <w:shd w:val="clear" w:color="auto" w:fill="auto"/>
            <w:hideMark/>
          </w:tcPr>
          <w:p w14:paraId="2F5C6CCA"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F4156DB" wp14:editId="58ADBD30">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07C63B28"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bl>
    <w:p w14:paraId="30B9386D" w14:textId="77777777" w:rsidR="00A92969" w:rsidRDefault="00A92969" w:rsidP="00A92969">
      <w:pPr>
        <w:widowControl w:val="0"/>
        <w:adjustRightInd w:val="0"/>
        <w:spacing w:after="240"/>
        <w:ind w:left="0" w:right="23"/>
        <w:jc w:val="center"/>
        <w:rPr>
          <w:rFonts w:ascii="Bookman Old Style" w:hAnsi="Bookman Old Style" w:cs="Arial"/>
          <w:sz w:val="16"/>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14:paraId="4CB674EE" w14:textId="77777777" w:rsidR="005E5989" w:rsidRPr="002442D8" w:rsidRDefault="005E5989" w:rsidP="00A92969">
      <w:pPr>
        <w:widowControl w:val="0"/>
        <w:adjustRightInd w:val="0"/>
        <w:spacing w:after="240"/>
        <w:ind w:left="0" w:right="23"/>
        <w:jc w:val="center"/>
        <w:rPr>
          <w:rFonts w:ascii="Bookman Old Style" w:hAnsi="Bookman Old Style" w:cs="Arial"/>
          <w:sz w:val="18"/>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29C268D2" w14:textId="77777777" w:rsidTr="00B860E3">
        <w:trPr>
          <w:trHeight w:val="536"/>
          <w:jc w:val="center"/>
        </w:trPr>
        <w:tc>
          <w:tcPr>
            <w:tcW w:w="5000" w:type="pct"/>
            <w:gridSpan w:val="2"/>
            <w:shd w:val="clear" w:color="auto" w:fill="D9D9D9" w:themeFill="background1" w:themeFillShade="D9"/>
            <w:vAlign w:val="center"/>
            <w:hideMark/>
          </w:tcPr>
          <w:p w14:paraId="0EB0A54E"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lastRenderedPageBreak/>
              <w:t>Usuarios Diferentes a los de Uso Residencial</w:t>
            </w:r>
          </w:p>
        </w:tc>
      </w:tr>
      <w:tr w:rsidR="00A92969" w:rsidRPr="00A10908" w14:paraId="114309CE" w14:textId="77777777" w:rsidTr="00B860E3">
        <w:trPr>
          <w:trHeight w:val="313"/>
          <w:jc w:val="center"/>
        </w:trPr>
        <w:tc>
          <w:tcPr>
            <w:tcW w:w="2596" w:type="pct"/>
            <w:shd w:val="clear" w:color="auto" w:fill="D9D9D9" w:themeFill="background1" w:themeFillShade="D9"/>
            <w:vAlign w:val="center"/>
            <w:hideMark/>
          </w:tcPr>
          <w:p w14:paraId="223BFEB5"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2A724FE"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7214D8" w:rsidRPr="00A10908" w14:paraId="41B123B0" w14:textId="77777777" w:rsidTr="00B860E3">
        <w:trPr>
          <w:trHeight w:val="271"/>
          <w:jc w:val="center"/>
        </w:trPr>
        <w:tc>
          <w:tcPr>
            <w:tcW w:w="2596" w:type="pct"/>
            <w:shd w:val="clear" w:color="auto" w:fill="auto"/>
            <w:vAlign w:val="center"/>
            <w:hideMark/>
          </w:tcPr>
          <w:p w14:paraId="53DBDC1B"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C3FCC08" wp14:editId="56831078">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14:paraId="3497E175"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204</w:t>
            </w:r>
            <w:r>
              <w:rPr>
                <w:rFonts w:ascii="Bookman Old Style" w:hAnsi="Bookman Old Style"/>
                <w:color w:val="000000"/>
                <w:sz w:val="22"/>
                <w:szCs w:val="22"/>
              </w:rPr>
              <w:t>.</w:t>
            </w:r>
            <w:r w:rsidRPr="007214D8">
              <w:rPr>
                <w:rFonts w:ascii="Bookman Old Style" w:hAnsi="Bookman Old Style"/>
                <w:color w:val="000000"/>
                <w:sz w:val="22"/>
                <w:szCs w:val="22"/>
              </w:rPr>
              <w:t>350</w:t>
            </w:r>
            <w:r>
              <w:rPr>
                <w:rFonts w:ascii="Bookman Old Style" w:hAnsi="Bookman Old Style"/>
                <w:color w:val="000000"/>
                <w:sz w:val="22"/>
                <w:szCs w:val="22"/>
              </w:rPr>
              <w:t>.</w:t>
            </w:r>
            <w:r w:rsidRPr="007214D8">
              <w:rPr>
                <w:rFonts w:ascii="Bookman Old Style" w:hAnsi="Bookman Old Style"/>
                <w:color w:val="000000"/>
                <w:sz w:val="22"/>
                <w:szCs w:val="22"/>
              </w:rPr>
              <w:t>834</w:t>
            </w:r>
          </w:p>
        </w:tc>
      </w:tr>
      <w:tr w:rsidR="007214D8" w:rsidRPr="00A10908" w14:paraId="33F1C415" w14:textId="77777777" w:rsidTr="00B860E3">
        <w:trPr>
          <w:trHeight w:val="271"/>
          <w:jc w:val="center"/>
        </w:trPr>
        <w:tc>
          <w:tcPr>
            <w:tcW w:w="2596" w:type="pct"/>
            <w:shd w:val="clear" w:color="auto" w:fill="auto"/>
            <w:vAlign w:val="center"/>
            <w:hideMark/>
          </w:tcPr>
          <w:p w14:paraId="43B2FD24"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D1BA2F5" wp14:editId="28478944">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14:paraId="44A61EA0"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0</w:t>
            </w:r>
          </w:p>
        </w:tc>
      </w:tr>
      <w:tr w:rsidR="007214D8" w:rsidRPr="00A10908" w14:paraId="4B0220CC" w14:textId="77777777" w:rsidTr="00B860E3">
        <w:trPr>
          <w:trHeight w:val="271"/>
          <w:jc w:val="center"/>
        </w:trPr>
        <w:tc>
          <w:tcPr>
            <w:tcW w:w="2596" w:type="pct"/>
            <w:shd w:val="clear" w:color="auto" w:fill="auto"/>
            <w:vAlign w:val="center"/>
            <w:hideMark/>
          </w:tcPr>
          <w:p w14:paraId="5CFC18F1"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B69BDB5" wp14:editId="029FB7F4">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4E55C20C"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r w:rsidR="007214D8" w:rsidRPr="00A10908" w14:paraId="7ECB3637" w14:textId="77777777" w:rsidTr="00B860E3">
        <w:trPr>
          <w:trHeight w:val="118"/>
          <w:jc w:val="center"/>
        </w:trPr>
        <w:tc>
          <w:tcPr>
            <w:tcW w:w="2596" w:type="pct"/>
            <w:shd w:val="clear" w:color="auto" w:fill="auto"/>
            <w:vAlign w:val="center"/>
            <w:hideMark/>
          </w:tcPr>
          <w:p w14:paraId="2BB1152B"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460AE08" wp14:editId="4C01510F">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4385CB0B" w14:textId="77777777" w:rsidR="007214D8" w:rsidRPr="007214D8" w:rsidRDefault="007214D8" w:rsidP="007214D8">
            <w:pPr>
              <w:ind w:left="0"/>
              <w:jc w:val="center"/>
              <w:rPr>
                <w:rFonts w:ascii="Bookman Old Style" w:hAnsi="Bookman Old Style"/>
                <w:color w:val="000000"/>
                <w:sz w:val="22"/>
                <w:szCs w:val="22"/>
              </w:rPr>
            </w:pPr>
            <w:r w:rsidRPr="007214D8">
              <w:rPr>
                <w:rFonts w:ascii="Bookman Old Style" w:hAnsi="Bookman Old Style"/>
                <w:color w:val="000000"/>
                <w:sz w:val="22"/>
                <w:szCs w:val="22"/>
              </w:rPr>
              <w:t>898</w:t>
            </w:r>
            <w:r>
              <w:rPr>
                <w:rFonts w:ascii="Bookman Old Style" w:hAnsi="Bookman Old Style"/>
                <w:color w:val="000000"/>
                <w:sz w:val="22"/>
                <w:szCs w:val="22"/>
              </w:rPr>
              <w:t>.</w:t>
            </w:r>
            <w:r w:rsidRPr="007214D8">
              <w:rPr>
                <w:rFonts w:ascii="Bookman Old Style" w:hAnsi="Bookman Old Style"/>
                <w:color w:val="000000"/>
                <w:sz w:val="22"/>
                <w:szCs w:val="22"/>
              </w:rPr>
              <w:t>917</w:t>
            </w:r>
          </w:p>
        </w:tc>
      </w:tr>
    </w:tbl>
    <w:p w14:paraId="54EBD849"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14:paraId="76D54F8B" w14:textId="158E69C6" w:rsidR="00CE2259" w:rsidRDefault="00CE2259"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FB305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14:paraId="34506004" w14:textId="77777777" w:rsidTr="00B860E3">
        <w:trPr>
          <w:trHeight w:val="551"/>
        </w:trPr>
        <w:tc>
          <w:tcPr>
            <w:tcW w:w="8906" w:type="dxa"/>
            <w:gridSpan w:val="3"/>
            <w:shd w:val="clear" w:color="auto" w:fill="D9D9D9" w:themeFill="background1" w:themeFillShade="D9"/>
            <w:vAlign w:val="center"/>
          </w:tcPr>
          <w:p w14:paraId="70597E54" w14:textId="77777777"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14:paraId="052F5D6F" w14:textId="77777777" w:rsidTr="00B860E3">
        <w:trPr>
          <w:trHeight w:val="406"/>
        </w:trPr>
        <w:tc>
          <w:tcPr>
            <w:tcW w:w="5812" w:type="dxa"/>
            <w:shd w:val="clear" w:color="auto" w:fill="D9D9D9" w:themeFill="background1" w:themeFillShade="D9"/>
            <w:vAlign w:val="center"/>
          </w:tcPr>
          <w:p w14:paraId="0A804AE7"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6C64466" w14:textId="77777777"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2F3AFE02" w14:textId="77777777" w:rsidR="00A92969" w:rsidRPr="00202111" w:rsidRDefault="00FB305B"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14:paraId="2870578B" w14:textId="77777777" w:rsidTr="00202111">
        <w:trPr>
          <w:trHeight w:val="516"/>
        </w:trPr>
        <w:tc>
          <w:tcPr>
            <w:tcW w:w="5812" w:type="dxa"/>
            <w:shd w:val="clear" w:color="auto" w:fill="auto"/>
            <w:vAlign w:val="center"/>
          </w:tcPr>
          <w:p w14:paraId="0520227A" w14:textId="77777777"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3CD749CF"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2A37597A" w14:textId="77777777" w:rsidR="00A92969" w:rsidRPr="007214D8" w:rsidRDefault="007214D8" w:rsidP="00202111">
            <w:pPr>
              <w:widowControl w:val="0"/>
              <w:adjustRightInd w:val="0"/>
              <w:ind w:left="0" w:right="20"/>
              <w:jc w:val="center"/>
              <w:rPr>
                <w:rFonts w:ascii="Bookman Old Style" w:hAnsi="Bookman Old Style" w:cs="Arial"/>
                <w:b/>
                <w:sz w:val="22"/>
                <w:szCs w:val="22"/>
              </w:rPr>
            </w:pPr>
            <w:r w:rsidRPr="007214D8">
              <w:rPr>
                <w:rFonts w:ascii="Bookman Old Style" w:hAnsi="Bookman Old Style" w:cs="Arial"/>
                <w:b/>
                <w:sz w:val="22"/>
                <w:szCs w:val="22"/>
              </w:rPr>
              <w:t>2.781,05</w:t>
            </w:r>
          </w:p>
        </w:tc>
      </w:tr>
      <w:tr w:rsidR="00A92969" w:rsidRPr="00202111" w14:paraId="4896F053" w14:textId="77777777" w:rsidTr="00202111">
        <w:trPr>
          <w:trHeight w:val="516"/>
        </w:trPr>
        <w:tc>
          <w:tcPr>
            <w:tcW w:w="5812" w:type="dxa"/>
            <w:shd w:val="clear" w:color="auto" w:fill="auto"/>
            <w:vAlign w:val="center"/>
          </w:tcPr>
          <w:p w14:paraId="78DB2824" w14:textId="77777777" w:rsidR="00A92969" w:rsidRPr="00202111" w:rsidRDefault="00A92969" w:rsidP="004C50F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4C50F1">
              <w:rPr>
                <w:rFonts w:ascii="Bookman Old Style" w:hAnsi="Bookman Old Style"/>
                <w:color w:val="000000"/>
                <w:sz w:val="22"/>
                <w:szCs w:val="22"/>
                <w:lang w:val="es-CO" w:eastAsia="es-CO"/>
              </w:rPr>
              <w:t>JADAPE</w:t>
            </w:r>
            <w:r w:rsidRPr="00202111">
              <w:rPr>
                <w:rFonts w:ascii="Bookman Old Style" w:hAnsi="Bookman Old Style"/>
                <w:color w:val="000000"/>
                <w:sz w:val="22"/>
                <w:szCs w:val="22"/>
                <w:lang w:val="es-CO" w:eastAsia="es-CO"/>
              </w:rPr>
              <w:t xml:space="preserve"> S.A.</w:t>
            </w:r>
            <w:r w:rsidR="004C50F1">
              <w:rPr>
                <w:rFonts w:ascii="Bookman Old Style" w:hAnsi="Bookman Old Style"/>
                <w:color w:val="000000"/>
                <w:sz w:val="22"/>
                <w:szCs w:val="22"/>
                <w:lang w:val="es-CO" w:eastAsia="es-CO"/>
              </w:rPr>
              <w:t>S.</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14:paraId="0A9FD335"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307661E9" w14:textId="77777777" w:rsidR="00A92969" w:rsidRPr="00202111" w:rsidRDefault="007214D8"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1.974,06</w:t>
            </w:r>
          </w:p>
        </w:tc>
      </w:tr>
      <w:tr w:rsidR="00A92969" w:rsidRPr="00202111" w14:paraId="44D4C16F" w14:textId="77777777" w:rsidTr="00202111">
        <w:trPr>
          <w:trHeight w:val="517"/>
        </w:trPr>
        <w:tc>
          <w:tcPr>
            <w:tcW w:w="5812" w:type="dxa"/>
            <w:shd w:val="clear" w:color="auto" w:fill="auto"/>
            <w:vAlign w:val="center"/>
          </w:tcPr>
          <w:p w14:paraId="618E8155" w14:textId="77777777"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3048A46"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50396496" w14:textId="77777777" w:rsidR="00A92969" w:rsidRPr="00202111" w:rsidRDefault="007214D8"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806,99</w:t>
            </w:r>
          </w:p>
        </w:tc>
      </w:tr>
    </w:tbl>
    <w:p w14:paraId="310D8B3A" w14:textId="77777777" w:rsidR="00A92969" w:rsidRDefault="006B3F46" w:rsidP="00B860E3">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14:paraId="6FA309FB" w14:textId="137C7F8A" w:rsidR="001D0C22" w:rsidRPr="001954E9" w:rsidRDefault="001D0C22" w:rsidP="00A74199">
      <w:pPr>
        <w:spacing w:before="240" w:after="240"/>
        <w:ind w:left="0"/>
        <w:jc w:val="both"/>
        <w:rPr>
          <w:rFonts w:ascii="Bookman Old Style" w:hAnsi="Bookman Old Style" w:cs="Arial"/>
        </w:rPr>
      </w:pPr>
      <w:r w:rsidRPr="001954E9">
        <w:rPr>
          <w:rFonts w:ascii="Bookman Old Style" w:hAnsi="Bookman Old Style" w:cs="Arial"/>
          <w:b/>
          <w:bCs/>
        </w:rPr>
        <w:t>Parágrafo</w:t>
      </w:r>
      <w:r w:rsidR="00A74199">
        <w:rPr>
          <w:rFonts w:ascii="Bookman Old Style" w:hAnsi="Bookman Old Style" w:cs="Arial"/>
          <w:b/>
          <w:bCs/>
        </w:rPr>
        <w:t xml:space="preserve">. </w:t>
      </w:r>
      <w:r w:rsidRPr="001954E9">
        <w:rPr>
          <w:rFonts w:ascii="Bookman Old Style" w:hAnsi="Bookman Old Style" w:cs="Arial"/>
        </w:rPr>
        <w:t xml:space="preserve">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o sustituyan</w:t>
      </w:r>
      <w:r>
        <w:rPr>
          <w:rFonts w:ascii="Bookman Old Style" w:hAnsi="Bookman Old Style" w:cs="Arial"/>
        </w:rPr>
        <w:t>.</w:t>
      </w:r>
    </w:p>
    <w:p w14:paraId="5CC2E130" w14:textId="77777777" w:rsidR="00CE2259" w:rsidRDefault="00CE2259" w:rsidP="00B860E3">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14:paraId="7E74A539" w14:textId="77777777" w:rsidTr="00B860E3">
        <w:trPr>
          <w:trHeight w:val="551"/>
        </w:trPr>
        <w:tc>
          <w:tcPr>
            <w:tcW w:w="8906" w:type="dxa"/>
            <w:gridSpan w:val="3"/>
            <w:shd w:val="clear" w:color="auto" w:fill="D9D9D9" w:themeFill="background1" w:themeFillShade="D9"/>
            <w:vAlign w:val="center"/>
          </w:tcPr>
          <w:p w14:paraId="3B45C3C8"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14:paraId="199B3E3E" w14:textId="77777777" w:rsidTr="00B860E3">
        <w:trPr>
          <w:trHeight w:val="406"/>
        </w:trPr>
        <w:tc>
          <w:tcPr>
            <w:tcW w:w="5812" w:type="dxa"/>
            <w:shd w:val="clear" w:color="auto" w:fill="D9D9D9" w:themeFill="background1" w:themeFillShade="D9"/>
            <w:vAlign w:val="center"/>
          </w:tcPr>
          <w:p w14:paraId="5BF3662E"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3A3D0E6" w14:textId="77777777"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5E91C764" w14:textId="77777777" w:rsidR="002047B5" w:rsidRPr="00202111" w:rsidRDefault="00FB305B"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7214D8" w:rsidRPr="00202111" w14:paraId="40FBFAD8" w14:textId="77777777" w:rsidTr="00202111">
        <w:trPr>
          <w:trHeight w:val="516"/>
        </w:trPr>
        <w:tc>
          <w:tcPr>
            <w:tcW w:w="5812" w:type="dxa"/>
            <w:shd w:val="clear" w:color="auto" w:fill="auto"/>
            <w:vAlign w:val="center"/>
          </w:tcPr>
          <w:p w14:paraId="73AF8E1D" w14:textId="77777777" w:rsidR="007214D8" w:rsidRPr="00202111" w:rsidRDefault="007214D8" w:rsidP="007214D8">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30EBD437" w14:textId="77777777" w:rsidR="007214D8" w:rsidRPr="00202111" w:rsidRDefault="007214D8" w:rsidP="007214D8">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62390830" w14:textId="77777777" w:rsidR="007214D8" w:rsidRPr="007214D8" w:rsidRDefault="007214D8" w:rsidP="007214D8">
            <w:pPr>
              <w:widowControl w:val="0"/>
              <w:adjustRightInd w:val="0"/>
              <w:ind w:left="0" w:right="20"/>
              <w:jc w:val="center"/>
              <w:rPr>
                <w:rFonts w:ascii="Bookman Old Style" w:hAnsi="Bookman Old Style" w:cs="Arial"/>
                <w:b/>
                <w:sz w:val="22"/>
                <w:szCs w:val="22"/>
              </w:rPr>
            </w:pPr>
            <w:r w:rsidRPr="007214D8">
              <w:rPr>
                <w:rFonts w:ascii="Bookman Old Style" w:hAnsi="Bookman Old Style" w:cs="Arial"/>
                <w:b/>
                <w:sz w:val="22"/>
                <w:szCs w:val="22"/>
              </w:rPr>
              <w:t>2.781,05</w:t>
            </w:r>
          </w:p>
        </w:tc>
      </w:tr>
      <w:tr w:rsidR="007214D8" w:rsidRPr="00202111" w14:paraId="5EBC74EE" w14:textId="77777777" w:rsidTr="00202111">
        <w:trPr>
          <w:trHeight w:val="516"/>
        </w:trPr>
        <w:tc>
          <w:tcPr>
            <w:tcW w:w="5812" w:type="dxa"/>
            <w:shd w:val="clear" w:color="auto" w:fill="auto"/>
            <w:vAlign w:val="center"/>
          </w:tcPr>
          <w:p w14:paraId="1DD30F68" w14:textId="77777777" w:rsidR="007214D8" w:rsidRPr="00202111" w:rsidRDefault="007214D8" w:rsidP="007214D8">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JADAPE</w:t>
            </w:r>
            <w:r w:rsidRPr="00202111">
              <w:rPr>
                <w:rFonts w:ascii="Bookman Old Style" w:hAnsi="Bookman Old Style"/>
                <w:color w:val="000000"/>
                <w:sz w:val="22"/>
                <w:szCs w:val="22"/>
                <w:lang w:val="es-CO" w:eastAsia="es-CO"/>
              </w:rPr>
              <w:t xml:space="preserve"> S.A.</w:t>
            </w:r>
            <w:r>
              <w:rPr>
                <w:rFonts w:ascii="Bookman Old Style" w:hAnsi="Bookman Old Style"/>
                <w:color w:val="000000"/>
                <w:sz w:val="22"/>
                <w:szCs w:val="22"/>
                <w:lang w:val="es-CO" w:eastAsia="es-CO"/>
              </w:rPr>
              <w:t>S.</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14:paraId="4502C194" w14:textId="77777777" w:rsidR="007214D8" w:rsidRPr="00202111" w:rsidRDefault="007214D8" w:rsidP="007214D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5C91878" w14:textId="77777777" w:rsidR="007214D8" w:rsidRPr="00202111" w:rsidRDefault="007214D8" w:rsidP="007214D8">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1.974,06</w:t>
            </w:r>
          </w:p>
        </w:tc>
      </w:tr>
      <w:tr w:rsidR="007214D8" w:rsidRPr="00202111" w14:paraId="2B1E1566" w14:textId="77777777" w:rsidTr="00202111">
        <w:trPr>
          <w:trHeight w:val="517"/>
        </w:trPr>
        <w:tc>
          <w:tcPr>
            <w:tcW w:w="5812" w:type="dxa"/>
            <w:shd w:val="clear" w:color="auto" w:fill="auto"/>
            <w:vAlign w:val="center"/>
          </w:tcPr>
          <w:p w14:paraId="7EDEB748" w14:textId="77777777" w:rsidR="007214D8" w:rsidRPr="00202111" w:rsidRDefault="007214D8" w:rsidP="007214D8">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12A49C8" w14:textId="77777777" w:rsidR="007214D8" w:rsidRPr="00202111" w:rsidRDefault="007214D8" w:rsidP="007214D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0E5D449E" w14:textId="77777777" w:rsidR="007214D8" w:rsidRPr="00202111" w:rsidRDefault="007214D8" w:rsidP="007214D8">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806,99</w:t>
            </w:r>
          </w:p>
        </w:tc>
      </w:tr>
    </w:tbl>
    <w:p w14:paraId="3C27C624" w14:textId="77777777"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14:paraId="5CE935FB" w14:textId="2A3583DC" w:rsidR="00BF359F" w:rsidRDefault="00BF359F" w:rsidP="00A74199">
      <w:pPr>
        <w:spacing w:before="240" w:after="240"/>
        <w:ind w:left="0"/>
        <w:jc w:val="both"/>
        <w:rPr>
          <w:rFonts w:ascii="Bookman Old Style" w:hAnsi="Bookman Old Style" w:cs="Arial"/>
        </w:rPr>
      </w:pPr>
      <w:r w:rsidRPr="001954E9">
        <w:rPr>
          <w:rFonts w:ascii="Bookman Old Style" w:hAnsi="Bookman Old Style" w:cs="Arial"/>
          <w:b/>
          <w:bCs/>
        </w:rPr>
        <w:lastRenderedPageBreak/>
        <w:t>Parágrafo.</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 sustituyan</w:t>
      </w:r>
      <w:r>
        <w:rPr>
          <w:rFonts w:ascii="Bookman Old Style" w:hAnsi="Bookman Old Style" w:cs="Arial"/>
        </w:rPr>
        <w:t>.</w:t>
      </w:r>
    </w:p>
    <w:p w14:paraId="79C8D564" w14:textId="77777777" w:rsidR="00682647" w:rsidRDefault="00035D47" w:rsidP="00B860E3">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FB305B">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14:paraId="28AF5D28" w14:textId="746B909E" w:rsidR="00035D47" w:rsidRPr="001954E9" w:rsidRDefault="00035D47" w:rsidP="00B860E3">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FB305B">
        <w:rPr>
          <w:rFonts w:ascii="Bookman Old Style" w:hAnsi="Bookman Old Style" w:cs="Arial"/>
        </w:rPr>
        <w:t>Conforme a</w:t>
      </w:r>
      <w:r w:rsidR="003C3004" w:rsidRPr="001954E9">
        <w:rPr>
          <w:rFonts w:ascii="Bookman Old Style" w:hAnsi="Bookman Old Style" w:cs="Arial"/>
        </w:rPr>
        <w:t xml:space="preserve"> lo dispuesto en el </w:t>
      </w:r>
      <w:r w:rsidR="00FB305B">
        <w:rPr>
          <w:rFonts w:ascii="Bookman Old Style" w:hAnsi="Bookman Old Style" w:cs="Arial"/>
        </w:rPr>
        <w:t>P</w:t>
      </w:r>
      <w:r w:rsidR="00FB305B" w:rsidRPr="001954E9">
        <w:rPr>
          <w:rFonts w:ascii="Bookman Old Style" w:hAnsi="Bookman Old Style" w:cs="Arial"/>
        </w:rPr>
        <w:t xml:space="preserve">arágrafo </w:t>
      </w:r>
      <w:r w:rsidR="003C3004" w:rsidRPr="001954E9">
        <w:rPr>
          <w:rFonts w:ascii="Bookman Old Style" w:hAnsi="Bookman Old Style" w:cs="Arial"/>
        </w:rPr>
        <w:t xml:space="preserve">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o sustituyan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 xml:space="preserve">así como la totalidad delo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14:paraId="6A959CDF" w14:textId="77777777" w:rsidR="00035D47" w:rsidRDefault="00035D47" w:rsidP="00B860E3">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14:paraId="08B012F2" w14:textId="77777777" w:rsidR="00682647" w:rsidRDefault="00682647" w:rsidP="00B860E3">
      <w:pPr>
        <w:spacing w:before="240" w:after="240"/>
        <w:ind w:left="0"/>
        <w:jc w:val="both"/>
        <w:rPr>
          <w:rFonts w:ascii="Bookman Old Style" w:hAnsi="Bookman Old Style"/>
        </w:rPr>
      </w:pPr>
      <w:r>
        <w:rPr>
          <w:rFonts w:ascii="Bookman Old Style" w:hAnsi="Bookman Old Style"/>
        </w:rPr>
        <w:t>Para estos efectos, dentro de los</w:t>
      </w:r>
      <w:r w:rsidR="00FB305B">
        <w:rPr>
          <w:rFonts w:ascii="Bookman Old Style" w:hAnsi="Bookman Old Style"/>
        </w:rPr>
        <w:t xml:space="preserve"> quince</w:t>
      </w:r>
      <w:r>
        <w:rPr>
          <w:rFonts w:ascii="Bookman Old Style" w:hAnsi="Bookman Old Style"/>
        </w:rPr>
        <w:t xml:space="preserve"> </w:t>
      </w:r>
      <w:r w:rsidR="00FB305B">
        <w:rPr>
          <w:rFonts w:ascii="Bookman Old Style" w:hAnsi="Bookman Old Style"/>
        </w:rPr>
        <w:t>(</w:t>
      </w:r>
      <w:r>
        <w:rPr>
          <w:rFonts w:ascii="Bookman Old Style" w:hAnsi="Bookman Old Style"/>
        </w:rPr>
        <w:t>15</w:t>
      </w:r>
      <w:r w:rsidR="00FB305B">
        <w:rPr>
          <w:rFonts w:ascii="Bookman Old Style" w:hAnsi="Bookman Old Style"/>
        </w:rPr>
        <w:t>)</w:t>
      </w:r>
      <w:r>
        <w:rPr>
          <w:rFonts w:ascii="Bookman Old Style" w:hAnsi="Bookman Old Style"/>
        </w:rPr>
        <w:t xml:space="preserve">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14:paraId="65D39206" w14:textId="77777777" w:rsidR="00682647" w:rsidRDefault="00682647" w:rsidP="00B923E3">
      <w:pPr>
        <w:spacing w:before="240"/>
        <w:ind w:left="0"/>
        <w:jc w:val="both"/>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14:paraId="0095CE4B" w14:textId="77777777" w:rsidR="00035D47" w:rsidRPr="001954E9" w:rsidRDefault="00035D47" w:rsidP="00B860E3">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0E17CC1F" w14:textId="77777777" w:rsidR="00327FC7" w:rsidRPr="001954E9" w:rsidRDefault="00327FC7" w:rsidP="00B860E3">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41FE6F92" w14:textId="2D0B19CF" w:rsidR="00273C2C" w:rsidRPr="001954E9" w:rsidRDefault="00273C2C"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FB305B">
        <w:rPr>
          <w:rFonts w:ascii="Bookman Old Style" w:hAnsi="Bookman Old Style" w:cs="Arial"/>
        </w:rPr>
        <w:t>A</w:t>
      </w:r>
      <w:r w:rsidR="00FB305B" w:rsidRPr="001954E9">
        <w:rPr>
          <w:rFonts w:ascii="Bookman Old Style" w:hAnsi="Bookman Old Style" w:cs="Arial"/>
        </w:rPr>
        <w:t xml:space="preserve">rtículo </w:t>
      </w:r>
      <w:r w:rsidRPr="001954E9">
        <w:rPr>
          <w:rFonts w:ascii="Bookman Old Style" w:hAnsi="Bookman Old Style" w:cs="Arial"/>
        </w:rPr>
        <w:t>1 de la presente Resolución corresponderá a la establecida en el</w:t>
      </w:r>
      <w:r w:rsidR="00956A84" w:rsidRPr="001954E9">
        <w:rPr>
          <w:rFonts w:ascii="Bookman Old Style" w:hAnsi="Bookman Old Style" w:cs="Arial"/>
        </w:rPr>
        <w:t xml:space="preserve"> </w:t>
      </w:r>
      <w:r w:rsidR="00FB305B">
        <w:rPr>
          <w:rFonts w:ascii="Bookman Old Style" w:hAnsi="Bookman Old Style" w:cs="Arial"/>
        </w:rPr>
        <w:t>A</w:t>
      </w:r>
      <w:r w:rsidR="00FB305B" w:rsidRPr="001954E9">
        <w:rPr>
          <w:rFonts w:ascii="Bookman Old Style" w:hAnsi="Bookman Old Style" w:cs="Arial"/>
        </w:rPr>
        <w:t xml:space="preserve">rtículo </w:t>
      </w:r>
      <w:r w:rsidR="00956A84" w:rsidRPr="001954E9">
        <w:rPr>
          <w:rFonts w:ascii="Bookman Old Style" w:hAnsi="Bookman Old Style" w:cs="Arial"/>
        </w:rPr>
        <w:t xml:space="preserve">4 </w:t>
      </w:r>
      <w:r w:rsidRPr="001954E9">
        <w:rPr>
          <w:rFonts w:ascii="Bookman Old Style" w:hAnsi="Bookman Old Style" w:cs="Arial"/>
        </w:rPr>
        <w:t>de la Resolución CREG 137 de 2013</w:t>
      </w:r>
      <w:r w:rsidR="00EA75A2">
        <w:rPr>
          <w:rFonts w:ascii="Bookman Old Style" w:hAnsi="Bookman Old Style" w:cs="Arial"/>
        </w:rPr>
        <w:t xml:space="preserve"> y aquellas que </w:t>
      </w:r>
      <w:r w:rsidR="00EA75A2">
        <w:rPr>
          <w:rFonts w:ascii="Bookman Old Style" w:hAnsi="Bookman Old Style" w:cs="Arial"/>
        </w:rPr>
        <w:lastRenderedPageBreak/>
        <w:t>la modifiquen, adicionen o sustituyan</w:t>
      </w:r>
      <w:r w:rsidRPr="001954E9">
        <w:rPr>
          <w:rFonts w:ascii="Bookman Old Style" w:hAnsi="Bookman Old Style" w:cs="Arial"/>
        </w:rPr>
        <w:t>.</w:t>
      </w:r>
    </w:p>
    <w:p w14:paraId="590AFCC1" w14:textId="77777777" w:rsidR="00327FC7" w:rsidRPr="001954E9" w:rsidRDefault="00327FC7"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w:t>
      </w:r>
      <w:r w:rsidR="00EA75A2">
        <w:rPr>
          <w:rFonts w:ascii="Bookman Old Style" w:hAnsi="Bookman Old Style" w:cs="Arial"/>
        </w:rPr>
        <w:t xml:space="preserve"> y aquellas que la modifiquen, adicionen o sustituyan</w:t>
      </w:r>
      <w:r w:rsidRPr="001954E9">
        <w:rPr>
          <w:rFonts w:ascii="Bookman Old Style" w:hAnsi="Bookman Old Style" w:cs="Arial"/>
        </w:rPr>
        <w:t>.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EA75A2">
        <w:rPr>
          <w:rFonts w:ascii="Bookman Old Style" w:hAnsi="Bookman Old Style" w:cs="Arial"/>
        </w:rPr>
        <w:t xml:space="preserve"> y aquellas que la modifiquen, adicionen o sustituyan</w:t>
      </w:r>
      <w:r w:rsidRPr="001954E9">
        <w:rPr>
          <w:rFonts w:ascii="Bookman Old Style" w:hAnsi="Bookman Old Style" w:cs="Arial"/>
        </w:rPr>
        <w:t>.</w:t>
      </w:r>
    </w:p>
    <w:p w14:paraId="158F7000" w14:textId="77777777" w:rsidR="00327FC7" w:rsidRPr="001954E9" w:rsidRDefault="00327FC7" w:rsidP="00B860E3">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3AC87B74" w14:textId="77777777" w:rsidR="00327FC7" w:rsidRPr="001954E9" w:rsidRDefault="00327FC7" w:rsidP="00B860E3">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3834E79C" w14:textId="77777777"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La presente Resolución deberá notificarse al representante legal de la</w:t>
      </w:r>
      <w:r w:rsidR="00A74199">
        <w:rPr>
          <w:rFonts w:ascii="Bookman Old Style" w:hAnsi="Bookman Old Style" w:cs="Arial"/>
          <w:spacing w:val="-4"/>
        </w:rPr>
        <w:t>s</w:t>
      </w:r>
      <w:r w:rsidR="00316D76" w:rsidRPr="00341E8F">
        <w:rPr>
          <w:rFonts w:ascii="Bookman Old Style" w:hAnsi="Bookman Old Style" w:cs="Arial"/>
          <w:spacing w:val="-4"/>
        </w:rPr>
        <w:t xml:space="preserve"> empresa</w:t>
      </w:r>
      <w:r w:rsidR="00A74199">
        <w:rPr>
          <w:rFonts w:ascii="Bookman Old Style" w:hAnsi="Bookman Old Style" w:cs="Arial"/>
          <w:spacing w:val="-4"/>
        </w:rPr>
        <w:t>s</w:t>
      </w:r>
      <w:r w:rsidR="00316D76" w:rsidRPr="00341E8F">
        <w:rPr>
          <w:rFonts w:ascii="Bookman Old Style" w:hAnsi="Bookman Old Style" w:cs="Arial"/>
          <w:spacing w:val="-4"/>
        </w:rPr>
        <w:t xml:space="preserve"> </w:t>
      </w:r>
      <w:r w:rsidR="00DB7F8C">
        <w:rPr>
          <w:rFonts w:ascii="Bookman Old Style" w:hAnsi="Bookman Old Style" w:cs="Arial"/>
          <w:lang w:val="es-ES_tradnl"/>
        </w:rPr>
        <w:t>JADAPE</w:t>
      </w:r>
      <w:r w:rsidR="00EC61A5">
        <w:rPr>
          <w:rFonts w:ascii="Bookman Old Style" w:hAnsi="Bookman Old Style" w:cs="Arial"/>
          <w:lang w:val="es-ES_tradnl"/>
        </w:rPr>
        <w:t xml:space="preserve"> S.A.</w:t>
      </w:r>
      <w:r w:rsidR="00DB7F8C">
        <w:rPr>
          <w:rFonts w:ascii="Bookman Old Style" w:hAnsi="Bookman Old Style" w:cs="Arial"/>
          <w:lang w:val="es-ES_tradnl"/>
        </w:rPr>
        <w:t>S.</w:t>
      </w:r>
      <w:r w:rsidR="00BF359F">
        <w:rPr>
          <w:rFonts w:ascii="Bookman Old Style" w:hAnsi="Bookman Old Style" w:cs="Arial"/>
          <w:lang w:val="es-ES_tradnl"/>
        </w:rPr>
        <w:t xml:space="preserve"> E.S.P.</w:t>
      </w:r>
      <w:r w:rsidR="00A74199">
        <w:rPr>
          <w:rFonts w:ascii="Bookman Old Style" w:hAnsi="Bookman Old Style" w:cs="Arial"/>
          <w:lang w:val="es-ES_tradnl"/>
        </w:rPr>
        <w:t xml:space="preserve"> y </w:t>
      </w:r>
      <w:r w:rsidR="007435EE">
        <w:rPr>
          <w:rFonts w:ascii="Bookman Old Style" w:hAnsi="Bookman Old Style" w:cs="Arial"/>
          <w:lang w:val="es-ES_tradnl"/>
        </w:rPr>
        <w:t>SURTIGAS S.A.</w:t>
      </w:r>
      <w:r w:rsidR="00A74199">
        <w:rPr>
          <w:rFonts w:ascii="Bookman Old Style" w:hAnsi="Bookman Old Style" w:cs="Arial"/>
          <w:lang w:val="es-ES_tradnl"/>
        </w:rPr>
        <w:t xml:space="preserve"> E.S.P.</w:t>
      </w:r>
      <w:r w:rsidR="00316D76" w:rsidRPr="00341E8F">
        <w:rPr>
          <w:rFonts w:ascii="Bookman Old Style" w:hAnsi="Bookman Old Style" w:cs="Arial"/>
          <w:spacing w:val="-4"/>
        </w:rPr>
        <w:t xml:space="preserve"> 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00DB7F8C">
        <w:rPr>
          <w:rFonts w:ascii="Bookman Old Style" w:hAnsi="Bookman Old Style" w:cs="Arial"/>
          <w:spacing w:val="-4"/>
        </w:rPr>
        <w:t>.</w:t>
      </w:r>
      <w:r w:rsidRPr="001954E9">
        <w:rPr>
          <w:rFonts w:ascii="Bookman Old Style" w:hAnsi="Bookman Old Style" w:cs="Arial"/>
          <w:spacing w:val="-4"/>
        </w:rPr>
        <w:t xml:space="preserve"> </w:t>
      </w:r>
    </w:p>
    <w:p w14:paraId="60A616AC" w14:textId="77777777" w:rsidR="00273C2C" w:rsidRDefault="00273C2C" w:rsidP="00341E8F">
      <w:pPr>
        <w:widowControl w:val="0"/>
        <w:adjustRightInd w:val="0"/>
        <w:ind w:left="0" w:right="20"/>
        <w:jc w:val="center"/>
        <w:rPr>
          <w:rFonts w:ascii="Bookman Old Style" w:hAnsi="Bookman Old Style" w:cs="Arial"/>
          <w:b/>
        </w:rPr>
      </w:pPr>
    </w:p>
    <w:p w14:paraId="5EC0BDDE" w14:textId="77777777" w:rsidR="00FD458E" w:rsidRPr="001954E9" w:rsidRDefault="00FD458E" w:rsidP="00341E8F">
      <w:pPr>
        <w:widowControl w:val="0"/>
        <w:adjustRightInd w:val="0"/>
        <w:ind w:left="0" w:right="20"/>
        <w:jc w:val="center"/>
        <w:rPr>
          <w:rFonts w:ascii="Bookman Old Style" w:hAnsi="Bookman Old Style" w:cs="Arial"/>
          <w:b/>
        </w:rPr>
      </w:pPr>
    </w:p>
    <w:p w14:paraId="2340D161"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08AD4704" w14:textId="77777777" w:rsidR="00273C2C" w:rsidRPr="001954E9" w:rsidRDefault="00273C2C" w:rsidP="00341E8F">
      <w:pPr>
        <w:widowControl w:val="0"/>
        <w:adjustRightInd w:val="0"/>
        <w:ind w:left="0" w:right="20"/>
        <w:jc w:val="both"/>
        <w:rPr>
          <w:rFonts w:ascii="Bookman Old Style" w:hAnsi="Bookman Old Style" w:cs="Arial"/>
        </w:rPr>
      </w:pPr>
    </w:p>
    <w:p w14:paraId="7A8A1095" w14:textId="77777777" w:rsidR="00FD458E" w:rsidRDefault="00FD458E" w:rsidP="00341E8F">
      <w:pPr>
        <w:widowControl w:val="0"/>
        <w:adjustRightInd w:val="0"/>
        <w:ind w:left="0" w:right="20"/>
        <w:jc w:val="both"/>
        <w:rPr>
          <w:rFonts w:ascii="Bookman Old Style" w:hAnsi="Bookman Old Style" w:cs="Arial"/>
        </w:rPr>
      </w:pPr>
    </w:p>
    <w:p w14:paraId="1DAB23CF" w14:textId="7777777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14:paraId="49898375"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3B84EF61" w14:textId="77777777"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14:paraId="33654783"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4F752F5A" w14:textId="77777777"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5DA66377"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14:paraId="156EDA1E" w14:textId="77777777" w:rsidTr="00E51288">
        <w:trPr>
          <w:trHeight w:val="887"/>
          <w:jc w:val="center"/>
        </w:trPr>
        <w:tc>
          <w:tcPr>
            <w:tcW w:w="5171" w:type="dxa"/>
          </w:tcPr>
          <w:p w14:paraId="5AEDF5EE" w14:textId="77777777" w:rsidR="002F1B8A" w:rsidRDefault="002F1B8A" w:rsidP="002F1B8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760082AD" w14:textId="77777777" w:rsidR="002F1B8A" w:rsidRDefault="002F1B8A" w:rsidP="002F1B8A">
            <w:pPr>
              <w:suppressAutoHyphens/>
              <w:ind w:left="0"/>
              <w:jc w:val="center"/>
              <w:rPr>
                <w:rFonts w:ascii="Bookman Old Style" w:hAnsi="Bookman Old Style"/>
              </w:rPr>
            </w:pPr>
            <w:r>
              <w:rPr>
                <w:rFonts w:ascii="Bookman Old Style" w:hAnsi="Bookman Old Style"/>
              </w:rPr>
              <w:t>Viceministro de Energía</w:t>
            </w:r>
          </w:p>
          <w:p w14:paraId="0CA2112D" w14:textId="77777777" w:rsidR="002F1B8A" w:rsidRDefault="002F1B8A" w:rsidP="002F1B8A">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09A5F2DB" w14:textId="386EE7C7" w:rsidR="00984132" w:rsidRPr="00BD0865" w:rsidRDefault="002F1B8A" w:rsidP="00987B1B">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3E6271A8" w14:textId="1AAAB734"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340F22">
              <w:rPr>
                <w:rFonts w:ascii="Bookman Old Style" w:hAnsi="Bookman Old Style" w:cs="Arial"/>
                <w:b/>
              </w:rPr>
              <w:t>R</w:t>
            </w:r>
            <w:r>
              <w:rPr>
                <w:rFonts w:ascii="Bookman Old Style" w:hAnsi="Bookman Old Style" w:cs="Arial"/>
                <w:b/>
              </w:rPr>
              <w:t>ERA</w:t>
            </w:r>
          </w:p>
          <w:p w14:paraId="61AF196A"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58B265DF"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4EFB05F6"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14:paraId="0F208211" w14:textId="77777777" w:rsidR="00273C2C" w:rsidRDefault="00273C2C" w:rsidP="00341E8F">
      <w:pPr>
        <w:keepNext/>
        <w:widowControl w:val="0"/>
        <w:adjustRightInd w:val="0"/>
        <w:ind w:left="0"/>
        <w:jc w:val="center"/>
        <w:outlineLvl w:val="0"/>
        <w:rPr>
          <w:rFonts w:ascii="Bookman Old Style" w:hAnsi="Bookman Old Style"/>
          <w:b/>
          <w:bCs/>
        </w:rPr>
      </w:pPr>
    </w:p>
    <w:p w14:paraId="6D2A7587"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10EBB475" w14:textId="77777777" w:rsidR="007D31F1" w:rsidRDefault="007D31F1" w:rsidP="00341E8F">
      <w:pPr>
        <w:widowControl w:val="0"/>
        <w:adjustRightInd w:val="0"/>
        <w:ind w:left="0"/>
        <w:jc w:val="center"/>
        <w:rPr>
          <w:rFonts w:ascii="Bookman Old Style" w:hAnsi="Bookman Old Style" w:cs="Arial"/>
          <w:bCs/>
          <w:sz w:val="14"/>
        </w:rPr>
      </w:pPr>
    </w:p>
    <w:p w14:paraId="3D769C15" w14:textId="77777777" w:rsidR="00BF359F" w:rsidRDefault="00BF359F" w:rsidP="00341E8F">
      <w:pPr>
        <w:widowControl w:val="0"/>
        <w:adjustRightInd w:val="0"/>
        <w:ind w:left="0"/>
        <w:jc w:val="center"/>
        <w:rPr>
          <w:rFonts w:ascii="Bookman Old Style" w:hAnsi="Bookman Old Style" w:cs="Arial"/>
          <w:bCs/>
          <w:sz w:val="14"/>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1342"/>
        <w:gridCol w:w="1067"/>
        <w:gridCol w:w="993"/>
        <w:gridCol w:w="992"/>
        <w:gridCol w:w="850"/>
        <w:gridCol w:w="567"/>
        <w:gridCol w:w="426"/>
        <w:gridCol w:w="425"/>
        <w:gridCol w:w="425"/>
        <w:gridCol w:w="425"/>
        <w:gridCol w:w="921"/>
      </w:tblGrid>
      <w:tr w:rsidR="00DA5F78" w:rsidRPr="005A7E89" w14:paraId="166AF197" w14:textId="77777777" w:rsidTr="00865C0F">
        <w:trPr>
          <w:trHeight w:val="300"/>
          <w:tblHead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4EB895"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Municipio</w:t>
            </w:r>
          </w:p>
        </w:tc>
        <w:tc>
          <w:tcPr>
            <w:tcW w:w="13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0BF5A3"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Unidad Constructiva</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DB28F6" w14:textId="77777777" w:rsidR="005A7E89" w:rsidRPr="005A7E89" w:rsidRDefault="0067262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Código</w:t>
            </w:r>
            <w:r w:rsidR="005A7E89" w:rsidRPr="005A7E89">
              <w:rPr>
                <w:rFonts w:ascii="Bookman Old Style" w:hAnsi="Bookman Old Style"/>
                <w:b/>
                <w:bCs/>
                <w:color w:val="000000"/>
                <w:sz w:val="12"/>
                <w:szCs w:val="12"/>
                <w:lang w:val="es-CO" w:eastAsia="es-CO"/>
              </w:rPr>
              <w:t xml:space="preserve"> UC</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BF286E"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Unitario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7ECD3E"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Tipo de Inversión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948FBA"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Red</w:t>
            </w:r>
          </w:p>
        </w:tc>
        <w:tc>
          <w:tcPr>
            <w:tcW w:w="2268"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715AA1FE"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Cantidad</w:t>
            </w:r>
          </w:p>
        </w:tc>
        <w:tc>
          <w:tcPr>
            <w:tcW w:w="921" w:type="dxa"/>
            <w:tcBorders>
              <w:top w:val="single" w:sz="4" w:space="0" w:color="auto"/>
              <w:left w:val="nil"/>
              <w:bottom w:val="single" w:sz="4" w:space="0" w:color="auto"/>
              <w:right w:val="single" w:sz="4" w:space="0" w:color="auto"/>
            </w:tcBorders>
            <w:shd w:val="clear" w:color="000000" w:fill="D9D9D9"/>
            <w:noWrap/>
            <w:vAlign w:val="bottom"/>
            <w:hideMark/>
          </w:tcPr>
          <w:p w14:paraId="3D057BCB"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 </w:t>
            </w:r>
          </w:p>
        </w:tc>
      </w:tr>
      <w:tr w:rsidR="00DA5F78" w:rsidRPr="005A7E89" w14:paraId="0AD65182" w14:textId="77777777" w:rsidTr="00865C0F">
        <w:trPr>
          <w:trHeight w:val="300"/>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C2F557" w14:textId="77777777" w:rsidR="005A7E89" w:rsidRPr="005A7E89" w:rsidRDefault="005A7E89" w:rsidP="005A7E89">
            <w:pPr>
              <w:ind w:left="0"/>
              <w:rPr>
                <w:rFonts w:ascii="Bookman Old Style" w:hAnsi="Bookman Old Style"/>
                <w:b/>
                <w:bCs/>
                <w:color w:val="000000"/>
                <w:sz w:val="12"/>
                <w:szCs w:val="12"/>
                <w:lang w:val="es-CO" w:eastAsia="es-CO"/>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154AC906" w14:textId="77777777" w:rsidR="005A7E89" w:rsidRPr="005A7E89" w:rsidRDefault="005A7E89" w:rsidP="005A7E89">
            <w:pPr>
              <w:ind w:left="0"/>
              <w:rPr>
                <w:rFonts w:ascii="Bookman Old Style" w:hAnsi="Bookman Old Style"/>
                <w:b/>
                <w:bCs/>
                <w:color w:val="000000"/>
                <w:sz w:val="12"/>
                <w:szCs w:val="12"/>
                <w:lang w:val="es-CO" w:eastAsia="es-CO"/>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710EAA6B" w14:textId="77777777" w:rsidR="005A7E89" w:rsidRPr="005A7E89" w:rsidRDefault="005A7E89" w:rsidP="005A7E89">
            <w:pPr>
              <w:ind w:left="0"/>
              <w:rPr>
                <w:rFonts w:ascii="Bookman Old Style" w:hAnsi="Bookman Old Style"/>
                <w:b/>
                <w:bCs/>
                <w:color w:val="000000"/>
                <w:sz w:val="12"/>
                <w:szCs w:val="12"/>
                <w:lang w:val="es-CO"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ACB066" w14:textId="77777777" w:rsidR="005A7E89" w:rsidRPr="005A7E89" w:rsidRDefault="005A7E89" w:rsidP="005A7E89">
            <w:pPr>
              <w:ind w:left="0"/>
              <w:rPr>
                <w:rFonts w:ascii="Bookman Old Style" w:hAnsi="Bookman Old Style"/>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817B1" w14:textId="77777777" w:rsidR="005A7E89" w:rsidRPr="005A7E89" w:rsidRDefault="005A7E89" w:rsidP="005A7E89">
            <w:pPr>
              <w:ind w:left="0"/>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B1A497" w14:textId="77777777" w:rsidR="005A7E89" w:rsidRPr="005A7E89" w:rsidRDefault="005A7E89" w:rsidP="005A7E89">
            <w:pPr>
              <w:ind w:left="0"/>
              <w:rPr>
                <w:rFonts w:ascii="Bookman Old Style" w:hAnsi="Bookman Old Style"/>
                <w:b/>
                <w:bCs/>
                <w:color w:val="000000"/>
                <w:sz w:val="12"/>
                <w:szCs w:val="12"/>
                <w:lang w:val="es-CO" w:eastAsia="es-CO"/>
              </w:rPr>
            </w:pPr>
          </w:p>
        </w:tc>
        <w:tc>
          <w:tcPr>
            <w:tcW w:w="567" w:type="dxa"/>
            <w:tcBorders>
              <w:top w:val="nil"/>
              <w:left w:val="nil"/>
              <w:bottom w:val="single" w:sz="4" w:space="0" w:color="auto"/>
              <w:right w:val="single" w:sz="4" w:space="0" w:color="auto"/>
            </w:tcBorders>
            <w:shd w:val="clear" w:color="000000" w:fill="D9D9D9"/>
            <w:noWrap/>
            <w:vAlign w:val="bottom"/>
            <w:hideMark/>
          </w:tcPr>
          <w:p w14:paraId="3703ECAE"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w:t>
            </w:r>
            <w:r w:rsidR="00DA5F78">
              <w:rPr>
                <w:rFonts w:ascii="Bookman Old Style" w:hAnsi="Bookman Old Style"/>
                <w:b/>
                <w:bCs/>
                <w:color w:val="000000"/>
                <w:sz w:val="12"/>
                <w:szCs w:val="12"/>
                <w:lang w:val="es-CO" w:eastAsia="es-CO"/>
              </w:rPr>
              <w:t xml:space="preserve">   </w:t>
            </w:r>
            <w:r w:rsidRPr="005A7E89">
              <w:rPr>
                <w:rFonts w:ascii="Bookman Old Style" w:hAnsi="Bookman Old Style"/>
                <w:b/>
                <w:bCs/>
                <w:color w:val="000000"/>
                <w:sz w:val="12"/>
                <w:szCs w:val="12"/>
                <w:lang w:val="es-CO" w:eastAsia="es-CO"/>
              </w:rPr>
              <w:t xml:space="preserve"> 1</w:t>
            </w:r>
          </w:p>
        </w:tc>
        <w:tc>
          <w:tcPr>
            <w:tcW w:w="426" w:type="dxa"/>
            <w:tcBorders>
              <w:top w:val="nil"/>
              <w:left w:val="nil"/>
              <w:bottom w:val="single" w:sz="4" w:space="0" w:color="auto"/>
              <w:right w:val="single" w:sz="4" w:space="0" w:color="auto"/>
            </w:tcBorders>
            <w:shd w:val="clear" w:color="000000" w:fill="D9D9D9"/>
            <w:noWrap/>
            <w:vAlign w:val="bottom"/>
            <w:hideMark/>
          </w:tcPr>
          <w:p w14:paraId="2C9B8F0D"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D9D9D9"/>
            <w:noWrap/>
            <w:vAlign w:val="bottom"/>
            <w:hideMark/>
          </w:tcPr>
          <w:p w14:paraId="66CBB645"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D9D9D9"/>
            <w:noWrap/>
            <w:vAlign w:val="bottom"/>
            <w:hideMark/>
          </w:tcPr>
          <w:p w14:paraId="301C5906"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4</w:t>
            </w:r>
          </w:p>
        </w:tc>
        <w:tc>
          <w:tcPr>
            <w:tcW w:w="425" w:type="dxa"/>
            <w:tcBorders>
              <w:top w:val="nil"/>
              <w:left w:val="nil"/>
              <w:bottom w:val="single" w:sz="4" w:space="0" w:color="auto"/>
              <w:right w:val="single" w:sz="4" w:space="0" w:color="auto"/>
            </w:tcBorders>
            <w:shd w:val="clear" w:color="000000" w:fill="D9D9D9"/>
            <w:noWrap/>
            <w:vAlign w:val="bottom"/>
            <w:hideMark/>
          </w:tcPr>
          <w:p w14:paraId="4A8FFA7E"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5</w:t>
            </w:r>
          </w:p>
        </w:tc>
        <w:tc>
          <w:tcPr>
            <w:tcW w:w="921" w:type="dxa"/>
            <w:tcBorders>
              <w:top w:val="nil"/>
              <w:left w:val="nil"/>
              <w:bottom w:val="single" w:sz="4" w:space="0" w:color="auto"/>
              <w:right w:val="single" w:sz="4" w:space="0" w:color="auto"/>
            </w:tcBorders>
            <w:shd w:val="clear" w:color="000000" w:fill="D9D9D9"/>
            <w:noWrap/>
            <w:vAlign w:val="bottom"/>
            <w:hideMark/>
          </w:tcPr>
          <w:p w14:paraId="1089A046"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Total</w:t>
            </w:r>
          </w:p>
        </w:tc>
      </w:tr>
      <w:tr w:rsidR="00064D35" w:rsidRPr="005A7E89" w14:paraId="62E28D3F" w14:textId="77777777" w:rsidTr="007743C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B01A4EB" w14:textId="77777777" w:rsidR="00064D35" w:rsidRPr="00865C0F" w:rsidRDefault="00064D35" w:rsidP="00064D35">
            <w:pPr>
              <w:ind w:left="0"/>
              <w:jc w:val="center"/>
              <w:rPr>
                <w:rFonts w:ascii="Bookman Old Style" w:hAnsi="Bookman Old Style"/>
                <w:color w:val="000000"/>
                <w:sz w:val="12"/>
                <w:szCs w:val="16"/>
                <w:lang w:val="es-CO" w:eastAsia="es-CO"/>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6920AA27" w14:textId="77777777" w:rsidR="00064D35" w:rsidRPr="00865C0F" w:rsidRDefault="00064D35" w:rsidP="00064D35">
            <w:pPr>
              <w:ind w:left="0"/>
              <w:rPr>
                <w:rFonts w:ascii="Bookman Old Style" w:hAnsi="Bookman Old Style"/>
                <w:color w:val="000000"/>
                <w:sz w:val="12"/>
                <w:szCs w:val="16"/>
                <w:lang w:val="es-CO" w:eastAsia="es-CO"/>
              </w:rPr>
            </w:pPr>
            <w:r w:rsidRPr="00865C0F">
              <w:rPr>
                <w:rFonts w:ascii="Bookman Old Style" w:hAnsi="Bookman Old Style"/>
                <w:color w:val="000000"/>
                <w:sz w:val="12"/>
                <w:szCs w:val="16"/>
              </w:rPr>
              <w:t>Tubería de Polietileno de 3/4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252C91C1" w14:textId="77777777" w:rsidR="00064D35" w:rsidRPr="00865C0F" w:rsidRDefault="00064D35" w:rsidP="00064D35">
            <w:pPr>
              <w:ind w:left="0"/>
              <w:jc w:val="center"/>
              <w:rPr>
                <w:rFonts w:ascii="Bookman Old Style" w:hAnsi="Bookman Old Style"/>
                <w:color w:val="000000"/>
                <w:sz w:val="12"/>
                <w:szCs w:val="16"/>
                <w:lang w:val="es-CO" w:eastAsia="es-CO"/>
              </w:rPr>
            </w:pPr>
            <w:r w:rsidRPr="00865C0F">
              <w:rPr>
                <w:rFonts w:ascii="Bookman Old Style" w:hAnsi="Bookman Old Style"/>
                <w:color w:val="000000"/>
                <w:sz w:val="12"/>
                <w:szCs w:val="16"/>
              </w:rPr>
              <w:t>TPE3/4CO</w:t>
            </w:r>
          </w:p>
        </w:tc>
        <w:tc>
          <w:tcPr>
            <w:tcW w:w="993" w:type="dxa"/>
            <w:tcBorders>
              <w:top w:val="nil"/>
              <w:left w:val="nil"/>
              <w:bottom w:val="single" w:sz="4" w:space="0" w:color="auto"/>
              <w:right w:val="single" w:sz="4" w:space="0" w:color="auto"/>
            </w:tcBorders>
            <w:shd w:val="clear" w:color="auto" w:fill="auto"/>
            <w:noWrap/>
            <w:vAlign w:val="center"/>
          </w:tcPr>
          <w:p w14:paraId="39E06F0F" w14:textId="77777777" w:rsidR="00064D35" w:rsidRPr="00865C0F" w:rsidRDefault="00064D35" w:rsidP="00064D35">
            <w:pPr>
              <w:ind w:left="0"/>
              <w:jc w:val="center"/>
              <w:rPr>
                <w:rFonts w:ascii="Bookman Old Style" w:hAnsi="Bookman Old Style"/>
                <w:color w:val="000000"/>
                <w:sz w:val="12"/>
                <w:szCs w:val="16"/>
                <w:lang w:val="es-CO" w:eastAsia="es-CO"/>
              </w:rPr>
            </w:pPr>
            <w:r w:rsidRPr="00865C0F">
              <w:rPr>
                <w:rFonts w:ascii="Bookman Old Style" w:hAnsi="Bookman Old Style"/>
                <w:color w:val="000000"/>
                <w:sz w:val="12"/>
                <w:szCs w:val="16"/>
              </w:rPr>
              <w:t>75</w:t>
            </w:r>
            <w:r w:rsidR="00376FB4">
              <w:rPr>
                <w:rFonts w:ascii="Bookman Old Style" w:hAnsi="Bookman Old Style"/>
                <w:color w:val="000000"/>
                <w:sz w:val="12"/>
                <w:szCs w:val="16"/>
              </w:rPr>
              <w:t>.</w:t>
            </w:r>
            <w:r w:rsidRPr="00865C0F">
              <w:rPr>
                <w:rFonts w:ascii="Bookman Old Style" w:hAnsi="Bookman Old Style"/>
                <w:color w:val="000000"/>
                <w:sz w:val="12"/>
                <w:szCs w:val="16"/>
              </w:rPr>
              <w:t>267</w:t>
            </w:r>
            <w:r w:rsidR="00376FB4">
              <w:rPr>
                <w:rFonts w:ascii="Bookman Old Style" w:hAnsi="Bookman Old Style"/>
                <w:color w:val="000000"/>
                <w:sz w:val="12"/>
                <w:szCs w:val="16"/>
              </w:rPr>
              <w:t>.</w:t>
            </w:r>
            <w:r w:rsidRPr="00865C0F">
              <w:rPr>
                <w:rFonts w:ascii="Bookman Old Style" w:hAnsi="Bookman Old Style"/>
                <w:color w:val="000000"/>
                <w:sz w:val="12"/>
                <w:szCs w:val="16"/>
              </w:rPr>
              <w:t>997</w:t>
            </w:r>
          </w:p>
        </w:tc>
        <w:tc>
          <w:tcPr>
            <w:tcW w:w="992" w:type="dxa"/>
            <w:tcBorders>
              <w:top w:val="nil"/>
              <w:left w:val="nil"/>
              <w:bottom w:val="single" w:sz="4" w:space="0" w:color="auto"/>
              <w:right w:val="single" w:sz="4" w:space="0" w:color="auto"/>
            </w:tcBorders>
            <w:shd w:val="clear" w:color="auto" w:fill="auto"/>
            <w:noWrap/>
            <w:vAlign w:val="bottom"/>
          </w:tcPr>
          <w:p w14:paraId="72115309" w14:textId="77777777" w:rsidR="00064D35" w:rsidRPr="00064D35" w:rsidRDefault="00064D35" w:rsidP="00064D35">
            <w:pPr>
              <w:ind w:left="0"/>
              <w:rPr>
                <w:rFonts w:ascii="Bookman Old Style" w:hAnsi="Bookman Old Style"/>
                <w:color w:val="000000"/>
                <w:sz w:val="12"/>
                <w:szCs w:val="16"/>
                <w:lang w:val="es-CO" w:eastAsia="es-CO"/>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DAB7024" w14:textId="77777777" w:rsidR="00064D35" w:rsidRPr="00865C0F" w:rsidRDefault="00064D35" w:rsidP="00064D35">
            <w:pPr>
              <w:ind w:left="-3"/>
              <w:rPr>
                <w:rFonts w:ascii="Bookman Old Style" w:hAnsi="Bookman Old Style"/>
                <w:color w:val="000000"/>
                <w:sz w:val="12"/>
                <w:szCs w:val="16"/>
                <w:lang w:val="es-CO" w:eastAsia="es-CO"/>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4F9CFE5" w14:textId="77777777" w:rsidR="00064D35" w:rsidRPr="007743CF" w:rsidRDefault="00064D35" w:rsidP="00064D35">
            <w:pPr>
              <w:ind w:left="0"/>
              <w:jc w:val="center"/>
              <w:rPr>
                <w:rFonts w:ascii="Bookman Old Style" w:hAnsi="Bookman Old Style"/>
                <w:color w:val="000000"/>
                <w:sz w:val="12"/>
                <w:szCs w:val="16"/>
                <w:lang w:val="es-CO" w:eastAsia="es-CO"/>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115</w:t>
            </w:r>
          </w:p>
        </w:tc>
        <w:tc>
          <w:tcPr>
            <w:tcW w:w="426" w:type="dxa"/>
            <w:tcBorders>
              <w:top w:val="nil"/>
              <w:left w:val="nil"/>
              <w:bottom w:val="single" w:sz="4" w:space="0" w:color="auto"/>
              <w:right w:val="single" w:sz="4" w:space="0" w:color="auto"/>
            </w:tcBorders>
            <w:shd w:val="clear" w:color="auto" w:fill="auto"/>
            <w:noWrap/>
            <w:vAlign w:val="center"/>
          </w:tcPr>
          <w:p w14:paraId="0EA9749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5EA63A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BFDCA3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2449EC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D8C854D" w14:textId="77777777" w:rsidR="00064D35" w:rsidRPr="007743CF" w:rsidRDefault="00064D35" w:rsidP="00064D35">
            <w:pPr>
              <w:ind w:left="0"/>
              <w:jc w:val="center"/>
              <w:rPr>
                <w:rFonts w:ascii="Bookman Old Style" w:hAnsi="Bookman Old Style"/>
                <w:color w:val="000000"/>
                <w:sz w:val="12"/>
                <w:szCs w:val="16"/>
                <w:lang w:val="es-CO" w:eastAsia="es-CO"/>
              </w:rPr>
            </w:pPr>
            <w:r w:rsidRPr="007743CF">
              <w:rPr>
                <w:rFonts w:ascii="Bookman Old Style" w:hAnsi="Bookman Old Style"/>
                <w:color w:val="000000"/>
                <w:sz w:val="12"/>
                <w:szCs w:val="16"/>
              </w:rPr>
              <w:t>8</w:t>
            </w:r>
            <w:r w:rsidR="00376FB4">
              <w:rPr>
                <w:rFonts w:ascii="Bookman Old Style" w:hAnsi="Bookman Old Style"/>
                <w:color w:val="000000"/>
                <w:sz w:val="12"/>
                <w:szCs w:val="16"/>
              </w:rPr>
              <w:t>.</w:t>
            </w:r>
            <w:r w:rsidRPr="007743CF">
              <w:rPr>
                <w:rFonts w:ascii="Bookman Old Style" w:hAnsi="Bookman Old Style"/>
                <w:color w:val="000000"/>
                <w:sz w:val="12"/>
                <w:szCs w:val="16"/>
              </w:rPr>
              <w:t>655</w:t>
            </w:r>
            <w:r w:rsidR="00376FB4">
              <w:rPr>
                <w:rFonts w:ascii="Bookman Old Style" w:hAnsi="Bookman Old Style"/>
                <w:color w:val="000000"/>
                <w:sz w:val="12"/>
                <w:szCs w:val="16"/>
              </w:rPr>
              <w:t>.</w:t>
            </w:r>
            <w:r w:rsidRPr="007743CF">
              <w:rPr>
                <w:rFonts w:ascii="Bookman Old Style" w:hAnsi="Bookman Old Style"/>
                <w:color w:val="000000"/>
                <w:sz w:val="12"/>
                <w:szCs w:val="16"/>
              </w:rPr>
              <w:t>820</w:t>
            </w:r>
          </w:p>
        </w:tc>
      </w:tr>
      <w:tr w:rsidR="00064D35" w:rsidRPr="005A7E89" w14:paraId="6000E88B"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851A58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5F47ADEA"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5BE7D89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TPE1CO</w:t>
            </w:r>
          </w:p>
        </w:tc>
        <w:tc>
          <w:tcPr>
            <w:tcW w:w="993" w:type="dxa"/>
            <w:tcBorders>
              <w:top w:val="nil"/>
              <w:left w:val="nil"/>
              <w:bottom w:val="single" w:sz="4" w:space="0" w:color="auto"/>
              <w:right w:val="single" w:sz="4" w:space="0" w:color="auto"/>
            </w:tcBorders>
            <w:shd w:val="clear" w:color="auto" w:fill="auto"/>
            <w:noWrap/>
            <w:vAlign w:val="center"/>
          </w:tcPr>
          <w:p w14:paraId="686D69A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77</w:t>
            </w:r>
            <w:r w:rsidR="00376FB4">
              <w:rPr>
                <w:rFonts w:ascii="Bookman Old Style" w:hAnsi="Bookman Old Style"/>
                <w:color w:val="000000"/>
                <w:sz w:val="12"/>
                <w:szCs w:val="16"/>
              </w:rPr>
              <w:t>.</w:t>
            </w:r>
            <w:r w:rsidRPr="00865C0F">
              <w:rPr>
                <w:rFonts w:ascii="Bookman Old Style" w:hAnsi="Bookman Old Style"/>
                <w:color w:val="000000"/>
                <w:sz w:val="12"/>
                <w:szCs w:val="16"/>
              </w:rPr>
              <w:t>818</w:t>
            </w:r>
            <w:r w:rsidR="00376FB4">
              <w:rPr>
                <w:rFonts w:ascii="Bookman Old Style" w:hAnsi="Bookman Old Style"/>
                <w:color w:val="000000"/>
                <w:sz w:val="12"/>
                <w:szCs w:val="16"/>
              </w:rPr>
              <w:t>.</w:t>
            </w:r>
            <w:r w:rsidRPr="00865C0F">
              <w:rPr>
                <w:rFonts w:ascii="Bookman Old Style" w:hAnsi="Bookman Old Style"/>
                <w:color w:val="000000"/>
                <w:sz w:val="12"/>
                <w:szCs w:val="16"/>
              </w:rPr>
              <w:t>615</w:t>
            </w:r>
          </w:p>
        </w:tc>
        <w:tc>
          <w:tcPr>
            <w:tcW w:w="992" w:type="dxa"/>
            <w:tcBorders>
              <w:top w:val="nil"/>
              <w:left w:val="nil"/>
              <w:bottom w:val="single" w:sz="4" w:space="0" w:color="auto"/>
              <w:right w:val="single" w:sz="4" w:space="0" w:color="auto"/>
            </w:tcBorders>
            <w:shd w:val="clear" w:color="auto" w:fill="auto"/>
            <w:noWrap/>
            <w:vAlign w:val="center"/>
          </w:tcPr>
          <w:p w14:paraId="487C1AF7"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C235F01"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4008B12"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229</w:t>
            </w:r>
          </w:p>
        </w:tc>
        <w:tc>
          <w:tcPr>
            <w:tcW w:w="426" w:type="dxa"/>
            <w:tcBorders>
              <w:top w:val="nil"/>
              <w:left w:val="nil"/>
              <w:bottom w:val="single" w:sz="4" w:space="0" w:color="auto"/>
              <w:right w:val="single" w:sz="4" w:space="0" w:color="auto"/>
            </w:tcBorders>
            <w:shd w:val="clear" w:color="auto" w:fill="auto"/>
            <w:noWrap/>
            <w:vAlign w:val="center"/>
          </w:tcPr>
          <w:p w14:paraId="33E405F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DC6633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ED950E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201ADE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5790D53"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17</w:t>
            </w:r>
            <w:r w:rsidR="00376FB4">
              <w:rPr>
                <w:rFonts w:ascii="Bookman Old Style" w:hAnsi="Bookman Old Style"/>
                <w:color w:val="000000"/>
                <w:sz w:val="12"/>
                <w:szCs w:val="16"/>
              </w:rPr>
              <w:t>.</w:t>
            </w:r>
            <w:r w:rsidRPr="007743CF">
              <w:rPr>
                <w:rFonts w:ascii="Bookman Old Style" w:hAnsi="Bookman Old Style"/>
                <w:color w:val="000000"/>
                <w:sz w:val="12"/>
                <w:szCs w:val="16"/>
              </w:rPr>
              <w:t>820</w:t>
            </w:r>
            <w:r w:rsidR="00376FB4">
              <w:rPr>
                <w:rFonts w:ascii="Bookman Old Style" w:hAnsi="Bookman Old Style"/>
                <w:color w:val="000000"/>
                <w:sz w:val="12"/>
                <w:szCs w:val="16"/>
              </w:rPr>
              <w:t>.</w:t>
            </w:r>
            <w:r w:rsidRPr="007743CF">
              <w:rPr>
                <w:rFonts w:ascii="Bookman Old Style" w:hAnsi="Bookman Old Style"/>
                <w:color w:val="000000"/>
                <w:sz w:val="12"/>
                <w:szCs w:val="16"/>
              </w:rPr>
              <w:t>463</w:t>
            </w:r>
          </w:p>
        </w:tc>
      </w:tr>
      <w:tr w:rsidR="00064D35" w:rsidRPr="005A7E89" w14:paraId="2122B4EA"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DE6009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1BB1E133"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12191F6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TPE2CO</w:t>
            </w:r>
          </w:p>
        </w:tc>
        <w:tc>
          <w:tcPr>
            <w:tcW w:w="993" w:type="dxa"/>
            <w:tcBorders>
              <w:top w:val="nil"/>
              <w:left w:val="nil"/>
              <w:bottom w:val="single" w:sz="4" w:space="0" w:color="auto"/>
              <w:right w:val="single" w:sz="4" w:space="0" w:color="auto"/>
            </w:tcBorders>
            <w:shd w:val="clear" w:color="auto" w:fill="auto"/>
            <w:noWrap/>
            <w:vAlign w:val="center"/>
          </w:tcPr>
          <w:p w14:paraId="68D7270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88</w:t>
            </w:r>
            <w:r w:rsidR="00376FB4">
              <w:rPr>
                <w:rFonts w:ascii="Bookman Old Style" w:hAnsi="Bookman Old Style"/>
                <w:color w:val="000000"/>
                <w:sz w:val="12"/>
                <w:szCs w:val="16"/>
              </w:rPr>
              <w:t>.</w:t>
            </w:r>
            <w:r w:rsidRPr="00865C0F">
              <w:rPr>
                <w:rFonts w:ascii="Bookman Old Style" w:hAnsi="Bookman Old Style"/>
                <w:color w:val="000000"/>
                <w:sz w:val="12"/>
                <w:szCs w:val="16"/>
              </w:rPr>
              <w:t>937</w:t>
            </w:r>
            <w:r w:rsidR="00376FB4">
              <w:rPr>
                <w:rFonts w:ascii="Bookman Old Style" w:hAnsi="Bookman Old Style"/>
                <w:color w:val="000000"/>
                <w:sz w:val="12"/>
                <w:szCs w:val="16"/>
              </w:rPr>
              <w:t>.</w:t>
            </w:r>
            <w:r w:rsidRPr="00865C0F">
              <w:rPr>
                <w:rFonts w:ascii="Bookman Old Style" w:hAnsi="Bookman Old Style"/>
                <w:color w:val="000000"/>
                <w:sz w:val="12"/>
                <w:szCs w:val="16"/>
              </w:rPr>
              <w:t>391</w:t>
            </w:r>
          </w:p>
        </w:tc>
        <w:tc>
          <w:tcPr>
            <w:tcW w:w="992" w:type="dxa"/>
            <w:tcBorders>
              <w:top w:val="nil"/>
              <w:left w:val="nil"/>
              <w:bottom w:val="single" w:sz="4" w:space="0" w:color="auto"/>
              <w:right w:val="single" w:sz="4" w:space="0" w:color="auto"/>
            </w:tcBorders>
            <w:shd w:val="clear" w:color="auto" w:fill="auto"/>
            <w:noWrap/>
            <w:vAlign w:val="center"/>
          </w:tcPr>
          <w:p w14:paraId="21024677"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F55F8CD"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5036CBC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18</w:t>
            </w:r>
          </w:p>
        </w:tc>
        <w:tc>
          <w:tcPr>
            <w:tcW w:w="426" w:type="dxa"/>
            <w:tcBorders>
              <w:top w:val="nil"/>
              <w:left w:val="nil"/>
              <w:bottom w:val="single" w:sz="4" w:space="0" w:color="auto"/>
              <w:right w:val="single" w:sz="4" w:space="0" w:color="auto"/>
            </w:tcBorders>
            <w:shd w:val="clear" w:color="auto" w:fill="auto"/>
            <w:noWrap/>
            <w:vAlign w:val="center"/>
          </w:tcPr>
          <w:p w14:paraId="6135771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B25FA8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B09ED9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6EC385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F3AE2F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16</w:t>
            </w:r>
            <w:r w:rsidR="00376FB4">
              <w:rPr>
                <w:rFonts w:ascii="Bookman Old Style" w:hAnsi="Bookman Old Style"/>
                <w:color w:val="000000"/>
                <w:sz w:val="12"/>
                <w:szCs w:val="16"/>
              </w:rPr>
              <w:t>.</w:t>
            </w:r>
            <w:r w:rsidRPr="007743CF">
              <w:rPr>
                <w:rFonts w:ascii="Bookman Old Style" w:hAnsi="Bookman Old Style"/>
                <w:color w:val="000000"/>
                <w:sz w:val="12"/>
                <w:szCs w:val="16"/>
              </w:rPr>
              <w:t>008</w:t>
            </w:r>
            <w:r w:rsidR="00376FB4">
              <w:rPr>
                <w:rFonts w:ascii="Bookman Old Style" w:hAnsi="Bookman Old Style"/>
                <w:color w:val="000000"/>
                <w:sz w:val="12"/>
                <w:szCs w:val="16"/>
              </w:rPr>
              <w:t>.</w:t>
            </w:r>
            <w:r w:rsidRPr="007743CF">
              <w:rPr>
                <w:rFonts w:ascii="Bookman Old Style" w:hAnsi="Bookman Old Style"/>
                <w:color w:val="000000"/>
                <w:sz w:val="12"/>
                <w:szCs w:val="16"/>
              </w:rPr>
              <w:t>730</w:t>
            </w:r>
          </w:p>
        </w:tc>
      </w:tr>
      <w:tr w:rsidR="00064D35" w:rsidRPr="005A7E89" w14:paraId="6F0B91E8"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B8346E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0643FA37"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78E2D1D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3099185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53</w:t>
            </w:r>
            <w:r w:rsidR="00376FB4">
              <w:rPr>
                <w:rFonts w:ascii="Bookman Old Style" w:hAnsi="Bookman Old Style"/>
                <w:color w:val="000000"/>
                <w:sz w:val="12"/>
                <w:szCs w:val="16"/>
              </w:rPr>
              <w:t>.</w:t>
            </w:r>
            <w:r w:rsidRPr="00865C0F">
              <w:rPr>
                <w:rFonts w:ascii="Bookman Old Style" w:hAnsi="Bookman Old Style"/>
                <w:color w:val="000000"/>
                <w:sz w:val="12"/>
                <w:szCs w:val="16"/>
              </w:rPr>
              <w:t>097</w:t>
            </w:r>
            <w:r w:rsidR="00376FB4">
              <w:rPr>
                <w:rFonts w:ascii="Bookman Old Style" w:hAnsi="Bookman Old Style"/>
                <w:color w:val="000000"/>
                <w:sz w:val="12"/>
                <w:szCs w:val="16"/>
              </w:rPr>
              <w:t>.</w:t>
            </w:r>
            <w:r w:rsidRPr="00865C0F">
              <w:rPr>
                <w:rFonts w:ascii="Bookman Old Style" w:hAnsi="Bookman Old Style"/>
                <w:color w:val="000000"/>
                <w:sz w:val="12"/>
                <w:szCs w:val="16"/>
              </w:rPr>
              <w:t>313</w:t>
            </w:r>
          </w:p>
        </w:tc>
        <w:tc>
          <w:tcPr>
            <w:tcW w:w="992" w:type="dxa"/>
            <w:tcBorders>
              <w:top w:val="nil"/>
              <w:left w:val="nil"/>
              <w:bottom w:val="single" w:sz="4" w:space="0" w:color="auto"/>
              <w:right w:val="single" w:sz="4" w:space="0" w:color="auto"/>
            </w:tcBorders>
            <w:shd w:val="clear" w:color="auto" w:fill="auto"/>
            <w:noWrap/>
            <w:vAlign w:val="center"/>
          </w:tcPr>
          <w:p w14:paraId="7C47CFE4"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9FF5B8E"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04684F00"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23</w:t>
            </w:r>
          </w:p>
        </w:tc>
        <w:tc>
          <w:tcPr>
            <w:tcW w:w="426" w:type="dxa"/>
            <w:tcBorders>
              <w:top w:val="nil"/>
              <w:left w:val="nil"/>
              <w:bottom w:val="single" w:sz="4" w:space="0" w:color="auto"/>
              <w:right w:val="single" w:sz="4" w:space="0" w:color="auto"/>
            </w:tcBorders>
            <w:shd w:val="clear" w:color="auto" w:fill="auto"/>
            <w:noWrap/>
            <w:vAlign w:val="center"/>
          </w:tcPr>
          <w:p w14:paraId="30AB628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9EECED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982287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156F13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6F7177BD"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12</w:t>
            </w:r>
            <w:r w:rsidR="00376FB4">
              <w:rPr>
                <w:rFonts w:ascii="Bookman Old Style" w:hAnsi="Bookman Old Style"/>
                <w:color w:val="000000"/>
                <w:sz w:val="12"/>
                <w:szCs w:val="16"/>
              </w:rPr>
              <w:t>.</w:t>
            </w:r>
            <w:r w:rsidRPr="007743CF">
              <w:rPr>
                <w:rFonts w:ascii="Bookman Old Style" w:hAnsi="Bookman Old Style"/>
                <w:color w:val="000000"/>
                <w:sz w:val="12"/>
                <w:szCs w:val="16"/>
              </w:rPr>
              <w:t>212</w:t>
            </w:r>
            <w:r w:rsidR="00376FB4">
              <w:rPr>
                <w:rFonts w:ascii="Bookman Old Style" w:hAnsi="Bookman Old Style"/>
                <w:color w:val="000000"/>
                <w:sz w:val="12"/>
                <w:szCs w:val="16"/>
              </w:rPr>
              <w:t>.</w:t>
            </w:r>
            <w:r w:rsidRPr="007743CF">
              <w:rPr>
                <w:rFonts w:ascii="Bookman Old Style" w:hAnsi="Bookman Old Style"/>
                <w:color w:val="000000"/>
                <w:sz w:val="12"/>
                <w:szCs w:val="16"/>
              </w:rPr>
              <w:t>382</w:t>
            </w:r>
          </w:p>
        </w:tc>
      </w:tr>
      <w:tr w:rsidR="00064D35" w:rsidRPr="005A7E89" w14:paraId="6D683703"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9E9620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79634E6E"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Andén Tableta, Baldosín, Gravilla</w:t>
            </w:r>
          </w:p>
        </w:tc>
        <w:tc>
          <w:tcPr>
            <w:tcW w:w="1067" w:type="dxa"/>
            <w:tcBorders>
              <w:top w:val="nil"/>
              <w:left w:val="nil"/>
              <w:bottom w:val="single" w:sz="4" w:space="0" w:color="auto"/>
              <w:right w:val="single" w:sz="4" w:space="0" w:color="auto"/>
            </w:tcBorders>
            <w:shd w:val="clear" w:color="auto" w:fill="auto"/>
            <w:noWrap/>
            <w:vAlign w:val="center"/>
          </w:tcPr>
          <w:p w14:paraId="71C4DDA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TPE3/4TA</w:t>
            </w:r>
          </w:p>
        </w:tc>
        <w:tc>
          <w:tcPr>
            <w:tcW w:w="993" w:type="dxa"/>
            <w:tcBorders>
              <w:top w:val="nil"/>
              <w:left w:val="nil"/>
              <w:bottom w:val="single" w:sz="4" w:space="0" w:color="auto"/>
              <w:right w:val="single" w:sz="4" w:space="0" w:color="auto"/>
            </w:tcBorders>
            <w:shd w:val="clear" w:color="auto" w:fill="auto"/>
            <w:noWrap/>
            <w:vAlign w:val="center"/>
          </w:tcPr>
          <w:p w14:paraId="2877332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56</w:t>
            </w:r>
            <w:r w:rsidR="00376FB4">
              <w:rPr>
                <w:rFonts w:ascii="Bookman Old Style" w:hAnsi="Bookman Old Style"/>
                <w:color w:val="000000"/>
                <w:sz w:val="12"/>
                <w:szCs w:val="16"/>
              </w:rPr>
              <w:t>.</w:t>
            </w:r>
            <w:r w:rsidRPr="00865C0F">
              <w:rPr>
                <w:rFonts w:ascii="Bookman Old Style" w:hAnsi="Bookman Old Style"/>
                <w:color w:val="000000"/>
                <w:sz w:val="12"/>
                <w:szCs w:val="16"/>
              </w:rPr>
              <w:t>166</w:t>
            </w:r>
            <w:r w:rsidR="00376FB4">
              <w:rPr>
                <w:rFonts w:ascii="Bookman Old Style" w:hAnsi="Bookman Old Style"/>
                <w:color w:val="000000"/>
                <w:sz w:val="12"/>
                <w:szCs w:val="16"/>
              </w:rPr>
              <w:t>.</w:t>
            </w:r>
            <w:r w:rsidRPr="00865C0F">
              <w:rPr>
                <w:rFonts w:ascii="Bookman Old Style" w:hAnsi="Bookman Old Style"/>
                <w:color w:val="000000"/>
                <w:sz w:val="12"/>
                <w:szCs w:val="16"/>
              </w:rPr>
              <w:t>218</w:t>
            </w:r>
          </w:p>
        </w:tc>
        <w:tc>
          <w:tcPr>
            <w:tcW w:w="992" w:type="dxa"/>
            <w:tcBorders>
              <w:top w:val="nil"/>
              <w:left w:val="nil"/>
              <w:bottom w:val="single" w:sz="4" w:space="0" w:color="auto"/>
              <w:right w:val="single" w:sz="4" w:space="0" w:color="auto"/>
            </w:tcBorders>
            <w:shd w:val="clear" w:color="auto" w:fill="auto"/>
            <w:noWrap/>
            <w:vAlign w:val="center"/>
          </w:tcPr>
          <w:p w14:paraId="7FF1DB31"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C72F550"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139EA7B"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13</w:t>
            </w:r>
          </w:p>
        </w:tc>
        <w:tc>
          <w:tcPr>
            <w:tcW w:w="426" w:type="dxa"/>
            <w:tcBorders>
              <w:top w:val="nil"/>
              <w:left w:val="nil"/>
              <w:bottom w:val="single" w:sz="4" w:space="0" w:color="auto"/>
              <w:right w:val="single" w:sz="4" w:space="0" w:color="auto"/>
            </w:tcBorders>
            <w:shd w:val="clear" w:color="auto" w:fill="auto"/>
            <w:noWrap/>
            <w:vAlign w:val="center"/>
          </w:tcPr>
          <w:p w14:paraId="05E56A9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D37110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494074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DE8770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6A2A2206"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7</w:t>
            </w:r>
            <w:r w:rsidR="00376FB4">
              <w:rPr>
                <w:rFonts w:ascii="Bookman Old Style" w:hAnsi="Bookman Old Style"/>
                <w:color w:val="000000"/>
                <w:sz w:val="12"/>
                <w:szCs w:val="16"/>
              </w:rPr>
              <w:t>.</w:t>
            </w:r>
            <w:r w:rsidRPr="007743CF">
              <w:rPr>
                <w:rFonts w:ascii="Bookman Old Style" w:hAnsi="Bookman Old Style"/>
                <w:color w:val="000000"/>
                <w:sz w:val="12"/>
                <w:szCs w:val="16"/>
              </w:rPr>
              <w:t>301</w:t>
            </w:r>
            <w:r w:rsidR="00376FB4">
              <w:rPr>
                <w:rFonts w:ascii="Bookman Old Style" w:hAnsi="Bookman Old Style"/>
                <w:color w:val="000000"/>
                <w:sz w:val="12"/>
                <w:szCs w:val="16"/>
              </w:rPr>
              <w:t>.</w:t>
            </w:r>
            <w:r w:rsidRPr="007743CF">
              <w:rPr>
                <w:rFonts w:ascii="Bookman Old Style" w:hAnsi="Bookman Old Style"/>
                <w:color w:val="000000"/>
                <w:sz w:val="12"/>
                <w:szCs w:val="16"/>
              </w:rPr>
              <w:t>608</w:t>
            </w:r>
          </w:p>
        </w:tc>
      </w:tr>
      <w:tr w:rsidR="00064D35" w:rsidRPr="005A7E89" w14:paraId="5334268E"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213717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4EF3BF90"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7808C40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03558D7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19</w:t>
            </w:r>
            <w:r w:rsidR="00376FB4">
              <w:rPr>
                <w:rFonts w:ascii="Bookman Old Style" w:hAnsi="Bookman Old Style"/>
                <w:color w:val="000000"/>
                <w:sz w:val="12"/>
                <w:szCs w:val="16"/>
              </w:rPr>
              <w:t>.</w:t>
            </w:r>
            <w:r w:rsidRPr="00865C0F">
              <w:rPr>
                <w:rFonts w:ascii="Bookman Old Style" w:hAnsi="Bookman Old Style"/>
                <w:color w:val="000000"/>
                <w:sz w:val="12"/>
                <w:szCs w:val="16"/>
              </w:rPr>
              <w:t>416</w:t>
            </w:r>
            <w:r w:rsidR="00376FB4">
              <w:rPr>
                <w:rFonts w:ascii="Bookman Old Style" w:hAnsi="Bookman Old Style"/>
                <w:color w:val="000000"/>
                <w:sz w:val="12"/>
                <w:szCs w:val="16"/>
              </w:rPr>
              <w:t>.</w:t>
            </w:r>
            <w:r w:rsidRPr="00865C0F">
              <w:rPr>
                <w:rFonts w:ascii="Bookman Old Style" w:hAnsi="Bookman Old Style"/>
                <w:color w:val="000000"/>
                <w:sz w:val="12"/>
                <w:szCs w:val="16"/>
              </w:rPr>
              <w:t>540</w:t>
            </w:r>
          </w:p>
        </w:tc>
        <w:tc>
          <w:tcPr>
            <w:tcW w:w="992" w:type="dxa"/>
            <w:tcBorders>
              <w:top w:val="nil"/>
              <w:left w:val="nil"/>
              <w:bottom w:val="single" w:sz="4" w:space="0" w:color="auto"/>
              <w:right w:val="single" w:sz="4" w:space="0" w:color="auto"/>
            </w:tcBorders>
            <w:shd w:val="clear" w:color="auto" w:fill="auto"/>
            <w:noWrap/>
            <w:vAlign w:val="center"/>
          </w:tcPr>
          <w:p w14:paraId="04212CB5"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07BCD5C1"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7260F0D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w:t>
            </w:r>
            <w:r w:rsidR="000A3D5F">
              <w:rPr>
                <w:rFonts w:ascii="Bookman Old Style" w:hAnsi="Bookman Old Style"/>
                <w:color w:val="000000"/>
                <w:sz w:val="12"/>
                <w:szCs w:val="16"/>
              </w:rPr>
              <w:t>,</w:t>
            </w:r>
            <w:r w:rsidRPr="007743CF">
              <w:rPr>
                <w:rFonts w:ascii="Bookman Old Style" w:hAnsi="Bookman Old Style"/>
                <w:color w:val="000000"/>
                <w:sz w:val="12"/>
                <w:szCs w:val="16"/>
              </w:rPr>
              <w:t>425</w:t>
            </w:r>
          </w:p>
        </w:tc>
        <w:tc>
          <w:tcPr>
            <w:tcW w:w="426" w:type="dxa"/>
            <w:tcBorders>
              <w:top w:val="nil"/>
              <w:left w:val="nil"/>
              <w:bottom w:val="single" w:sz="4" w:space="0" w:color="auto"/>
              <w:right w:val="single" w:sz="4" w:space="0" w:color="auto"/>
            </w:tcBorders>
            <w:shd w:val="clear" w:color="auto" w:fill="auto"/>
            <w:noWrap/>
            <w:vAlign w:val="center"/>
          </w:tcPr>
          <w:p w14:paraId="0C04CDB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F53A16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6636BF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F31DF7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7578272"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66</w:t>
            </w:r>
            <w:r w:rsidR="00376FB4">
              <w:rPr>
                <w:rFonts w:ascii="Bookman Old Style" w:hAnsi="Bookman Old Style"/>
                <w:color w:val="000000"/>
                <w:sz w:val="12"/>
                <w:szCs w:val="16"/>
              </w:rPr>
              <w:t>.</w:t>
            </w:r>
            <w:r w:rsidRPr="007743CF">
              <w:rPr>
                <w:rFonts w:ascii="Bookman Old Style" w:hAnsi="Bookman Old Style"/>
                <w:color w:val="000000"/>
                <w:sz w:val="12"/>
                <w:szCs w:val="16"/>
              </w:rPr>
              <w:t>501</w:t>
            </w:r>
            <w:r w:rsidR="00376FB4">
              <w:rPr>
                <w:rFonts w:ascii="Bookman Old Style" w:hAnsi="Bookman Old Style"/>
                <w:color w:val="000000"/>
                <w:sz w:val="12"/>
                <w:szCs w:val="16"/>
              </w:rPr>
              <w:t>.</w:t>
            </w:r>
            <w:r w:rsidRPr="007743CF">
              <w:rPr>
                <w:rFonts w:ascii="Bookman Old Style" w:hAnsi="Bookman Old Style"/>
                <w:color w:val="000000"/>
                <w:sz w:val="12"/>
                <w:szCs w:val="16"/>
              </w:rPr>
              <w:t>651</w:t>
            </w:r>
          </w:p>
        </w:tc>
      </w:tr>
      <w:tr w:rsidR="00064D35" w:rsidRPr="005A7E89" w14:paraId="267DDAEF"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2B7F8F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36D609D9"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tcPr>
          <w:p w14:paraId="4C448A9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TPE1ZV</w:t>
            </w:r>
          </w:p>
        </w:tc>
        <w:tc>
          <w:tcPr>
            <w:tcW w:w="993" w:type="dxa"/>
            <w:tcBorders>
              <w:top w:val="nil"/>
              <w:left w:val="nil"/>
              <w:bottom w:val="single" w:sz="4" w:space="0" w:color="auto"/>
              <w:right w:val="single" w:sz="4" w:space="0" w:color="auto"/>
            </w:tcBorders>
            <w:shd w:val="clear" w:color="auto" w:fill="auto"/>
            <w:noWrap/>
            <w:vAlign w:val="center"/>
          </w:tcPr>
          <w:p w14:paraId="7C84DA7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22</w:t>
            </w:r>
            <w:r w:rsidR="00376FB4">
              <w:rPr>
                <w:rFonts w:ascii="Bookman Old Style" w:hAnsi="Bookman Old Style"/>
                <w:color w:val="000000"/>
                <w:sz w:val="12"/>
                <w:szCs w:val="16"/>
              </w:rPr>
              <w:t>.</w:t>
            </w:r>
            <w:r w:rsidRPr="00865C0F">
              <w:rPr>
                <w:rFonts w:ascii="Bookman Old Style" w:hAnsi="Bookman Old Style"/>
                <w:color w:val="000000"/>
                <w:sz w:val="12"/>
                <w:szCs w:val="16"/>
              </w:rPr>
              <w:t>117</w:t>
            </w:r>
            <w:r w:rsidR="00376FB4">
              <w:rPr>
                <w:rFonts w:ascii="Bookman Old Style" w:hAnsi="Bookman Old Style"/>
                <w:color w:val="000000"/>
                <w:sz w:val="12"/>
                <w:szCs w:val="16"/>
              </w:rPr>
              <w:t>.</w:t>
            </w:r>
            <w:r w:rsidRPr="00865C0F">
              <w:rPr>
                <w:rFonts w:ascii="Bookman Old Style" w:hAnsi="Bookman Old Style"/>
                <w:color w:val="000000"/>
                <w:sz w:val="12"/>
                <w:szCs w:val="16"/>
              </w:rPr>
              <w:t>674</w:t>
            </w:r>
          </w:p>
        </w:tc>
        <w:tc>
          <w:tcPr>
            <w:tcW w:w="992" w:type="dxa"/>
            <w:tcBorders>
              <w:top w:val="nil"/>
              <w:left w:val="nil"/>
              <w:bottom w:val="single" w:sz="4" w:space="0" w:color="auto"/>
              <w:right w:val="single" w:sz="4" w:space="0" w:color="auto"/>
            </w:tcBorders>
            <w:shd w:val="clear" w:color="auto" w:fill="auto"/>
            <w:noWrap/>
            <w:vAlign w:val="center"/>
          </w:tcPr>
          <w:p w14:paraId="0FBE798D"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949DA2F"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41440D3F"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w:t>
            </w:r>
            <w:r w:rsidR="000A3D5F">
              <w:rPr>
                <w:rFonts w:ascii="Bookman Old Style" w:hAnsi="Bookman Old Style"/>
                <w:color w:val="000000"/>
                <w:sz w:val="12"/>
                <w:szCs w:val="16"/>
              </w:rPr>
              <w:t>,</w:t>
            </w:r>
            <w:r w:rsidRPr="007743CF">
              <w:rPr>
                <w:rFonts w:ascii="Bookman Old Style" w:hAnsi="Bookman Old Style"/>
                <w:color w:val="000000"/>
                <w:sz w:val="12"/>
                <w:szCs w:val="16"/>
              </w:rPr>
              <w:t>181</w:t>
            </w:r>
          </w:p>
        </w:tc>
        <w:tc>
          <w:tcPr>
            <w:tcW w:w="426" w:type="dxa"/>
            <w:tcBorders>
              <w:top w:val="nil"/>
              <w:left w:val="nil"/>
              <w:bottom w:val="single" w:sz="4" w:space="0" w:color="auto"/>
              <w:right w:val="single" w:sz="4" w:space="0" w:color="auto"/>
            </w:tcBorders>
            <w:shd w:val="clear" w:color="auto" w:fill="auto"/>
            <w:noWrap/>
            <w:vAlign w:val="center"/>
          </w:tcPr>
          <w:p w14:paraId="6ABD115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24FF0B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FD2140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956A33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BC02CA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48</w:t>
            </w:r>
            <w:r w:rsidR="00376FB4">
              <w:rPr>
                <w:rFonts w:ascii="Bookman Old Style" w:hAnsi="Bookman Old Style"/>
                <w:color w:val="000000"/>
                <w:sz w:val="12"/>
                <w:szCs w:val="16"/>
              </w:rPr>
              <w:t>.</w:t>
            </w:r>
            <w:r w:rsidRPr="007743CF">
              <w:rPr>
                <w:rFonts w:ascii="Bookman Old Style" w:hAnsi="Bookman Old Style"/>
                <w:color w:val="000000"/>
                <w:sz w:val="12"/>
                <w:szCs w:val="16"/>
              </w:rPr>
              <w:t>238</w:t>
            </w:r>
            <w:r w:rsidR="00376FB4">
              <w:rPr>
                <w:rFonts w:ascii="Bookman Old Style" w:hAnsi="Bookman Old Style"/>
                <w:color w:val="000000"/>
                <w:sz w:val="12"/>
                <w:szCs w:val="16"/>
              </w:rPr>
              <w:t>.</w:t>
            </w:r>
            <w:r w:rsidRPr="007743CF">
              <w:rPr>
                <w:rFonts w:ascii="Bookman Old Style" w:hAnsi="Bookman Old Style"/>
                <w:color w:val="000000"/>
                <w:sz w:val="12"/>
                <w:szCs w:val="16"/>
              </w:rPr>
              <w:t>647</w:t>
            </w:r>
          </w:p>
        </w:tc>
      </w:tr>
      <w:tr w:rsidR="00064D35" w:rsidRPr="005A7E89" w14:paraId="4502C5A8"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544DB9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7DA9F93D"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tcPr>
          <w:p w14:paraId="7CCB85E1"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TPE2ZV</w:t>
            </w:r>
          </w:p>
        </w:tc>
        <w:tc>
          <w:tcPr>
            <w:tcW w:w="993" w:type="dxa"/>
            <w:tcBorders>
              <w:top w:val="nil"/>
              <w:left w:val="nil"/>
              <w:bottom w:val="single" w:sz="4" w:space="0" w:color="auto"/>
              <w:right w:val="single" w:sz="4" w:space="0" w:color="auto"/>
            </w:tcBorders>
            <w:shd w:val="clear" w:color="auto" w:fill="auto"/>
            <w:noWrap/>
            <w:vAlign w:val="center"/>
          </w:tcPr>
          <w:p w14:paraId="26DBF82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33</w:t>
            </w:r>
            <w:r w:rsidR="00376FB4">
              <w:rPr>
                <w:rFonts w:ascii="Bookman Old Style" w:hAnsi="Bookman Old Style"/>
                <w:color w:val="000000"/>
                <w:sz w:val="12"/>
                <w:szCs w:val="16"/>
              </w:rPr>
              <w:t>.</w:t>
            </w:r>
            <w:r w:rsidRPr="00865C0F">
              <w:rPr>
                <w:rFonts w:ascii="Bookman Old Style" w:hAnsi="Bookman Old Style"/>
                <w:color w:val="000000"/>
                <w:sz w:val="12"/>
                <w:szCs w:val="16"/>
              </w:rPr>
              <w:t>719</w:t>
            </w:r>
            <w:r w:rsidR="00376FB4">
              <w:rPr>
                <w:rFonts w:ascii="Bookman Old Style" w:hAnsi="Bookman Old Style"/>
                <w:color w:val="000000"/>
                <w:sz w:val="12"/>
                <w:szCs w:val="16"/>
              </w:rPr>
              <w:t>.</w:t>
            </w:r>
            <w:r w:rsidRPr="00865C0F">
              <w:rPr>
                <w:rFonts w:ascii="Bookman Old Style" w:hAnsi="Bookman Old Style"/>
                <w:color w:val="000000"/>
                <w:sz w:val="12"/>
                <w:szCs w:val="16"/>
              </w:rPr>
              <w:t>184</w:t>
            </w:r>
          </w:p>
        </w:tc>
        <w:tc>
          <w:tcPr>
            <w:tcW w:w="992" w:type="dxa"/>
            <w:tcBorders>
              <w:top w:val="nil"/>
              <w:left w:val="nil"/>
              <w:bottom w:val="single" w:sz="4" w:space="0" w:color="auto"/>
              <w:right w:val="single" w:sz="4" w:space="0" w:color="auto"/>
            </w:tcBorders>
            <w:shd w:val="clear" w:color="auto" w:fill="auto"/>
            <w:noWrap/>
            <w:vAlign w:val="center"/>
          </w:tcPr>
          <w:p w14:paraId="5FCBF444"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2E66B776"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598ECC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562</w:t>
            </w:r>
          </w:p>
        </w:tc>
        <w:tc>
          <w:tcPr>
            <w:tcW w:w="426" w:type="dxa"/>
            <w:tcBorders>
              <w:top w:val="nil"/>
              <w:left w:val="nil"/>
              <w:bottom w:val="single" w:sz="4" w:space="0" w:color="auto"/>
              <w:right w:val="single" w:sz="4" w:space="0" w:color="auto"/>
            </w:tcBorders>
            <w:shd w:val="clear" w:color="auto" w:fill="auto"/>
            <w:noWrap/>
            <w:vAlign w:val="center"/>
          </w:tcPr>
          <w:p w14:paraId="46C0700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F95847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606D81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F9CB98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A875633"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18</w:t>
            </w:r>
            <w:r w:rsidR="00376FB4">
              <w:rPr>
                <w:rFonts w:ascii="Bookman Old Style" w:hAnsi="Bookman Old Style"/>
                <w:color w:val="000000"/>
                <w:sz w:val="12"/>
                <w:szCs w:val="16"/>
              </w:rPr>
              <w:t>.</w:t>
            </w:r>
            <w:r w:rsidRPr="007743CF">
              <w:rPr>
                <w:rFonts w:ascii="Bookman Old Style" w:hAnsi="Bookman Old Style"/>
                <w:color w:val="000000"/>
                <w:sz w:val="12"/>
                <w:szCs w:val="16"/>
              </w:rPr>
              <w:t>950</w:t>
            </w:r>
            <w:r w:rsidR="00376FB4">
              <w:rPr>
                <w:rFonts w:ascii="Bookman Old Style" w:hAnsi="Bookman Old Style"/>
                <w:color w:val="000000"/>
                <w:sz w:val="12"/>
                <w:szCs w:val="16"/>
              </w:rPr>
              <w:t>.</w:t>
            </w:r>
            <w:r w:rsidRPr="007743CF">
              <w:rPr>
                <w:rFonts w:ascii="Bookman Old Style" w:hAnsi="Bookman Old Style"/>
                <w:color w:val="000000"/>
                <w:sz w:val="12"/>
                <w:szCs w:val="16"/>
              </w:rPr>
              <w:t>181</w:t>
            </w:r>
          </w:p>
        </w:tc>
      </w:tr>
      <w:tr w:rsidR="00064D35" w:rsidRPr="005A7E89" w14:paraId="5414A994"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665A3C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5449231F"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Cabezas de prueba o columnas de agua</w:t>
            </w:r>
          </w:p>
        </w:tc>
        <w:tc>
          <w:tcPr>
            <w:tcW w:w="1067" w:type="dxa"/>
            <w:tcBorders>
              <w:top w:val="nil"/>
              <w:left w:val="nil"/>
              <w:bottom w:val="single" w:sz="4" w:space="0" w:color="auto"/>
              <w:right w:val="single" w:sz="4" w:space="0" w:color="auto"/>
            </w:tcBorders>
            <w:shd w:val="clear" w:color="auto" w:fill="auto"/>
            <w:noWrap/>
            <w:vAlign w:val="center"/>
          </w:tcPr>
          <w:p w14:paraId="14D5329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PLI02</w:t>
            </w:r>
          </w:p>
        </w:tc>
        <w:tc>
          <w:tcPr>
            <w:tcW w:w="993" w:type="dxa"/>
            <w:tcBorders>
              <w:top w:val="nil"/>
              <w:left w:val="nil"/>
              <w:bottom w:val="single" w:sz="4" w:space="0" w:color="auto"/>
              <w:right w:val="single" w:sz="4" w:space="0" w:color="auto"/>
            </w:tcBorders>
            <w:shd w:val="clear" w:color="auto" w:fill="auto"/>
            <w:noWrap/>
            <w:vAlign w:val="center"/>
          </w:tcPr>
          <w:p w14:paraId="52023B3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405</w:t>
            </w:r>
            <w:r w:rsidR="00376FB4">
              <w:rPr>
                <w:rFonts w:ascii="Bookman Old Style" w:hAnsi="Bookman Old Style"/>
                <w:color w:val="000000"/>
                <w:sz w:val="12"/>
                <w:szCs w:val="16"/>
              </w:rPr>
              <w:t>.</w:t>
            </w:r>
            <w:r w:rsidRPr="00865C0F">
              <w:rPr>
                <w:rFonts w:ascii="Bookman Old Style" w:hAnsi="Bookman Old Style"/>
                <w:color w:val="000000"/>
                <w:sz w:val="12"/>
                <w:szCs w:val="16"/>
              </w:rPr>
              <w:t>890</w:t>
            </w:r>
          </w:p>
        </w:tc>
        <w:tc>
          <w:tcPr>
            <w:tcW w:w="992" w:type="dxa"/>
            <w:tcBorders>
              <w:top w:val="nil"/>
              <w:left w:val="nil"/>
              <w:bottom w:val="single" w:sz="4" w:space="0" w:color="auto"/>
              <w:right w:val="single" w:sz="4" w:space="0" w:color="auto"/>
            </w:tcBorders>
            <w:shd w:val="clear" w:color="auto" w:fill="auto"/>
            <w:noWrap/>
            <w:vAlign w:val="center"/>
          </w:tcPr>
          <w:p w14:paraId="3AA5C86D"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de Control de Calidad</w:t>
            </w:r>
          </w:p>
        </w:tc>
        <w:tc>
          <w:tcPr>
            <w:tcW w:w="850" w:type="dxa"/>
            <w:tcBorders>
              <w:top w:val="nil"/>
              <w:left w:val="nil"/>
              <w:bottom w:val="single" w:sz="4" w:space="0" w:color="auto"/>
              <w:right w:val="single" w:sz="4" w:space="0" w:color="auto"/>
            </w:tcBorders>
            <w:shd w:val="clear" w:color="auto" w:fill="auto"/>
            <w:noWrap/>
            <w:vAlign w:val="center"/>
          </w:tcPr>
          <w:p w14:paraId="0506E095"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73E2659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w:t>
            </w:r>
          </w:p>
        </w:tc>
        <w:tc>
          <w:tcPr>
            <w:tcW w:w="426" w:type="dxa"/>
            <w:tcBorders>
              <w:top w:val="nil"/>
              <w:left w:val="nil"/>
              <w:bottom w:val="single" w:sz="4" w:space="0" w:color="auto"/>
              <w:right w:val="single" w:sz="4" w:space="0" w:color="auto"/>
            </w:tcBorders>
            <w:shd w:val="clear" w:color="auto" w:fill="auto"/>
            <w:noWrap/>
            <w:vAlign w:val="center"/>
          </w:tcPr>
          <w:p w14:paraId="4F5FDA7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B4D299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A41C40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809F42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0E8F53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811</w:t>
            </w:r>
            <w:r w:rsidR="00376FB4">
              <w:rPr>
                <w:rFonts w:ascii="Bookman Old Style" w:hAnsi="Bookman Old Style"/>
                <w:color w:val="000000"/>
                <w:sz w:val="12"/>
                <w:szCs w:val="16"/>
              </w:rPr>
              <w:t>.</w:t>
            </w:r>
            <w:r w:rsidRPr="007743CF">
              <w:rPr>
                <w:rFonts w:ascii="Bookman Old Style" w:hAnsi="Bookman Old Style"/>
                <w:color w:val="000000"/>
                <w:sz w:val="12"/>
                <w:szCs w:val="16"/>
              </w:rPr>
              <w:t>781</w:t>
            </w:r>
          </w:p>
        </w:tc>
      </w:tr>
      <w:tr w:rsidR="00064D35" w:rsidRPr="005A7E89" w14:paraId="5AFDC23E"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7BA881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0A04388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Detector Portátil de Odorizante</w:t>
            </w:r>
          </w:p>
        </w:tc>
        <w:tc>
          <w:tcPr>
            <w:tcW w:w="1067" w:type="dxa"/>
            <w:tcBorders>
              <w:top w:val="nil"/>
              <w:left w:val="nil"/>
              <w:bottom w:val="single" w:sz="4" w:space="0" w:color="auto"/>
              <w:right w:val="single" w:sz="4" w:space="0" w:color="auto"/>
            </w:tcBorders>
            <w:shd w:val="clear" w:color="auto" w:fill="auto"/>
            <w:noWrap/>
            <w:vAlign w:val="center"/>
          </w:tcPr>
          <w:p w14:paraId="5EF90F7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IO02</w:t>
            </w:r>
          </w:p>
        </w:tc>
        <w:tc>
          <w:tcPr>
            <w:tcW w:w="993" w:type="dxa"/>
            <w:tcBorders>
              <w:top w:val="nil"/>
              <w:left w:val="nil"/>
              <w:bottom w:val="single" w:sz="4" w:space="0" w:color="auto"/>
              <w:right w:val="single" w:sz="4" w:space="0" w:color="auto"/>
            </w:tcBorders>
            <w:shd w:val="clear" w:color="auto" w:fill="auto"/>
            <w:noWrap/>
            <w:vAlign w:val="center"/>
          </w:tcPr>
          <w:p w14:paraId="13D26D0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24</w:t>
            </w:r>
            <w:r w:rsidR="00376FB4">
              <w:rPr>
                <w:rFonts w:ascii="Bookman Old Style" w:hAnsi="Bookman Old Style"/>
                <w:color w:val="000000"/>
                <w:sz w:val="12"/>
                <w:szCs w:val="16"/>
              </w:rPr>
              <w:t>.</w:t>
            </w:r>
            <w:r w:rsidRPr="00865C0F">
              <w:rPr>
                <w:rFonts w:ascii="Bookman Old Style" w:hAnsi="Bookman Old Style"/>
                <w:color w:val="000000"/>
                <w:sz w:val="12"/>
                <w:szCs w:val="16"/>
              </w:rPr>
              <w:t>058</w:t>
            </w:r>
            <w:r w:rsidR="00376FB4">
              <w:rPr>
                <w:rFonts w:ascii="Bookman Old Style" w:hAnsi="Bookman Old Style"/>
                <w:color w:val="000000"/>
                <w:sz w:val="12"/>
                <w:szCs w:val="16"/>
              </w:rPr>
              <w:t>.</w:t>
            </w:r>
            <w:r w:rsidRPr="00865C0F">
              <w:rPr>
                <w:rFonts w:ascii="Bookman Old Style" w:hAnsi="Bookman Old Style"/>
                <w:color w:val="000000"/>
                <w:sz w:val="12"/>
                <w:szCs w:val="16"/>
              </w:rPr>
              <w:t>536</w:t>
            </w:r>
          </w:p>
        </w:tc>
        <w:tc>
          <w:tcPr>
            <w:tcW w:w="992" w:type="dxa"/>
            <w:tcBorders>
              <w:top w:val="nil"/>
              <w:left w:val="nil"/>
              <w:bottom w:val="single" w:sz="4" w:space="0" w:color="auto"/>
              <w:right w:val="single" w:sz="4" w:space="0" w:color="auto"/>
            </w:tcBorders>
            <w:shd w:val="clear" w:color="auto" w:fill="auto"/>
            <w:noWrap/>
            <w:vAlign w:val="center"/>
          </w:tcPr>
          <w:p w14:paraId="0AAE16AA"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de Control de Calidad</w:t>
            </w:r>
          </w:p>
        </w:tc>
        <w:tc>
          <w:tcPr>
            <w:tcW w:w="850" w:type="dxa"/>
            <w:tcBorders>
              <w:top w:val="nil"/>
              <w:left w:val="nil"/>
              <w:bottom w:val="single" w:sz="4" w:space="0" w:color="auto"/>
              <w:right w:val="single" w:sz="4" w:space="0" w:color="auto"/>
            </w:tcBorders>
            <w:shd w:val="clear" w:color="auto" w:fill="auto"/>
            <w:noWrap/>
            <w:vAlign w:val="center"/>
          </w:tcPr>
          <w:p w14:paraId="53A83F2A"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788C0C11"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w:t>
            </w:r>
          </w:p>
        </w:tc>
        <w:tc>
          <w:tcPr>
            <w:tcW w:w="426" w:type="dxa"/>
            <w:tcBorders>
              <w:top w:val="nil"/>
              <w:left w:val="nil"/>
              <w:bottom w:val="single" w:sz="4" w:space="0" w:color="auto"/>
              <w:right w:val="single" w:sz="4" w:space="0" w:color="auto"/>
            </w:tcBorders>
            <w:shd w:val="clear" w:color="auto" w:fill="auto"/>
            <w:noWrap/>
            <w:vAlign w:val="center"/>
          </w:tcPr>
          <w:p w14:paraId="2FB7D1E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9FC49C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EA766B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71BFA8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767FA65"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48</w:t>
            </w:r>
            <w:r w:rsidR="00376FB4">
              <w:rPr>
                <w:rFonts w:ascii="Bookman Old Style" w:hAnsi="Bookman Old Style"/>
                <w:color w:val="000000"/>
                <w:sz w:val="12"/>
                <w:szCs w:val="16"/>
              </w:rPr>
              <w:t>.</w:t>
            </w:r>
            <w:r w:rsidRPr="007743CF">
              <w:rPr>
                <w:rFonts w:ascii="Bookman Old Style" w:hAnsi="Bookman Old Style"/>
                <w:color w:val="000000"/>
                <w:sz w:val="12"/>
                <w:szCs w:val="16"/>
              </w:rPr>
              <w:t>117</w:t>
            </w:r>
            <w:r w:rsidR="00376FB4">
              <w:rPr>
                <w:rFonts w:ascii="Bookman Old Style" w:hAnsi="Bookman Old Style"/>
                <w:color w:val="000000"/>
                <w:sz w:val="12"/>
                <w:szCs w:val="16"/>
              </w:rPr>
              <w:t>.</w:t>
            </w:r>
            <w:r w:rsidRPr="007743CF">
              <w:rPr>
                <w:rFonts w:ascii="Bookman Old Style" w:hAnsi="Bookman Old Style"/>
                <w:color w:val="000000"/>
                <w:sz w:val="12"/>
                <w:szCs w:val="16"/>
              </w:rPr>
              <w:t>072</w:t>
            </w:r>
          </w:p>
        </w:tc>
      </w:tr>
      <w:tr w:rsidR="00064D35" w:rsidRPr="005A7E89" w14:paraId="45EB7D7B"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4119E4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42F24796"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Sistema digital de grabación, 1 municipio</w:t>
            </w:r>
          </w:p>
        </w:tc>
        <w:tc>
          <w:tcPr>
            <w:tcW w:w="1067" w:type="dxa"/>
            <w:tcBorders>
              <w:top w:val="nil"/>
              <w:left w:val="nil"/>
              <w:bottom w:val="single" w:sz="4" w:space="0" w:color="auto"/>
              <w:right w:val="single" w:sz="4" w:space="0" w:color="auto"/>
            </w:tcBorders>
            <w:shd w:val="clear" w:color="auto" w:fill="auto"/>
            <w:noWrap/>
            <w:vAlign w:val="center"/>
          </w:tcPr>
          <w:p w14:paraId="63B1230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SGL02</w:t>
            </w:r>
          </w:p>
        </w:tc>
        <w:tc>
          <w:tcPr>
            <w:tcW w:w="993" w:type="dxa"/>
            <w:tcBorders>
              <w:top w:val="nil"/>
              <w:left w:val="nil"/>
              <w:bottom w:val="single" w:sz="4" w:space="0" w:color="auto"/>
              <w:right w:val="single" w:sz="4" w:space="0" w:color="auto"/>
            </w:tcBorders>
            <w:shd w:val="clear" w:color="auto" w:fill="auto"/>
            <w:noWrap/>
            <w:vAlign w:val="center"/>
          </w:tcPr>
          <w:p w14:paraId="1D98AB3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40</w:t>
            </w:r>
            <w:r w:rsidR="00376FB4">
              <w:rPr>
                <w:rFonts w:ascii="Bookman Old Style" w:hAnsi="Bookman Old Style"/>
                <w:color w:val="000000"/>
                <w:sz w:val="12"/>
                <w:szCs w:val="16"/>
              </w:rPr>
              <w:t>.</w:t>
            </w:r>
            <w:r w:rsidRPr="00865C0F">
              <w:rPr>
                <w:rFonts w:ascii="Bookman Old Style" w:hAnsi="Bookman Old Style"/>
                <w:color w:val="000000"/>
                <w:sz w:val="12"/>
                <w:szCs w:val="16"/>
              </w:rPr>
              <w:t>988</w:t>
            </w:r>
            <w:r w:rsidR="00376FB4">
              <w:rPr>
                <w:rFonts w:ascii="Bookman Old Style" w:hAnsi="Bookman Old Style"/>
                <w:color w:val="000000"/>
                <w:sz w:val="12"/>
                <w:szCs w:val="16"/>
              </w:rPr>
              <w:t>.</w:t>
            </w:r>
            <w:r w:rsidRPr="00865C0F">
              <w:rPr>
                <w:rFonts w:ascii="Bookman Old Style" w:hAnsi="Bookman Old Style"/>
                <w:color w:val="000000"/>
                <w:sz w:val="12"/>
                <w:szCs w:val="16"/>
              </w:rPr>
              <w:t>965</w:t>
            </w:r>
          </w:p>
        </w:tc>
        <w:tc>
          <w:tcPr>
            <w:tcW w:w="992" w:type="dxa"/>
            <w:tcBorders>
              <w:top w:val="nil"/>
              <w:left w:val="nil"/>
              <w:bottom w:val="single" w:sz="4" w:space="0" w:color="auto"/>
              <w:right w:val="single" w:sz="4" w:space="0" w:color="auto"/>
            </w:tcBorders>
            <w:shd w:val="clear" w:color="auto" w:fill="auto"/>
            <w:noWrap/>
            <w:vAlign w:val="center"/>
          </w:tcPr>
          <w:p w14:paraId="04ED2C42"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de Control de Calidad</w:t>
            </w:r>
          </w:p>
        </w:tc>
        <w:tc>
          <w:tcPr>
            <w:tcW w:w="850" w:type="dxa"/>
            <w:tcBorders>
              <w:top w:val="nil"/>
              <w:left w:val="nil"/>
              <w:bottom w:val="single" w:sz="4" w:space="0" w:color="auto"/>
              <w:right w:val="single" w:sz="4" w:space="0" w:color="auto"/>
            </w:tcBorders>
            <w:shd w:val="clear" w:color="auto" w:fill="auto"/>
            <w:noWrap/>
            <w:vAlign w:val="center"/>
          </w:tcPr>
          <w:p w14:paraId="19C79A33"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19734F2D"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77B1311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3B5EF1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5A313C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C39ECB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53B1043"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40</w:t>
            </w:r>
            <w:r w:rsidR="00376FB4">
              <w:rPr>
                <w:rFonts w:ascii="Bookman Old Style" w:hAnsi="Bookman Old Style"/>
                <w:color w:val="000000"/>
                <w:sz w:val="12"/>
                <w:szCs w:val="16"/>
              </w:rPr>
              <w:t>.</w:t>
            </w:r>
            <w:r w:rsidRPr="007743CF">
              <w:rPr>
                <w:rFonts w:ascii="Bookman Old Style" w:hAnsi="Bookman Old Style"/>
                <w:color w:val="000000"/>
                <w:sz w:val="12"/>
                <w:szCs w:val="16"/>
              </w:rPr>
              <w:t>988</w:t>
            </w:r>
            <w:r w:rsidR="00376FB4">
              <w:rPr>
                <w:rFonts w:ascii="Bookman Old Style" w:hAnsi="Bookman Old Style"/>
                <w:color w:val="000000"/>
                <w:sz w:val="12"/>
                <w:szCs w:val="16"/>
              </w:rPr>
              <w:t>.</w:t>
            </w:r>
            <w:r w:rsidRPr="007743CF">
              <w:rPr>
                <w:rFonts w:ascii="Bookman Old Style" w:hAnsi="Bookman Old Style"/>
                <w:color w:val="000000"/>
                <w:sz w:val="12"/>
                <w:szCs w:val="16"/>
              </w:rPr>
              <w:t>965</w:t>
            </w:r>
          </w:p>
        </w:tc>
      </w:tr>
      <w:tr w:rsidR="00064D35" w:rsidRPr="005A7E89" w14:paraId="1AD9A497"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639B8C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1F7306CF"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EGLP1000 - Estación de GLP de 1000 galones</w:t>
            </w:r>
          </w:p>
        </w:tc>
        <w:tc>
          <w:tcPr>
            <w:tcW w:w="1067" w:type="dxa"/>
            <w:tcBorders>
              <w:top w:val="nil"/>
              <w:left w:val="nil"/>
              <w:bottom w:val="single" w:sz="4" w:space="0" w:color="auto"/>
              <w:right w:val="single" w:sz="4" w:space="0" w:color="auto"/>
            </w:tcBorders>
            <w:shd w:val="clear" w:color="auto" w:fill="auto"/>
            <w:noWrap/>
            <w:vAlign w:val="center"/>
          </w:tcPr>
          <w:p w14:paraId="1AD8FC8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TMP-4</w:t>
            </w:r>
          </w:p>
        </w:tc>
        <w:tc>
          <w:tcPr>
            <w:tcW w:w="993" w:type="dxa"/>
            <w:tcBorders>
              <w:top w:val="nil"/>
              <w:left w:val="nil"/>
              <w:bottom w:val="single" w:sz="4" w:space="0" w:color="auto"/>
              <w:right w:val="single" w:sz="4" w:space="0" w:color="auto"/>
            </w:tcBorders>
            <w:shd w:val="clear" w:color="auto" w:fill="auto"/>
            <w:noWrap/>
            <w:vAlign w:val="center"/>
          </w:tcPr>
          <w:p w14:paraId="115DA6C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p>
        </w:tc>
        <w:tc>
          <w:tcPr>
            <w:tcW w:w="992" w:type="dxa"/>
            <w:tcBorders>
              <w:top w:val="nil"/>
              <w:left w:val="nil"/>
              <w:bottom w:val="single" w:sz="4" w:space="0" w:color="auto"/>
              <w:right w:val="single" w:sz="4" w:space="0" w:color="auto"/>
            </w:tcBorders>
            <w:shd w:val="clear" w:color="auto" w:fill="auto"/>
            <w:noWrap/>
            <w:vAlign w:val="center"/>
          </w:tcPr>
          <w:p w14:paraId="50D32BC7"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50436030"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43CDE4AF"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4CCADFD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DFA4C3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64BBA2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230EC3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69E1E9F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50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p>
        </w:tc>
      </w:tr>
      <w:tr w:rsidR="00064D35" w:rsidRPr="005A7E89" w14:paraId="2885F4B4"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A8BF20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Jaraquiel-</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55CFA5DE"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CRUCE AEREO HASTA 10 M</w:t>
            </w:r>
          </w:p>
        </w:tc>
        <w:tc>
          <w:tcPr>
            <w:tcW w:w="1067" w:type="dxa"/>
            <w:tcBorders>
              <w:top w:val="nil"/>
              <w:left w:val="nil"/>
              <w:bottom w:val="single" w:sz="4" w:space="0" w:color="auto"/>
              <w:right w:val="single" w:sz="4" w:space="0" w:color="auto"/>
            </w:tcBorders>
            <w:shd w:val="clear" w:color="auto" w:fill="auto"/>
            <w:noWrap/>
            <w:vAlign w:val="center"/>
          </w:tcPr>
          <w:p w14:paraId="1A1B148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TMP-3</w:t>
            </w:r>
          </w:p>
        </w:tc>
        <w:tc>
          <w:tcPr>
            <w:tcW w:w="993" w:type="dxa"/>
            <w:tcBorders>
              <w:top w:val="nil"/>
              <w:left w:val="nil"/>
              <w:bottom w:val="single" w:sz="4" w:space="0" w:color="auto"/>
              <w:right w:val="single" w:sz="4" w:space="0" w:color="auto"/>
            </w:tcBorders>
            <w:shd w:val="clear" w:color="auto" w:fill="auto"/>
            <w:noWrap/>
            <w:vAlign w:val="center"/>
          </w:tcPr>
          <w:p w14:paraId="1BEE976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3</w:t>
            </w:r>
            <w:r w:rsidR="00376FB4">
              <w:rPr>
                <w:rFonts w:ascii="Bookman Old Style" w:hAnsi="Bookman Old Style"/>
                <w:color w:val="000000"/>
                <w:sz w:val="12"/>
                <w:szCs w:val="16"/>
              </w:rPr>
              <w:t>.</w:t>
            </w:r>
            <w:r w:rsidRPr="00865C0F">
              <w:rPr>
                <w:rFonts w:ascii="Bookman Old Style" w:hAnsi="Bookman Old Style"/>
                <w:color w:val="000000"/>
                <w:sz w:val="12"/>
                <w:szCs w:val="16"/>
              </w:rPr>
              <w:t>549</w:t>
            </w:r>
            <w:r w:rsidR="00376FB4">
              <w:rPr>
                <w:rFonts w:ascii="Bookman Old Style" w:hAnsi="Bookman Old Style"/>
                <w:color w:val="000000"/>
                <w:sz w:val="12"/>
                <w:szCs w:val="16"/>
              </w:rPr>
              <w:t>.</w:t>
            </w:r>
            <w:r w:rsidRPr="00865C0F">
              <w:rPr>
                <w:rFonts w:ascii="Bookman Old Style" w:hAnsi="Bookman Old Style"/>
                <w:color w:val="000000"/>
                <w:sz w:val="12"/>
                <w:szCs w:val="16"/>
              </w:rPr>
              <w:t>924</w:t>
            </w:r>
          </w:p>
        </w:tc>
        <w:tc>
          <w:tcPr>
            <w:tcW w:w="992" w:type="dxa"/>
            <w:tcBorders>
              <w:top w:val="nil"/>
              <w:left w:val="nil"/>
              <w:bottom w:val="single" w:sz="4" w:space="0" w:color="auto"/>
              <w:right w:val="single" w:sz="4" w:space="0" w:color="auto"/>
            </w:tcBorders>
            <w:shd w:val="clear" w:color="auto" w:fill="auto"/>
            <w:noWrap/>
            <w:vAlign w:val="center"/>
          </w:tcPr>
          <w:p w14:paraId="2B33B5B2"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79CE2EA0"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75DF9C78"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1E829A9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372259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D19FB2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8C528C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EBA9F82"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w:t>
            </w:r>
            <w:r w:rsidR="00376FB4">
              <w:rPr>
                <w:rFonts w:ascii="Bookman Old Style" w:hAnsi="Bookman Old Style"/>
                <w:color w:val="000000"/>
                <w:sz w:val="12"/>
                <w:szCs w:val="16"/>
              </w:rPr>
              <w:t>.</w:t>
            </w:r>
            <w:r w:rsidRPr="007743CF">
              <w:rPr>
                <w:rFonts w:ascii="Bookman Old Style" w:hAnsi="Bookman Old Style"/>
                <w:color w:val="000000"/>
                <w:sz w:val="12"/>
                <w:szCs w:val="16"/>
              </w:rPr>
              <w:t>549</w:t>
            </w:r>
            <w:r w:rsidR="00376FB4">
              <w:rPr>
                <w:rFonts w:ascii="Bookman Old Style" w:hAnsi="Bookman Old Style"/>
                <w:color w:val="000000"/>
                <w:sz w:val="12"/>
                <w:szCs w:val="16"/>
              </w:rPr>
              <w:t>.</w:t>
            </w:r>
            <w:r w:rsidRPr="007743CF">
              <w:rPr>
                <w:rFonts w:ascii="Bookman Old Style" w:hAnsi="Bookman Old Style"/>
                <w:color w:val="000000"/>
                <w:sz w:val="12"/>
                <w:szCs w:val="16"/>
              </w:rPr>
              <w:t>924</w:t>
            </w:r>
          </w:p>
        </w:tc>
      </w:tr>
      <w:tr w:rsidR="00064D35" w:rsidRPr="005A7E89" w14:paraId="46D8E8BC"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60952E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1EBDC2D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70E81C3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TPE3/4CO</w:t>
            </w:r>
          </w:p>
        </w:tc>
        <w:tc>
          <w:tcPr>
            <w:tcW w:w="993" w:type="dxa"/>
            <w:tcBorders>
              <w:top w:val="nil"/>
              <w:left w:val="nil"/>
              <w:bottom w:val="single" w:sz="4" w:space="0" w:color="auto"/>
              <w:right w:val="single" w:sz="4" w:space="0" w:color="auto"/>
            </w:tcBorders>
            <w:shd w:val="clear" w:color="auto" w:fill="auto"/>
            <w:noWrap/>
            <w:vAlign w:val="center"/>
          </w:tcPr>
          <w:p w14:paraId="138FB56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75</w:t>
            </w:r>
            <w:r w:rsidR="00376FB4">
              <w:rPr>
                <w:rFonts w:ascii="Bookman Old Style" w:hAnsi="Bookman Old Style"/>
                <w:color w:val="000000"/>
                <w:sz w:val="12"/>
                <w:szCs w:val="16"/>
              </w:rPr>
              <w:t>.</w:t>
            </w:r>
            <w:r w:rsidRPr="00865C0F">
              <w:rPr>
                <w:rFonts w:ascii="Bookman Old Style" w:hAnsi="Bookman Old Style"/>
                <w:color w:val="000000"/>
                <w:sz w:val="12"/>
                <w:szCs w:val="16"/>
              </w:rPr>
              <w:t>267</w:t>
            </w:r>
            <w:r w:rsidR="00376FB4">
              <w:rPr>
                <w:rFonts w:ascii="Bookman Old Style" w:hAnsi="Bookman Old Style"/>
                <w:color w:val="000000"/>
                <w:sz w:val="12"/>
                <w:szCs w:val="16"/>
              </w:rPr>
              <w:t>.</w:t>
            </w:r>
            <w:r w:rsidRPr="00865C0F">
              <w:rPr>
                <w:rFonts w:ascii="Bookman Old Style" w:hAnsi="Bookman Old Style"/>
                <w:color w:val="000000"/>
                <w:sz w:val="12"/>
                <w:szCs w:val="16"/>
              </w:rPr>
              <w:t>997</w:t>
            </w:r>
          </w:p>
        </w:tc>
        <w:tc>
          <w:tcPr>
            <w:tcW w:w="992" w:type="dxa"/>
            <w:tcBorders>
              <w:top w:val="nil"/>
              <w:left w:val="nil"/>
              <w:bottom w:val="single" w:sz="4" w:space="0" w:color="auto"/>
              <w:right w:val="single" w:sz="4" w:space="0" w:color="auto"/>
            </w:tcBorders>
            <w:shd w:val="clear" w:color="auto" w:fill="auto"/>
            <w:noWrap/>
            <w:vAlign w:val="center"/>
          </w:tcPr>
          <w:p w14:paraId="0B2F5CFB"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330EC8E0"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93CFBF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873</w:t>
            </w:r>
          </w:p>
        </w:tc>
        <w:tc>
          <w:tcPr>
            <w:tcW w:w="426" w:type="dxa"/>
            <w:tcBorders>
              <w:top w:val="nil"/>
              <w:left w:val="nil"/>
              <w:bottom w:val="single" w:sz="4" w:space="0" w:color="auto"/>
              <w:right w:val="single" w:sz="4" w:space="0" w:color="auto"/>
            </w:tcBorders>
            <w:shd w:val="clear" w:color="auto" w:fill="auto"/>
            <w:noWrap/>
            <w:vAlign w:val="center"/>
          </w:tcPr>
          <w:p w14:paraId="139BDEB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DBD03F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74D74D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187533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F901DED"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65</w:t>
            </w:r>
            <w:r w:rsidR="00376FB4">
              <w:rPr>
                <w:rFonts w:ascii="Bookman Old Style" w:hAnsi="Bookman Old Style"/>
                <w:color w:val="000000"/>
                <w:sz w:val="12"/>
                <w:szCs w:val="16"/>
              </w:rPr>
              <w:t>.</w:t>
            </w:r>
            <w:r w:rsidRPr="007743CF">
              <w:rPr>
                <w:rFonts w:ascii="Bookman Old Style" w:hAnsi="Bookman Old Style"/>
                <w:color w:val="000000"/>
                <w:sz w:val="12"/>
                <w:szCs w:val="16"/>
              </w:rPr>
              <w:t>708</w:t>
            </w:r>
            <w:r w:rsidR="00376FB4">
              <w:rPr>
                <w:rFonts w:ascii="Bookman Old Style" w:hAnsi="Bookman Old Style"/>
                <w:color w:val="000000"/>
                <w:sz w:val="12"/>
                <w:szCs w:val="16"/>
              </w:rPr>
              <w:t>.</w:t>
            </w:r>
            <w:r w:rsidRPr="007743CF">
              <w:rPr>
                <w:rFonts w:ascii="Bookman Old Style" w:hAnsi="Bookman Old Style"/>
                <w:color w:val="000000"/>
                <w:sz w:val="12"/>
                <w:szCs w:val="16"/>
              </w:rPr>
              <w:t>961</w:t>
            </w:r>
          </w:p>
        </w:tc>
      </w:tr>
      <w:tr w:rsidR="00064D35" w:rsidRPr="005A7E89" w14:paraId="2993E366"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A6553C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6C4AFCAF"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13CCC328"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TPE1CO</w:t>
            </w:r>
          </w:p>
        </w:tc>
        <w:tc>
          <w:tcPr>
            <w:tcW w:w="993" w:type="dxa"/>
            <w:tcBorders>
              <w:top w:val="nil"/>
              <w:left w:val="nil"/>
              <w:bottom w:val="single" w:sz="4" w:space="0" w:color="auto"/>
              <w:right w:val="single" w:sz="4" w:space="0" w:color="auto"/>
            </w:tcBorders>
            <w:shd w:val="clear" w:color="auto" w:fill="auto"/>
            <w:noWrap/>
            <w:vAlign w:val="center"/>
          </w:tcPr>
          <w:p w14:paraId="3167997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77</w:t>
            </w:r>
            <w:r w:rsidR="00376FB4">
              <w:rPr>
                <w:rFonts w:ascii="Bookman Old Style" w:hAnsi="Bookman Old Style"/>
                <w:color w:val="000000"/>
                <w:sz w:val="12"/>
                <w:szCs w:val="16"/>
              </w:rPr>
              <w:t>.</w:t>
            </w:r>
            <w:r w:rsidRPr="00865C0F">
              <w:rPr>
                <w:rFonts w:ascii="Bookman Old Style" w:hAnsi="Bookman Old Style"/>
                <w:color w:val="000000"/>
                <w:sz w:val="12"/>
                <w:szCs w:val="16"/>
              </w:rPr>
              <w:t>818</w:t>
            </w:r>
            <w:r w:rsidR="00376FB4">
              <w:rPr>
                <w:rFonts w:ascii="Bookman Old Style" w:hAnsi="Bookman Old Style"/>
                <w:color w:val="000000"/>
                <w:sz w:val="12"/>
                <w:szCs w:val="16"/>
              </w:rPr>
              <w:t>.</w:t>
            </w:r>
            <w:r w:rsidRPr="00865C0F">
              <w:rPr>
                <w:rFonts w:ascii="Bookman Old Style" w:hAnsi="Bookman Old Style"/>
                <w:color w:val="000000"/>
                <w:sz w:val="12"/>
                <w:szCs w:val="16"/>
              </w:rPr>
              <w:t>615</w:t>
            </w:r>
          </w:p>
        </w:tc>
        <w:tc>
          <w:tcPr>
            <w:tcW w:w="992" w:type="dxa"/>
            <w:tcBorders>
              <w:top w:val="nil"/>
              <w:left w:val="nil"/>
              <w:bottom w:val="single" w:sz="4" w:space="0" w:color="auto"/>
              <w:right w:val="single" w:sz="4" w:space="0" w:color="auto"/>
            </w:tcBorders>
            <w:shd w:val="clear" w:color="auto" w:fill="auto"/>
            <w:noWrap/>
            <w:vAlign w:val="center"/>
          </w:tcPr>
          <w:p w14:paraId="6E7846F2"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7469965"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0A77655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357</w:t>
            </w:r>
          </w:p>
        </w:tc>
        <w:tc>
          <w:tcPr>
            <w:tcW w:w="426" w:type="dxa"/>
            <w:tcBorders>
              <w:top w:val="nil"/>
              <w:left w:val="nil"/>
              <w:bottom w:val="single" w:sz="4" w:space="0" w:color="auto"/>
              <w:right w:val="single" w:sz="4" w:space="0" w:color="auto"/>
            </w:tcBorders>
            <w:shd w:val="clear" w:color="auto" w:fill="auto"/>
            <w:noWrap/>
            <w:vAlign w:val="center"/>
          </w:tcPr>
          <w:p w14:paraId="2176EC6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A572D2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D6C7BA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5CF7B0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3AF5D1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27</w:t>
            </w:r>
            <w:r w:rsidR="00376FB4">
              <w:rPr>
                <w:rFonts w:ascii="Bookman Old Style" w:hAnsi="Bookman Old Style"/>
                <w:color w:val="000000"/>
                <w:sz w:val="12"/>
                <w:szCs w:val="16"/>
              </w:rPr>
              <w:t>.</w:t>
            </w:r>
            <w:r w:rsidRPr="007743CF">
              <w:rPr>
                <w:rFonts w:ascii="Bookman Old Style" w:hAnsi="Bookman Old Style"/>
                <w:color w:val="000000"/>
                <w:sz w:val="12"/>
                <w:szCs w:val="16"/>
              </w:rPr>
              <w:t>781</w:t>
            </w:r>
            <w:r w:rsidR="00376FB4">
              <w:rPr>
                <w:rFonts w:ascii="Bookman Old Style" w:hAnsi="Bookman Old Style"/>
                <w:color w:val="000000"/>
                <w:sz w:val="12"/>
                <w:szCs w:val="16"/>
              </w:rPr>
              <w:t>.</w:t>
            </w:r>
            <w:r w:rsidRPr="007743CF">
              <w:rPr>
                <w:rFonts w:ascii="Bookman Old Style" w:hAnsi="Bookman Old Style"/>
                <w:color w:val="000000"/>
                <w:sz w:val="12"/>
                <w:szCs w:val="16"/>
              </w:rPr>
              <w:t>246</w:t>
            </w:r>
          </w:p>
        </w:tc>
      </w:tr>
      <w:tr w:rsidR="00064D35" w:rsidRPr="005A7E89" w14:paraId="52E9461F"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9878D0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50394E1B"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41764D7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TPE2CO</w:t>
            </w:r>
          </w:p>
        </w:tc>
        <w:tc>
          <w:tcPr>
            <w:tcW w:w="993" w:type="dxa"/>
            <w:tcBorders>
              <w:top w:val="nil"/>
              <w:left w:val="nil"/>
              <w:bottom w:val="single" w:sz="4" w:space="0" w:color="auto"/>
              <w:right w:val="single" w:sz="4" w:space="0" w:color="auto"/>
            </w:tcBorders>
            <w:shd w:val="clear" w:color="auto" w:fill="auto"/>
            <w:noWrap/>
            <w:vAlign w:val="center"/>
          </w:tcPr>
          <w:p w14:paraId="7287423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88</w:t>
            </w:r>
            <w:r w:rsidR="00376FB4">
              <w:rPr>
                <w:rFonts w:ascii="Bookman Old Style" w:hAnsi="Bookman Old Style"/>
                <w:color w:val="000000"/>
                <w:sz w:val="12"/>
                <w:szCs w:val="16"/>
              </w:rPr>
              <w:t>.</w:t>
            </w:r>
            <w:r w:rsidRPr="00865C0F">
              <w:rPr>
                <w:rFonts w:ascii="Bookman Old Style" w:hAnsi="Bookman Old Style"/>
                <w:color w:val="000000"/>
                <w:sz w:val="12"/>
                <w:szCs w:val="16"/>
              </w:rPr>
              <w:t>937</w:t>
            </w:r>
            <w:r w:rsidR="00376FB4">
              <w:rPr>
                <w:rFonts w:ascii="Bookman Old Style" w:hAnsi="Bookman Old Style"/>
                <w:color w:val="000000"/>
                <w:sz w:val="12"/>
                <w:szCs w:val="16"/>
              </w:rPr>
              <w:t>.</w:t>
            </w:r>
            <w:r w:rsidRPr="00865C0F">
              <w:rPr>
                <w:rFonts w:ascii="Bookman Old Style" w:hAnsi="Bookman Old Style"/>
                <w:color w:val="000000"/>
                <w:sz w:val="12"/>
                <w:szCs w:val="16"/>
              </w:rPr>
              <w:t>391</w:t>
            </w:r>
          </w:p>
        </w:tc>
        <w:tc>
          <w:tcPr>
            <w:tcW w:w="992" w:type="dxa"/>
            <w:tcBorders>
              <w:top w:val="nil"/>
              <w:left w:val="nil"/>
              <w:bottom w:val="single" w:sz="4" w:space="0" w:color="auto"/>
              <w:right w:val="single" w:sz="4" w:space="0" w:color="auto"/>
            </w:tcBorders>
            <w:shd w:val="clear" w:color="auto" w:fill="auto"/>
            <w:noWrap/>
            <w:vAlign w:val="center"/>
          </w:tcPr>
          <w:p w14:paraId="4A036230"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EDAA62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2525E4E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69</w:t>
            </w:r>
          </w:p>
        </w:tc>
        <w:tc>
          <w:tcPr>
            <w:tcW w:w="426" w:type="dxa"/>
            <w:tcBorders>
              <w:top w:val="nil"/>
              <w:left w:val="nil"/>
              <w:bottom w:val="single" w:sz="4" w:space="0" w:color="auto"/>
              <w:right w:val="single" w:sz="4" w:space="0" w:color="auto"/>
            </w:tcBorders>
            <w:shd w:val="clear" w:color="auto" w:fill="auto"/>
            <w:noWrap/>
            <w:vAlign w:val="center"/>
          </w:tcPr>
          <w:p w14:paraId="39CBB37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6B0702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9CBBAD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7CCDF0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9948CC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61</w:t>
            </w:r>
            <w:r w:rsidR="00376FB4">
              <w:rPr>
                <w:rFonts w:ascii="Bookman Old Style" w:hAnsi="Bookman Old Style"/>
                <w:color w:val="000000"/>
                <w:sz w:val="12"/>
                <w:szCs w:val="16"/>
              </w:rPr>
              <w:t>.</w:t>
            </w:r>
            <w:r w:rsidRPr="007743CF">
              <w:rPr>
                <w:rFonts w:ascii="Bookman Old Style" w:hAnsi="Bookman Old Style"/>
                <w:color w:val="000000"/>
                <w:sz w:val="12"/>
                <w:szCs w:val="16"/>
              </w:rPr>
              <w:t>366</w:t>
            </w:r>
            <w:r w:rsidR="00376FB4">
              <w:rPr>
                <w:rFonts w:ascii="Bookman Old Style" w:hAnsi="Bookman Old Style"/>
                <w:color w:val="000000"/>
                <w:sz w:val="12"/>
                <w:szCs w:val="16"/>
              </w:rPr>
              <w:t>.</w:t>
            </w:r>
            <w:r w:rsidRPr="007743CF">
              <w:rPr>
                <w:rFonts w:ascii="Bookman Old Style" w:hAnsi="Bookman Old Style"/>
                <w:color w:val="000000"/>
                <w:sz w:val="12"/>
                <w:szCs w:val="16"/>
              </w:rPr>
              <w:t>800</w:t>
            </w:r>
          </w:p>
        </w:tc>
      </w:tr>
      <w:tr w:rsidR="00064D35" w:rsidRPr="005A7E89" w14:paraId="47076633"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A33E41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13C2DFA4"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360A456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431594C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53</w:t>
            </w:r>
            <w:r w:rsidR="00376FB4">
              <w:rPr>
                <w:rFonts w:ascii="Bookman Old Style" w:hAnsi="Bookman Old Style"/>
                <w:color w:val="000000"/>
                <w:sz w:val="12"/>
                <w:szCs w:val="16"/>
              </w:rPr>
              <w:t>.</w:t>
            </w:r>
            <w:r w:rsidRPr="00865C0F">
              <w:rPr>
                <w:rFonts w:ascii="Bookman Old Style" w:hAnsi="Bookman Old Style"/>
                <w:color w:val="000000"/>
                <w:sz w:val="12"/>
                <w:szCs w:val="16"/>
              </w:rPr>
              <w:t>097</w:t>
            </w:r>
            <w:r w:rsidR="00376FB4">
              <w:rPr>
                <w:rFonts w:ascii="Bookman Old Style" w:hAnsi="Bookman Old Style"/>
                <w:color w:val="000000"/>
                <w:sz w:val="12"/>
                <w:szCs w:val="16"/>
              </w:rPr>
              <w:t>.</w:t>
            </w:r>
            <w:r w:rsidRPr="00865C0F">
              <w:rPr>
                <w:rFonts w:ascii="Bookman Old Style" w:hAnsi="Bookman Old Style"/>
                <w:color w:val="000000"/>
                <w:sz w:val="12"/>
                <w:szCs w:val="16"/>
              </w:rPr>
              <w:t>313</w:t>
            </w:r>
          </w:p>
        </w:tc>
        <w:tc>
          <w:tcPr>
            <w:tcW w:w="992" w:type="dxa"/>
            <w:tcBorders>
              <w:top w:val="nil"/>
              <w:left w:val="nil"/>
              <w:bottom w:val="single" w:sz="4" w:space="0" w:color="auto"/>
              <w:right w:val="single" w:sz="4" w:space="0" w:color="auto"/>
            </w:tcBorders>
            <w:shd w:val="clear" w:color="auto" w:fill="auto"/>
            <w:noWrap/>
            <w:vAlign w:val="center"/>
          </w:tcPr>
          <w:p w14:paraId="2DF962A5"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34A314D"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0523D40"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724</w:t>
            </w:r>
          </w:p>
        </w:tc>
        <w:tc>
          <w:tcPr>
            <w:tcW w:w="426" w:type="dxa"/>
            <w:tcBorders>
              <w:top w:val="nil"/>
              <w:left w:val="nil"/>
              <w:bottom w:val="single" w:sz="4" w:space="0" w:color="auto"/>
              <w:right w:val="single" w:sz="4" w:space="0" w:color="auto"/>
            </w:tcBorders>
            <w:shd w:val="clear" w:color="auto" w:fill="auto"/>
            <w:noWrap/>
            <w:vAlign w:val="center"/>
          </w:tcPr>
          <w:p w14:paraId="4E0497C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13F1A0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CD6B15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35D7FC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4FB4809"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38</w:t>
            </w:r>
            <w:r w:rsidR="00376FB4">
              <w:rPr>
                <w:rFonts w:ascii="Bookman Old Style" w:hAnsi="Bookman Old Style"/>
                <w:color w:val="000000"/>
                <w:sz w:val="12"/>
                <w:szCs w:val="16"/>
              </w:rPr>
              <w:t>.</w:t>
            </w:r>
            <w:r w:rsidRPr="007743CF">
              <w:rPr>
                <w:rFonts w:ascii="Bookman Old Style" w:hAnsi="Bookman Old Style"/>
                <w:color w:val="000000"/>
                <w:sz w:val="12"/>
                <w:szCs w:val="16"/>
              </w:rPr>
              <w:t>442</w:t>
            </w:r>
            <w:r w:rsidR="00376FB4">
              <w:rPr>
                <w:rFonts w:ascii="Bookman Old Style" w:hAnsi="Bookman Old Style"/>
                <w:color w:val="000000"/>
                <w:sz w:val="12"/>
                <w:szCs w:val="16"/>
              </w:rPr>
              <w:t>.</w:t>
            </w:r>
            <w:r w:rsidRPr="007743CF">
              <w:rPr>
                <w:rFonts w:ascii="Bookman Old Style" w:hAnsi="Bookman Old Style"/>
                <w:color w:val="000000"/>
                <w:sz w:val="12"/>
                <w:szCs w:val="16"/>
              </w:rPr>
              <w:t>454</w:t>
            </w:r>
          </w:p>
        </w:tc>
      </w:tr>
      <w:tr w:rsidR="00064D35" w:rsidRPr="005A7E89" w14:paraId="1144DA81"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1E87FB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4F77F9AD"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Andén Tableta, Baldosín, Gravilla</w:t>
            </w:r>
          </w:p>
        </w:tc>
        <w:tc>
          <w:tcPr>
            <w:tcW w:w="1067" w:type="dxa"/>
            <w:tcBorders>
              <w:top w:val="nil"/>
              <w:left w:val="nil"/>
              <w:bottom w:val="single" w:sz="4" w:space="0" w:color="auto"/>
              <w:right w:val="single" w:sz="4" w:space="0" w:color="auto"/>
            </w:tcBorders>
            <w:shd w:val="clear" w:color="auto" w:fill="auto"/>
            <w:noWrap/>
            <w:vAlign w:val="center"/>
          </w:tcPr>
          <w:p w14:paraId="48B2412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TPE3/4TA</w:t>
            </w:r>
          </w:p>
        </w:tc>
        <w:tc>
          <w:tcPr>
            <w:tcW w:w="993" w:type="dxa"/>
            <w:tcBorders>
              <w:top w:val="nil"/>
              <w:left w:val="nil"/>
              <w:bottom w:val="single" w:sz="4" w:space="0" w:color="auto"/>
              <w:right w:val="single" w:sz="4" w:space="0" w:color="auto"/>
            </w:tcBorders>
            <w:shd w:val="clear" w:color="auto" w:fill="auto"/>
            <w:noWrap/>
            <w:vAlign w:val="center"/>
          </w:tcPr>
          <w:p w14:paraId="797A8E2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56</w:t>
            </w:r>
            <w:r w:rsidR="00376FB4">
              <w:rPr>
                <w:rFonts w:ascii="Bookman Old Style" w:hAnsi="Bookman Old Style"/>
                <w:color w:val="000000"/>
                <w:sz w:val="12"/>
                <w:szCs w:val="16"/>
              </w:rPr>
              <w:t>.</w:t>
            </w:r>
            <w:r w:rsidRPr="00865C0F">
              <w:rPr>
                <w:rFonts w:ascii="Bookman Old Style" w:hAnsi="Bookman Old Style"/>
                <w:color w:val="000000"/>
                <w:sz w:val="12"/>
                <w:szCs w:val="16"/>
              </w:rPr>
              <w:t>166</w:t>
            </w:r>
            <w:r w:rsidR="00376FB4">
              <w:rPr>
                <w:rFonts w:ascii="Bookman Old Style" w:hAnsi="Bookman Old Style"/>
                <w:color w:val="000000"/>
                <w:sz w:val="12"/>
                <w:szCs w:val="16"/>
              </w:rPr>
              <w:t>.</w:t>
            </w:r>
            <w:r w:rsidRPr="00865C0F">
              <w:rPr>
                <w:rFonts w:ascii="Bookman Old Style" w:hAnsi="Bookman Old Style"/>
                <w:color w:val="000000"/>
                <w:sz w:val="12"/>
                <w:szCs w:val="16"/>
              </w:rPr>
              <w:t>218</w:t>
            </w:r>
          </w:p>
        </w:tc>
        <w:tc>
          <w:tcPr>
            <w:tcW w:w="992" w:type="dxa"/>
            <w:tcBorders>
              <w:top w:val="nil"/>
              <w:left w:val="nil"/>
              <w:bottom w:val="single" w:sz="4" w:space="0" w:color="auto"/>
              <w:right w:val="single" w:sz="4" w:space="0" w:color="auto"/>
            </w:tcBorders>
            <w:shd w:val="clear" w:color="auto" w:fill="auto"/>
            <w:noWrap/>
            <w:vAlign w:val="center"/>
          </w:tcPr>
          <w:p w14:paraId="6DAD0460"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218DC15A"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63F518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5</w:t>
            </w:r>
          </w:p>
        </w:tc>
        <w:tc>
          <w:tcPr>
            <w:tcW w:w="426" w:type="dxa"/>
            <w:tcBorders>
              <w:top w:val="nil"/>
              <w:left w:val="nil"/>
              <w:bottom w:val="single" w:sz="4" w:space="0" w:color="auto"/>
              <w:right w:val="single" w:sz="4" w:space="0" w:color="auto"/>
            </w:tcBorders>
            <w:shd w:val="clear" w:color="auto" w:fill="auto"/>
            <w:noWrap/>
            <w:vAlign w:val="center"/>
          </w:tcPr>
          <w:p w14:paraId="56271B2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5499E1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442493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DFFCF0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39B5DF50"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28</w:t>
            </w:r>
            <w:r w:rsidR="00376FB4">
              <w:rPr>
                <w:rFonts w:ascii="Bookman Old Style" w:hAnsi="Bookman Old Style"/>
                <w:color w:val="000000"/>
                <w:sz w:val="12"/>
                <w:szCs w:val="16"/>
              </w:rPr>
              <w:t>.</w:t>
            </w:r>
            <w:r w:rsidRPr="007743CF">
              <w:rPr>
                <w:rFonts w:ascii="Bookman Old Style" w:hAnsi="Bookman Old Style"/>
                <w:color w:val="000000"/>
                <w:sz w:val="12"/>
                <w:szCs w:val="16"/>
              </w:rPr>
              <w:t>083</w:t>
            </w:r>
            <w:r w:rsidR="00376FB4">
              <w:rPr>
                <w:rFonts w:ascii="Bookman Old Style" w:hAnsi="Bookman Old Style"/>
                <w:color w:val="000000"/>
                <w:sz w:val="12"/>
                <w:szCs w:val="16"/>
              </w:rPr>
              <w:t>.</w:t>
            </w:r>
            <w:r w:rsidRPr="007743CF">
              <w:rPr>
                <w:rFonts w:ascii="Bookman Old Style" w:hAnsi="Bookman Old Style"/>
                <w:color w:val="000000"/>
                <w:sz w:val="12"/>
                <w:szCs w:val="16"/>
              </w:rPr>
              <w:t>109</w:t>
            </w:r>
          </w:p>
        </w:tc>
      </w:tr>
      <w:tr w:rsidR="00064D35" w:rsidRPr="005A7E89" w14:paraId="45318ED3"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97F438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424F7D5F"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7E8976B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7A9CE03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19</w:t>
            </w:r>
            <w:r w:rsidR="00376FB4">
              <w:rPr>
                <w:rFonts w:ascii="Bookman Old Style" w:hAnsi="Bookman Old Style"/>
                <w:color w:val="000000"/>
                <w:sz w:val="12"/>
                <w:szCs w:val="16"/>
              </w:rPr>
              <w:t>.</w:t>
            </w:r>
            <w:r w:rsidRPr="00865C0F">
              <w:rPr>
                <w:rFonts w:ascii="Bookman Old Style" w:hAnsi="Bookman Old Style"/>
                <w:color w:val="000000"/>
                <w:sz w:val="12"/>
                <w:szCs w:val="16"/>
              </w:rPr>
              <w:t>416</w:t>
            </w:r>
            <w:r w:rsidR="00376FB4">
              <w:rPr>
                <w:rFonts w:ascii="Bookman Old Style" w:hAnsi="Bookman Old Style"/>
                <w:color w:val="000000"/>
                <w:sz w:val="12"/>
                <w:szCs w:val="16"/>
              </w:rPr>
              <w:t>.</w:t>
            </w:r>
            <w:r w:rsidRPr="00865C0F">
              <w:rPr>
                <w:rFonts w:ascii="Bookman Old Style" w:hAnsi="Bookman Old Style"/>
                <w:color w:val="000000"/>
                <w:sz w:val="12"/>
                <w:szCs w:val="16"/>
              </w:rPr>
              <w:t>540</w:t>
            </w:r>
          </w:p>
        </w:tc>
        <w:tc>
          <w:tcPr>
            <w:tcW w:w="992" w:type="dxa"/>
            <w:tcBorders>
              <w:top w:val="nil"/>
              <w:left w:val="nil"/>
              <w:bottom w:val="single" w:sz="4" w:space="0" w:color="auto"/>
              <w:right w:val="single" w:sz="4" w:space="0" w:color="auto"/>
            </w:tcBorders>
            <w:shd w:val="clear" w:color="auto" w:fill="auto"/>
            <w:noWrap/>
            <w:vAlign w:val="center"/>
          </w:tcPr>
          <w:p w14:paraId="6F536B2F"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E43E0F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3D1B079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4</w:t>
            </w:r>
            <w:r w:rsidR="000A3D5F">
              <w:rPr>
                <w:rFonts w:ascii="Bookman Old Style" w:hAnsi="Bookman Old Style"/>
                <w:color w:val="000000"/>
                <w:sz w:val="12"/>
                <w:szCs w:val="16"/>
              </w:rPr>
              <w:t>,</w:t>
            </w:r>
            <w:r w:rsidRPr="007743CF">
              <w:rPr>
                <w:rFonts w:ascii="Bookman Old Style" w:hAnsi="Bookman Old Style"/>
                <w:color w:val="000000"/>
                <w:sz w:val="12"/>
                <w:szCs w:val="16"/>
              </w:rPr>
              <w:t>92</w:t>
            </w:r>
          </w:p>
        </w:tc>
        <w:tc>
          <w:tcPr>
            <w:tcW w:w="426" w:type="dxa"/>
            <w:tcBorders>
              <w:top w:val="nil"/>
              <w:left w:val="nil"/>
              <w:bottom w:val="single" w:sz="4" w:space="0" w:color="auto"/>
              <w:right w:val="single" w:sz="4" w:space="0" w:color="auto"/>
            </w:tcBorders>
            <w:shd w:val="clear" w:color="auto" w:fill="auto"/>
            <w:noWrap/>
            <w:vAlign w:val="center"/>
          </w:tcPr>
          <w:p w14:paraId="50FE7F1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E5FB79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9138C0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DEEBBE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AABA04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95</w:t>
            </w:r>
            <w:r w:rsidR="00376FB4">
              <w:rPr>
                <w:rFonts w:ascii="Bookman Old Style" w:hAnsi="Bookman Old Style"/>
                <w:color w:val="000000"/>
                <w:sz w:val="12"/>
                <w:szCs w:val="16"/>
              </w:rPr>
              <w:t>.</w:t>
            </w:r>
            <w:r w:rsidRPr="007743CF">
              <w:rPr>
                <w:rFonts w:ascii="Bookman Old Style" w:hAnsi="Bookman Old Style"/>
                <w:color w:val="000000"/>
                <w:sz w:val="12"/>
                <w:szCs w:val="16"/>
              </w:rPr>
              <w:t>529</w:t>
            </w:r>
            <w:r w:rsidR="00376FB4">
              <w:rPr>
                <w:rFonts w:ascii="Bookman Old Style" w:hAnsi="Bookman Old Style"/>
                <w:color w:val="000000"/>
                <w:sz w:val="12"/>
                <w:szCs w:val="16"/>
              </w:rPr>
              <w:t>.</w:t>
            </w:r>
            <w:r w:rsidRPr="007743CF">
              <w:rPr>
                <w:rFonts w:ascii="Bookman Old Style" w:hAnsi="Bookman Old Style"/>
                <w:color w:val="000000"/>
                <w:sz w:val="12"/>
                <w:szCs w:val="16"/>
              </w:rPr>
              <w:t>378</w:t>
            </w:r>
          </w:p>
        </w:tc>
      </w:tr>
      <w:tr w:rsidR="00064D35" w:rsidRPr="005A7E89" w14:paraId="60FFB21A"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941213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72A4691C"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tcPr>
          <w:p w14:paraId="28615C7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TPE1ZV</w:t>
            </w:r>
          </w:p>
        </w:tc>
        <w:tc>
          <w:tcPr>
            <w:tcW w:w="993" w:type="dxa"/>
            <w:tcBorders>
              <w:top w:val="nil"/>
              <w:left w:val="nil"/>
              <w:bottom w:val="single" w:sz="4" w:space="0" w:color="auto"/>
              <w:right w:val="single" w:sz="4" w:space="0" w:color="auto"/>
            </w:tcBorders>
            <w:shd w:val="clear" w:color="auto" w:fill="auto"/>
            <w:noWrap/>
            <w:vAlign w:val="center"/>
          </w:tcPr>
          <w:p w14:paraId="3A2546D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22</w:t>
            </w:r>
            <w:r w:rsidR="00376FB4">
              <w:rPr>
                <w:rFonts w:ascii="Bookman Old Style" w:hAnsi="Bookman Old Style"/>
                <w:color w:val="000000"/>
                <w:sz w:val="12"/>
                <w:szCs w:val="16"/>
              </w:rPr>
              <w:t>.</w:t>
            </w:r>
            <w:r w:rsidRPr="00865C0F">
              <w:rPr>
                <w:rFonts w:ascii="Bookman Old Style" w:hAnsi="Bookman Old Style"/>
                <w:color w:val="000000"/>
                <w:sz w:val="12"/>
                <w:szCs w:val="16"/>
              </w:rPr>
              <w:t>117</w:t>
            </w:r>
            <w:r w:rsidR="00376FB4">
              <w:rPr>
                <w:rFonts w:ascii="Bookman Old Style" w:hAnsi="Bookman Old Style"/>
                <w:color w:val="000000"/>
                <w:sz w:val="12"/>
                <w:szCs w:val="16"/>
              </w:rPr>
              <w:t>.</w:t>
            </w:r>
            <w:r w:rsidRPr="00865C0F">
              <w:rPr>
                <w:rFonts w:ascii="Bookman Old Style" w:hAnsi="Bookman Old Style"/>
                <w:color w:val="000000"/>
                <w:sz w:val="12"/>
                <w:szCs w:val="16"/>
              </w:rPr>
              <w:t>674</w:t>
            </w:r>
          </w:p>
        </w:tc>
        <w:tc>
          <w:tcPr>
            <w:tcW w:w="992" w:type="dxa"/>
            <w:tcBorders>
              <w:top w:val="nil"/>
              <w:left w:val="nil"/>
              <w:bottom w:val="single" w:sz="4" w:space="0" w:color="auto"/>
              <w:right w:val="single" w:sz="4" w:space="0" w:color="auto"/>
            </w:tcBorders>
            <w:shd w:val="clear" w:color="auto" w:fill="auto"/>
            <w:noWrap/>
            <w:vAlign w:val="center"/>
          </w:tcPr>
          <w:p w14:paraId="431B07AF"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F02A827"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23F9C95F"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869</w:t>
            </w:r>
          </w:p>
        </w:tc>
        <w:tc>
          <w:tcPr>
            <w:tcW w:w="426" w:type="dxa"/>
            <w:tcBorders>
              <w:top w:val="nil"/>
              <w:left w:val="nil"/>
              <w:bottom w:val="single" w:sz="4" w:space="0" w:color="auto"/>
              <w:right w:val="single" w:sz="4" w:space="0" w:color="auto"/>
            </w:tcBorders>
            <w:shd w:val="clear" w:color="auto" w:fill="auto"/>
            <w:noWrap/>
            <w:vAlign w:val="center"/>
          </w:tcPr>
          <w:p w14:paraId="40AEF5E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31BDE0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F21A73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9186EF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96634A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19</w:t>
            </w:r>
            <w:r w:rsidR="00376FB4">
              <w:rPr>
                <w:rFonts w:ascii="Bookman Old Style" w:hAnsi="Bookman Old Style"/>
                <w:color w:val="000000"/>
                <w:sz w:val="12"/>
                <w:szCs w:val="16"/>
              </w:rPr>
              <w:t>.</w:t>
            </w:r>
            <w:r w:rsidRPr="007743CF">
              <w:rPr>
                <w:rFonts w:ascii="Bookman Old Style" w:hAnsi="Bookman Old Style"/>
                <w:color w:val="000000"/>
                <w:sz w:val="12"/>
                <w:szCs w:val="16"/>
              </w:rPr>
              <w:t>220</w:t>
            </w:r>
            <w:r w:rsidR="00376FB4">
              <w:rPr>
                <w:rFonts w:ascii="Bookman Old Style" w:hAnsi="Bookman Old Style"/>
                <w:color w:val="000000"/>
                <w:sz w:val="12"/>
                <w:szCs w:val="16"/>
              </w:rPr>
              <w:t>.</w:t>
            </w:r>
            <w:r w:rsidRPr="007743CF">
              <w:rPr>
                <w:rFonts w:ascii="Bookman Old Style" w:hAnsi="Bookman Old Style"/>
                <w:color w:val="000000"/>
                <w:sz w:val="12"/>
                <w:szCs w:val="16"/>
              </w:rPr>
              <w:t>259</w:t>
            </w:r>
          </w:p>
        </w:tc>
      </w:tr>
      <w:tr w:rsidR="00064D35" w:rsidRPr="005A7E89" w14:paraId="1091BE32"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C6086F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Sierra Chiquita-</w:t>
            </w:r>
            <w:r w:rsidR="00505C1E">
              <w:rPr>
                <w:rFonts w:ascii="Bookman Old Style" w:hAnsi="Bookman Old Style"/>
                <w:color w:val="000000"/>
                <w:sz w:val="12"/>
                <w:szCs w:val="16"/>
              </w:rPr>
              <w:t>Montería-Córdoba</w:t>
            </w:r>
          </w:p>
        </w:tc>
        <w:tc>
          <w:tcPr>
            <w:tcW w:w="1342" w:type="dxa"/>
            <w:tcBorders>
              <w:top w:val="nil"/>
              <w:left w:val="nil"/>
              <w:bottom w:val="single" w:sz="4" w:space="0" w:color="auto"/>
              <w:right w:val="single" w:sz="4" w:space="0" w:color="auto"/>
            </w:tcBorders>
            <w:shd w:val="clear" w:color="auto" w:fill="auto"/>
            <w:noWrap/>
            <w:vAlign w:val="bottom"/>
          </w:tcPr>
          <w:p w14:paraId="2E2633FB"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EGLP2000 Estacion GLP de 2000 Galones</w:t>
            </w:r>
          </w:p>
        </w:tc>
        <w:tc>
          <w:tcPr>
            <w:tcW w:w="1067" w:type="dxa"/>
            <w:tcBorders>
              <w:top w:val="nil"/>
              <w:left w:val="nil"/>
              <w:bottom w:val="single" w:sz="4" w:space="0" w:color="auto"/>
              <w:right w:val="single" w:sz="4" w:space="0" w:color="auto"/>
            </w:tcBorders>
            <w:shd w:val="clear" w:color="auto" w:fill="auto"/>
            <w:noWrap/>
            <w:vAlign w:val="center"/>
          </w:tcPr>
          <w:p w14:paraId="0AA4E8E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TMP-4</w:t>
            </w:r>
          </w:p>
        </w:tc>
        <w:tc>
          <w:tcPr>
            <w:tcW w:w="993" w:type="dxa"/>
            <w:tcBorders>
              <w:top w:val="nil"/>
              <w:left w:val="nil"/>
              <w:bottom w:val="single" w:sz="4" w:space="0" w:color="auto"/>
              <w:right w:val="single" w:sz="4" w:space="0" w:color="auto"/>
            </w:tcBorders>
            <w:shd w:val="clear" w:color="auto" w:fill="auto"/>
            <w:noWrap/>
            <w:vAlign w:val="center"/>
          </w:tcPr>
          <w:p w14:paraId="7387625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120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p>
        </w:tc>
        <w:tc>
          <w:tcPr>
            <w:tcW w:w="992" w:type="dxa"/>
            <w:tcBorders>
              <w:top w:val="nil"/>
              <w:left w:val="nil"/>
              <w:bottom w:val="single" w:sz="4" w:space="0" w:color="auto"/>
              <w:right w:val="single" w:sz="4" w:space="0" w:color="auto"/>
            </w:tcBorders>
            <w:shd w:val="clear" w:color="auto" w:fill="auto"/>
            <w:noWrap/>
            <w:vAlign w:val="center"/>
          </w:tcPr>
          <w:p w14:paraId="2BD3C86B"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76BC889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9D1BD69"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3E5C3EF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3E91B3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0C60CB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8E3569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47DFE4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120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p>
        </w:tc>
      </w:tr>
      <w:tr w:rsidR="00064D35" w:rsidRPr="005A7E89" w14:paraId="64FB8674"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23A3F0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4F91F372"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2D3543D1"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TPE3/4CO</w:t>
            </w:r>
          </w:p>
        </w:tc>
        <w:tc>
          <w:tcPr>
            <w:tcW w:w="993" w:type="dxa"/>
            <w:tcBorders>
              <w:top w:val="nil"/>
              <w:left w:val="nil"/>
              <w:bottom w:val="single" w:sz="4" w:space="0" w:color="auto"/>
              <w:right w:val="single" w:sz="4" w:space="0" w:color="auto"/>
            </w:tcBorders>
            <w:shd w:val="clear" w:color="auto" w:fill="auto"/>
            <w:noWrap/>
            <w:vAlign w:val="center"/>
          </w:tcPr>
          <w:p w14:paraId="6F7775E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75</w:t>
            </w:r>
            <w:r w:rsidR="00376FB4">
              <w:rPr>
                <w:rFonts w:ascii="Bookman Old Style" w:hAnsi="Bookman Old Style"/>
                <w:color w:val="000000"/>
                <w:sz w:val="12"/>
                <w:szCs w:val="16"/>
              </w:rPr>
              <w:t>.</w:t>
            </w:r>
            <w:r w:rsidRPr="00865C0F">
              <w:rPr>
                <w:rFonts w:ascii="Bookman Old Style" w:hAnsi="Bookman Old Style"/>
                <w:color w:val="000000"/>
                <w:sz w:val="12"/>
                <w:szCs w:val="16"/>
              </w:rPr>
              <w:t>267</w:t>
            </w:r>
            <w:r w:rsidR="00376FB4">
              <w:rPr>
                <w:rFonts w:ascii="Bookman Old Style" w:hAnsi="Bookman Old Style"/>
                <w:color w:val="000000"/>
                <w:sz w:val="12"/>
                <w:szCs w:val="16"/>
              </w:rPr>
              <w:t>.</w:t>
            </w:r>
            <w:r w:rsidRPr="00865C0F">
              <w:rPr>
                <w:rFonts w:ascii="Bookman Old Style" w:hAnsi="Bookman Old Style"/>
                <w:color w:val="000000"/>
                <w:sz w:val="12"/>
                <w:szCs w:val="16"/>
              </w:rPr>
              <w:t>997</w:t>
            </w:r>
          </w:p>
        </w:tc>
        <w:tc>
          <w:tcPr>
            <w:tcW w:w="992" w:type="dxa"/>
            <w:tcBorders>
              <w:top w:val="nil"/>
              <w:left w:val="nil"/>
              <w:bottom w:val="single" w:sz="4" w:space="0" w:color="auto"/>
              <w:right w:val="single" w:sz="4" w:space="0" w:color="auto"/>
            </w:tcBorders>
            <w:shd w:val="clear" w:color="auto" w:fill="auto"/>
            <w:noWrap/>
            <w:vAlign w:val="center"/>
          </w:tcPr>
          <w:p w14:paraId="54F2011E"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321C7B8"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21F7C64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r w:rsidR="000A3D5F">
              <w:rPr>
                <w:rFonts w:ascii="Bookman Old Style" w:hAnsi="Bookman Old Style"/>
                <w:color w:val="000000"/>
                <w:sz w:val="12"/>
                <w:szCs w:val="16"/>
              </w:rPr>
              <w:t>,</w:t>
            </w:r>
            <w:r w:rsidRPr="007743CF">
              <w:rPr>
                <w:rFonts w:ascii="Bookman Old Style" w:hAnsi="Bookman Old Style"/>
                <w:color w:val="000000"/>
                <w:sz w:val="12"/>
                <w:szCs w:val="16"/>
              </w:rPr>
              <w:t>162</w:t>
            </w:r>
          </w:p>
        </w:tc>
        <w:tc>
          <w:tcPr>
            <w:tcW w:w="426" w:type="dxa"/>
            <w:tcBorders>
              <w:top w:val="nil"/>
              <w:left w:val="nil"/>
              <w:bottom w:val="single" w:sz="4" w:space="0" w:color="auto"/>
              <w:right w:val="single" w:sz="4" w:space="0" w:color="auto"/>
            </w:tcBorders>
            <w:shd w:val="clear" w:color="auto" w:fill="auto"/>
            <w:noWrap/>
            <w:vAlign w:val="center"/>
          </w:tcPr>
          <w:p w14:paraId="397F0D0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A23A0F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3E2A18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85CBA8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86C7CC6"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87</w:t>
            </w:r>
            <w:r w:rsidR="00376FB4">
              <w:rPr>
                <w:rFonts w:ascii="Bookman Old Style" w:hAnsi="Bookman Old Style"/>
                <w:color w:val="000000"/>
                <w:sz w:val="12"/>
                <w:szCs w:val="16"/>
              </w:rPr>
              <w:t>.</w:t>
            </w:r>
            <w:r w:rsidRPr="007743CF">
              <w:rPr>
                <w:rFonts w:ascii="Bookman Old Style" w:hAnsi="Bookman Old Style"/>
                <w:color w:val="000000"/>
                <w:sz w:val="12"/>
                <w:szCs w:val="16"/>
              </w:rPr>
              <w:t>461</w:t>
            </w:r>
            <w:r w:rsidR="00376FB4">
              <w:rPr>
                <w:rFonts w:ascii="Bookman Old Style" w:hAnsi="Bookman Old Style"/>
                <w:color w:val="000000"/>
                <w:sz w:val="12"/>
                <w:szCs w:val="16"/>
              </w:rPr>
              <w:t>.</w:t>
            </w:r>
            <w:r w:rsidRPr="007743CF">
              <w:rPr>
                <w:rFonts w:ascii="Bookman Old Style" w:hAnsi="Bookman Old Style"/>
                <w:color w:val="000000"/>
                <w:sz w:val="12"/>
                <w:szCs w:val="16"/>
              </w:rPr>
              <w:t>413</w:t>
            </w:r>
          </w:p>
        </w:tc>
      </w:tr>
      <w:tr w:rsidR="00064D35" w:rsidRPr="005A7E89" w14:paraId="327412B4"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061F7C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lastRenderedPageBreak/>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696AFC0F"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4854ADD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TPE1CO</w:t>
            </w:r>
          </w:p>
        </w:tc>
        <w:tc>
          <w:tcPr>
            <w:tcW w:w="993" w:type="dxa"/>
            <w:tcBorders>
              <w:top w:val="nil"/>
              <w:left w:val="nil"/>
              <w:bottom w:val="single" w:sz="4" w:space="0" w:color="auto"/>
              <w:right w:val="single" w:sz="4" w:space="0" w:color="auto"/>
            </w:tcBorders>
            <w:shd w:val="clear" w:color="auto" w:fill="auto"/>
            <w:noWrap/>
            <w:vAlign w:val="center"/>
          </w:tcPr>
          <w:p w14:paraId="739D8AC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77</w:t>
            </w:r>
            <w:r w:rsidR="00376FB4">
              <w:rPr>
                <w:rFonts w:ascii="Bookman Old Style" w:hAnsi="Bookman Old Style"/>
                <w:color w:val="000000"/>
                <w:sz w:val="12"/>
                <w:szCs w:val="16"/>
              </w:rPr>
              <w:t>.</w:t>
            </w:r>
            <w:r w:rsidRPr="00865C0F">
              <w:rPr>
                <w:rFonts w:ascii="Bookman Old Style" w:hAnsi="Bookman Old Style"/>
                <w:color w:val="000000"/>
                <w:sz w:val="12"/>
                <w:szCs w:val="16"/>
              </w:rPr>
              <w:t>818</w:t>
            </w:r>
            <w:r w:rsidR="00376FB4">
              <w:rPr>
                <w:rFonts w:ascii="Bookman Old Style" w:hAnsi="Bookman Old Style"/>
                <w:color w:val="000000"/>
                <w:sz w:val="12"/>
                <w:szCs w:val="16"/>
              </w:rPr>
              <w:t>.</w:t>
            </w:r>
            <w:r w:rsidRPr="00865C0F">
              <w:rPr>
                <w:rFonts w:ascii="Bookman Old Style" w:hAnsi="Bookman Old Style"/>
                <w:color w:val="000000"/>
                <w:sz w:val="12"/>
                <w:szCs w:val="16"/>
              </w:rPr>
              <w:t>615</w:t>
            </w:r>
          </w:p>
        </w:tc>
        <w:tc>
          <w:tcPr>
            <w:tcW w:w="992" w:type="dxa"/>
            <w:tcBorders>
              <w:top w:val="nil"/>
              <w:left w:val="nil"/>
              <w:bottom w:val="single" w:sz="4" w:space="0" w:color="auto"/>
              <w:right w:val="single" w:sz="4" w:space="0" w:color="auto"/>
            </w:tcBorders>
            <w:shd w:val="clear" w:color="auto" w:fill="auto"/>
            <w:noWrap/>
            <w:vAlign w:val="center"/>
          </w:tcPr>
          <w:p w14:paraId="7DE31D82"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0CEFFD3D"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DD2CE1F"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r w:rsidR="000A3D5F">
              <w:rPr>
                <w:rFonts w:ascii="Bookman Old Style" w:hAnsi="Bookman Old Style"/>
                <w:color w:val="000000"/>
                <w:sz w:val="12"/>
                <w:szCs w:val="16"/>
              </w:rPr>
              <w:t>,</w:t>
            </w:r>
            <w:r w:rsidRPr="007743CF">
              <w:rPr>
                <w:rFonts w:ascii="Bookman Old Style" w:hAnsi="Bookman Old Style"/>
                <w:color w:val="000000"/>
                <w:sz w:val="12"/>
                <w:szCs w:val="16"/>
              </w:rPr>
              <w:t>018</w:t>
            </w:r>
          </w:p>
        </w:tc>
        <w:tc>
          <w:tcPr>
            <w:tcW w:w="426" w:type="dxa"/>
            <w:tcBorders>
              <w:top w:val="nil"/>
              <w:left w:val="nil"/>
              <w:bottom w:val="single" w:sz="4" w:space="0" w:color="auto"/>
              <w:right w:val="single" w:sz="4" w:space="0" w:color="auto"/>
            </w:tcBorders>
            <w:shd w:val="clear" w:color="auto" w:fill="auto"/>
            <w:noWrap/>
            <w:vAlign w:val="center"/>
          </w:tcPr>
          <w:p w14:paraId="4B3A679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AA5985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DD17B0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8696AF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F39AB7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79</w:t>
            </w:r>
            <w:r w:rsidR="00376FB4">
              <w:rPr>
                <w:rFonts w:ascii="Bookman Old Style" w:hAnsi="Bookman Old Style"/>
                <w:color w:val="000000"/>
                <w:sz w:val="12"/>
                <w:szCs w:val="16"/>
              </w:rPr>
              <w:t>.</w:t>
            </w:r>
            <w:r w:rsidRPr="007743CF">
              <w:rPr>
                <w:rFonts w:ascii="Bookman Old Style" w:hAnsi="Bookman Old Style"/>
                <w:color w:val="000000"/>
                <w:sz w:val="12"/>
                <w:szCs w:val="16"/>
              </w:rPr>
              <w:t>219</w:t>
            </w:r>
            <w:r w:rsidR="00376FB4">
              <w:rPr>
                <w:rFonts w:ascii="Bookman Old Style" w:hAnsi="Bookman Old Style"/>
                <w:color w:val="000000"/>
                <w:sz w:val="12"/>
                <w:szCs w:val="16"/>
              </w:rPr>
              <w:t>.</w:t>
            </w:r>
            <w:r w:rsidRPr="007743CF">
              <w:rPr>
                <w:rFonts w:ascii="Bookman Old Style" w:hAnsi="Bookman Old Style"/>
                <w:color w:val="000000"/>
                <w:sz w:val="12"/>
                <w:szCs w:val="16"/>
              </w:rPr>
              <w:t>350</w:t>
            </w:r>
          </w:p>
        </w:tc>
      </w:tr>
      <w:tr w:rsidR="00064D35" w:rsidRPr="005A7E89" w14:paraId="068A278D"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9FE63C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1F4586DB"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49534BA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TPE2CO</w:t>
            </w:r>
          </w:p>
        </w:tc>
        <w:tc>
          <w:tcPr>
            <w:tcW w:w="993" w:type="dxa"/>
            <w:tcBorders>
              <w:top w:val="nil"/>
              <w:left w:val="nil"/>
              <w:bottom w:val="single" w:sz="4" w:space="0" w:color="auto"/>
              <w:right w:val="single" w:sz="4" w:space="0" w:color="auto"/>
            </w:tcBorders>
            <w:shd w:val="clear" w:color="auto" w:fill="auto"/>
            <w:noWrap/>
            <w:vAlign w:val="center"/>
          </w:tcPr>
          <w:p w14:paraId="1B8B676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88</w:t>
            </w:r>
            <w:r w:rsidR="00376FB4">
              <w:rPr>
                <w:rFonts w:ascii="Bookman Old Style" w:hAnsi="Bookman Old Style"/>
                <w:color w:val="000000"/>
                <w:sz w:val="12"/>
                <w:szCs w:val="16"/>
              </w:rPr>
              <w:t>.</w:t>
            </w:r>
            <w:r w:rsidRPr="00865C0F">
              <w:rPr>
                <w:rFonts w:ascii="Bookman Old Style" w:hAnsi="Bookman Old Style"/>
                <w:color w:val="000000"/>
                <w:sz w:val="12"/>
                <w:szCs w:val="16"/>
              </w:rPr>
              <w:t>937</w:t>
            </w:r>
            <w:r w:rsidR="00376FB4">
              <w:rPr>
                <w:rFonts w:ascii="Bookman Old Style" w:hAnsi="Bookman Old Style"/>
                <w:color w:val="000000"/>
                <w:sz w:val="12"/>
                <w:szCs w:val="16"/>
              </w:rPr>
              <w:t>.</w:t>
            </w:r>
            <w:r w:rsidRPr="00865C0F">
              <w:rPr>
                <w:rFonts w:ascii="Bookman Old Style" w:hAnsi="Bookman Old Style"/>
                <w:color w:val="000000"/>
                <w:sz w:val="12"/>
                <w:szCs w:val="16"/>
              </w:rPr>
              <w:t>391</w:t>
            </w:r>
          </w:p>
        </w:tc>
        <w:tc>
          <w:tcPr>
            <w:tcW w:w="992" w:type="dxa"/>
            <w:tcBorders>
              <w:top w:val="nil"/>
              <w:left w:val="nil"/>
              <w:bottom w:val="single" w:sz="4" w:space="0" w:color="auto"/>
              <w:right w:val="single" w:sz="4" w:space="0" w:color="auto"/>
            </w:tcBorders>
            <w:shd w:val="clear" w:color="auto" w:fill="auto"/>
            <w:noWrap/>
            <w:vAlign w:val="center"/>
          </w:tcPr>
          <w:p w14:paraId="4E0A59F8"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E2A557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91E6072"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653</w:t>
            </w:r>
          </w:p>
        </w:tc>
        <w:tc>
          <w:tcPr>
            <w:tcW w:w="426" w:type="dxa"/>
            <w:tcBorders>
              <w:top w:val="nil"/>
              <w:left w:val="nil"/>
              <w:bottom w:val="single" w:sz="4" w:space="0" w:color="auto"/>
              <w:right w:val="single" w:sz="4" w:space="0" w:color="auto"/>
            </w:tcBorders>
            <w:shd w:val="clear" w:color="auto" w:fill="auto"/>
            <w:noWrap/>
            <w:vAlign w:val="center"/>
          </w:tcPr>
          <w:p w14:paraId="5D66CC8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BC246F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7285FD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2F1C89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0A8607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58</w:t>
            </w:r>
            <w:r w:rsidR="00376FB4">
              <w:rPr>
                <w:rFonts w:ascii="Bookman Old Style" w:hAnsi="Bookman Old Style"/>
                <w:color w:val="000000"/>
                <w:sz w:val="12"/>
                <w:szCs w:val="16"/>
              </w:rPr>
              <w:t>.</w:t>
            </w:r>
            <w:r w:rsidRPr="007743CF">
              <w:rPr>
                <w:rFonts w:ascii="Bookman Old Style" w:hAnsi="Bookman Old Style"/>
                <w:color w:val="000000"/>
                <w:sz w:val="12"/>
                <w:szCs w:val="16"/>
              </w:rPr>
              <w:t>076</w:t>
            </w:r>
            <w:r w:rsidR="00376FB4">
              <w:rPr>
                <w:rFonts w:ascii="Bookman Old Style" w:hAnsi="Bookman Old Style"/>
                <w:color w:val="000000"/>
                <w:sz w:val="12"/>
                <w:szCs w:val="16"/>
              </w:rPr>
              <w:t>.</w:t>
            </w:r>
            <w:r w:rsidRPr="007743CF">
              <w:rPr>
                <w:rFonts w:ascii="Bookman Old Style" w:hAnsi="Bookman Old Style"/>
                <w:color w:val="000000"/>
                <w:sz w:val="12"/>
                <w:szCs w:val="16"/>
              </w:rPr>
              <w:t>116</w:t>
            </w:r>
          </w:p>
        </w:tc>
      </w:tr>
      <w:tr w:rsidR="00064D35" w:rsidRPr="005A7E89" w14:paraId="3742DDFF"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D1C102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38A5AB40"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46A7778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21A0BE7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53</w:t>
            </w:r>
            <w:r w:rsidR="00376FB4">
              <w:rPr>
                <w:rFonts w:ascii="Bookman Old Style" w:hAnsi="Bookman Old Style"/>
                <w:color w:val="000000"/>
                <w:sz w:val="12"/>
                <w:szCs w:val="16"/>
              </w:rPr>
              <w:t>.</w:t>
            </w:r>
            <w:r w:rsidRPr="00865C0F">
              <w:rPr>
                <w:rFonts w:ascii="Bookman Old Style" w:hAnsi="Bookman Old Style"/>
                <w:color w:val="000000"/>
                <w:sz w:val="12"/>
                <w:szCs w:val="16"/>
              </w:rPr>
              <w:t>097</w:t>
            </w:r>
            <w:r w:rsidR="00376FB4">
              <w:rPr>
                <w:rFonts w:ascii="Bookman Old Style" w:hAnsi="Bookman Old Style"/>
                <w:color w:val="000000"/>
                <w:sz w:val="12"/>
                <w:szCs w:val="16"/>
              </w:rPr>
              <w:t>.</w:t>
            </w:r>
            <w:r w:rsidRPr="00865C0F">
              <w:rPr>
                <w:rFonts w:ascii="Bookman Old Style" w:hAnsi="Bookman Old Style"/>
                <w:color w:val="000000"/>
                <w:sz w:val="12"/>
                <w:szCs w:val="16"/>
              </w:rPr>
              <w:t>313</w:t>
            </w:r>
          </w:p>
        </w:tc>
        <w:tc>
          <w:tcPr>
            <w:tcW w:w="992" w:type="dxa"/>
            <w:tcBorders>
              <w:top w:val="nil"/>
              <w:left w:val="nil"/>
              <w:bottom w:val="single" w:sz="4" w:space="0" w:color="auto"/>
              <w:right w:val="single" w:sz="4" w:space="0" w:color="auto"/>
            </w:tcBorders>
            <w:shd w:val="clear" w:color="auto" w:fill="auto"/>
            <w:noWrap/>
            <w:vAlign w:val="center"/>
          </w:tcPr>
          <w:p w14:paraId="2EB6FDCC"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3D33418B"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72664171"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63</w:t>
            </w:r>
          </w:p>
        </w:tc>
        <w:tc>
          <w:tcPr>
            <w:tcW w:w="426" w:type="dxa"/>
            <w:tcBorders>
              <w:top w:val="nil"/>
              <w:left w:val="nil"/>
              <w:bottom w:val="single" w:sz="4" w:space="0" w:color="auto"/>
              <w:right w:val="single" w:sz="4" w:space="0" w:color="auto"/>
            </w:tcBorders>
            <w:shd w:val="clear" w:color="auto" w:fill="auto"/>
            <w:noWrap/>
            <w:vAlign w:val="center"/>
          </w:tcPr>
          <w:p w14:paraId="57E984F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49F97F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996494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58530F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1B4FC61"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33</w:t>
            </w:r>
            <w:r w:rsidR="00376FB4">
              <w:rPr>
                <w:rFonts w:ascii="Bookman Old Style" w:hAnsi="Bookman Old Style"/>
                <w:color w:val="000000"/>
                <w:sz w:val="12"/>
                <w:szCs w:val="16"/>
              </w:rPr>
              <w:t>.</w:t>
            </w:r>
            <w:r w:rsidRPr="007743CF">
              <w:rPr>
                <w:rFonts w:ascii="Bookman Old Style" w:hAnsi="Bookman Old Style"/>
                <w:color w:val="000000"/>
                <w:sz w:val="12"/>
                <w:szCs w:val="16"/>
              </w:rPr>
              <w:t>451</w:t>
            </w:r>
            <w:r w:rsidR="00376FB4">
              <w:rPr>
                <w:rFonts w:ascii="Bookman Old Style" w:hAnsi="Bookman Old Style"/>
                <w:color w:val="000000"/>
                <w:sz w:val="12"/>
                <w:szCs w:val="16"/>
              </w:rPr>
              <w:t>.</w:t>
            </w:r>
            <w:r w:rsidRPr="007743CF">
              <w:rPr>
                <w:rFonts w:ascii="Bookman Old Style" w:hAnsi="Bookman Old Style"/>
                <w:color w:val="000000"/>
                <w:sz w:val="12"/>
                <w:szCs w:val="16"/>
              </w:rPr>
              <w:t>307</w:t>
            </w:r>
          </w:p>
        </w:tc>
      </w:tr>
      <w:tr w:rsidR="00064D35" w:rsidRPr="005A7E89" w14:paraId="33CAE6E8"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B4B416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3119B882"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Andén Tableta, Baldosín, Gravilla</w:t>
            </w:r>
          </w:p>
        </w:tc>
        <w:tc>
          <w:tcPr>
            <w:tcW w:w="1067" w:type="dxa"/>
            <w:tcBorders>
              <w:top w:val="nil"/>
              <w:left w:val="nil"/>
              <w:bottom w:val="single" w:sz="4" w:space="0" w:color="auto"/>
              <w:right w:val="single" w:sz="4" w:space="0" w:color="auto"/>
            </w:tcBorders>
            <w:shd w:val="clear" w:color="auto" w:fill="auto"/>
            <w:noWrap/>
            <w:vAlign w:val="center"/>
          </w:tcPr>
          <w:p w14:paraId="42C818C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TPE3/4TA</w:t>
            </w:r>
          </w:p>
        </w:tc>
        <w:tc>
          <w:tcPr>
            <w:tcW w:w="993" w:type="dxa"/>
            <w:tcBorders>
              <w:top w:val="nil"/>
              <w:left w:val="nil"/>
              <w:bottom w:val="single" w:sz="4" w:space="0" w:color="auto"/>
              <w:right w:val="single" w:sz="4" w:space="0" w:color="auto"/>
            </w:tcBorders>
            <w:shd w:val="clear" w:color="auto" w:fill="auto"/>
            <w:noWrap/>
            <w:vAlign w:val="center"/>
          </w:tcPr>
          <w:p w14:paraId="116AB9E6"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56</w:t>
            </w:r>
            <w:r w:rsidR="00376FB4">
              <w:rPr>
                <w:rFonts w:ascii="Bookman Old Style" w:hAnsi="Bookman Old Style"/>
                <w:color w:val="000000"/>
                <w:sz w:val="12"/>
                <w:szCs w:val="16"/>
              </w:rPr>
              <w:t>.</w:t>
            </w:r>
            <w:r w:rsidRPr="00865C0F">
              <w:rPr>
                <w:rFonts w:ascii="Bookman Old Style" w:hAnsi="Bookman Old Style"/>
                <w:color w:val="000000"/>
                <w:sz w:val="12"/>
                <w:szCs w:val="16"/>
              </w:rPr>
              <w:t>166</w:t>
            </w:r>
            <w:r w:rsidR="00376FB4">
              <w:rPr>
                <w:rFonts w:ascii="Bookman Old Style" w:hAnsi="Bookman Old Style"/>
                <w:color w:val="000000"/>
                <w:sz w:val="12"/>
                <w:szCs w:val="16"/>
              </w:rPr>
              <w:t>.</w:t>
            </w:r>
            <w:r w:rsidRPr="00865C0F">
              <w:rPr>
                <w:rFonts w:ascii="Bookman Old Style" w:hAnsi="Bookman Old Style"/>
                <w:color w:val="000000"/>
                <w:sz w:val="12"/>
                <w:szCs w:val="16"/>
              </w:rPr>
              <w:t>218</w:t>
            </w:r>
          </w:p>
        </w:tc>
        <w:tc>
          <w:tcPr>
            <w:tcW w:w="992" w:type="dxa"/>
            <w:tcBorders>
              <w:top w:val="nil"/>
              <w:left w:val="nil"/>
              <w:bottom w:val="single" w:sz="4" w:space="0" w:color="auto"/>
              <w:right w:val="single" w:sz="4" w:space="0" w:color="auto"/>
            </w:tcBorders>
            <w:shd w:val="clear" w:color="auto" w:fill="auto"/>
            <w:noWrap/>
            <w:vAlign w:val="center"/>
          </w:tcPr>
          <w:p w14:paraId="466A63DA"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A857DFB"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E3EF39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416</w:t>
            </w:r>
          </w:p>
        </w:tc>
        <w:tc>
          <w:tcPr>
            <w:tcW w:w="426" w:type="dxa"/>
            <w:tcBorders>
              <w:top w:val="nil"/>
              <w:left w:val="nil"/>
              <w:bottom w:val="single" w:sz="4" w:space="0" w:color="auto"/>
              <w:right w:val="single" w:sz="4" w:space="0" w:color="auto"/>
            </w:tcBorders>
            <w:shd w:val="clear" w:color="auto" w:fill="auto"/>
            <w:noWrap/>
            <w:vAlign w:val="center"/>
          </w:tcPr>
          <w:p w14:paraId="0013561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0DAD52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62EF08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1CDA87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39C41E4B"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23</w:t>
            </w:r>
            <w:r w:rsidR="00376FB4">
              <w:rPr>
                <w:rFonts w:ascii="Bookman Old Style" w:hAnsi="Bookman Old Style"/>
                <w:color w:val="000000"/>
                <w:sz w:val="12"/>
                <w:szCs w:val="16"/>
              </w:rPr>
              <w:t>.</w:t>
            </w:r>
            <w:r w:rsidRPr="007743CF">
              <w:rPr>
                <w:rFonts w:ascii="Bookman Old Style" w:hAnsi="Bookman Old Style"/>
                <w:color w:val="000000"/>
                <w:sz w:val="12"/>
                <w:szCs w:val="16"/>
              </w:rPr>
              <w:t>365</w:t>
            </w:r>
            <w:r w:rsidR="00376FB4">
              <w:rPr>
                <w:rFonts w:ascii="Bookman Old Style" w:hAnsi="Bookman Old Style"/>
                <w:color w:val="000000"/>
                <w:sz w:val="12"/>
                <w:szCs w:val="16"/>
              </w:rPr>
              <w:t>.</w:t>
            </w:r>
            <w:r w:rsidRPr="007743CF">
              <w:rPr>
                <w:rFonts w:ascii="Bookman Old Style" w:hAnsi="Bookman Old Style"/>
                <w:color w:val="000000"/>
                <w:sz w:val="12"/>
                <w:szCs w:val="16"/>
              </w:rPr>
              <w:t>147</w:t>
            </w:r>
          </w:p>
        </w:tc>
      </w:tr>
      <w:tr w:rsidR="00064D35" w:rsidRPr="005A7E89" w14:paraId="43CF5E59"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A092CF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1D0E1183"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3FC2A10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28A7C27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19</w:t>
            </w:r>
            <w:r w:rsidR="00376FB4">
              <w:rPr>
                <w:rFonts w:ascii="Bookman Old Style" w:hAnsi="Bookman Old Style"/>
                <w:color w:val="000000"/>
                <w:sz w:val="12"/>
                <w:szCs w:val="16"/>
              </w:rPr>
              <w:t>.</w:t>
            </w:r>
            <w:r w:rsidRPr="00865C0F">
              <w:rPr>
                <w:rFonts w:ascii="Bookman Old Style" w:hAnsi="Bookman Old Style"/>
                <w:color w:val="000000"/>
                <w:sz w:val="12"/>
                <w:szCs w:val="16"/>
              </w:rPr>
              <w:t>416</w:t>
            </w:r>
            <w:r w:rsidR="00376FB4">
              <w:rPr>
                <w:rFonts w:ascii="Bookman Old Style" w:hAnsi="Bookman Old Style"/>
                <w:color w:val="000000"/>
                <w:sz w:val="12"/>
                <w:szCs w:val="16"/>
              </w:rPr>
              <w:t>.</w:t>
            </w:r>
            <w:r w:rsidRPr="00865C0F">
              <w:rPr>
                <w:rFonts w:ascii="Bookman Old Style" w:hAnsi="Bookman Old Style"/>
                <w:color w:val="000000"/>
                <w:sz w:val="12"/>
                <w:szCs w:val="16"/>
              </w:rPr>
              <w:t>540</w:t>
            </w:r>
          </w:p>
        </w:tc>
        <w:tc>
          <w:tcPr>
            <w:tcW w:w="992" w:type="dxa"/>
            <w:tcBorders>
              <w:top w:val="nil"/>
              <w:left w:val="nil"/>
              <w:bottom w:val="single" w:sz="4" w:space="0" w:color="auto"/>
              <w:right w:val="single" w:sz="4" w:space="0" w:color="auto"/>
            </w:tcBorders>
            <w:shd w:val="clear" w:color="auto" w:fill="auto"/>
            <w:noWrap/>
            <w:vAlign w:val="center"/>
          </w:tcPr>
          <w:p w14:paraId="46DB0E11"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CB771A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0490C8F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r w:rsidR="000A3D5F">
              <w:rPr>
                <w:rFonts w:ascii="Bookman Old Style" w:hAnsi="Bookman Old Style"/>
                <w:color w:val="000000"/>
                <w:sz w:val="12"/>
                <w:szCs w:val="16"/>
              </w:rPr>
              <w:t>,</w:t>
            </w:r>
            <w:r w:rsidRPr="007743CF">
              <w:rPr>
                <w:rFonts w:ascii="Bookman Old Style" w:hAnsi="Bookman Old Style"/>
                <w:color w:val="000000"/>
                <w:sz w:val="12"/>
                <w:szCs w:val="16"/>
              </w:rPr>
              <w:t>555</w:t>
            </w:r>
          </w:p>
        </w:tc>
        <w:tc>
          <w:tcPr>
            <w:tcW w:w="426" w:type="dxa"/>
            <w:tcBorders>
              <w:top w:val="nil"/>
              <w:left w:val="nil"/>
              <w:bottom w:val="single" w:sz="4" w:space="0" w:color="auto"/>
              <w:right w:val="single" w:sz="4" w:space="0" w:color="auto"/>
            </w:tcBorders>
            <w:shd w:val="clear" w:color="auto" w:fill="auto"/>
            <w:noWrap/>
            <w:vAlign w:val="center"/>
          </w:tcPr>
          <w:p w14:paraId="417ACB1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ECE8BB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4D2110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9E4A39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365CF53"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30</w:t>
            </w:r>
            <w:r w:rsidR="00376FB4">
              <w:rPr>
                <w:rFonts w:ascii="Bookman Old Style" w:hAnsi="Bookman Old Style"/>
                <w:color w:val="000000"/>
                <w:sz w:val="12"/>
                <w:szCs w:val="16"/>
              </w:rPr>
              <w:t>.</w:t>
            </w:r>
            <w:r w:rsidRPr="007743CF">
              <w:rPr>
                <w:rFonts w:ascii="Bookman Old Style" w:hAnsi="Bookman Old Style"/>
                <w:color w:val="000000"/>
                <w:sz w:val="12"/>
                <w:szCs w:val="16"/>
              </w:rPr>
              <w:t>192</w:t>
            </w:r>
            <w:r w:rsidR="00376FB4">
              <w:rPr>
                <w:rFonts w:ascii="Bookman Old Style" w:hAnsi="Bookman Old Style"/>
                <w:color w:val="000000"/>
                <w:sz w:val="12"/>
                <w:szCs w:val="16"/>
              </w:rPr>
              <w:t>.</w:t>
            </w:r>
            <w:r w:rsidRPr="007743CF">
              <w:rPr>
                <w:rFonts w:ascii="Bookman Old Style" w:hAnsi="Bookman Old Style"/>
                <w:color w:val="000000"/>
                <w:sz w:val="12"/>
                <w:szCs w:val="16"/>
              </w:rPr>
              <w:t>720</w:t>
            </w:r>
          </w:p>
        </w:tc>
      </w:tr>
      <w:tr w:rsidR="00064D35" w:rsidRPr="005A7E89" w14:paraId="4B97C5CB"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56342D8"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4C080906"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tcPr>
          <w:p w14:paraId="6B4EF9A1"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TPE1ZV</w:t>
            </w:r>
          </w:p>
        </w:tc>
        <w:tc>
          <w:tcPr>
            <w:tcW w:w="993" w:type="dxa"/>
            <w:tcBorders>
              <w:top w:val="nil"/>
              <w:left w:val="nil"/>
              <w:bottom w:val="single" w:sz="4" w:space="0" w:color="auto"/>
              <w:right w:val="single" w:sz="4" w:space="0" w:color="auto"/>
            </w:tcBorders>
            <w:shd w:val="clear" w:color="auto" w:fill="auto"/>
            <w:noWrap/>
            <w:vAlign w:val="center"/>
          </w:tcPr>
          <w:p w14:paraId="4FCB762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22</w:t>
            </w:r>
            <w:r w:rsidR="00376FB4">
              <w:rPr>
                <w:rFonts w:ascii="Bookman Old Style" w:hAnsi="Bookman Old Style"/>
                <w:color w:val="000000"/>
                <w:sz w:val="12"/>
                <w:szCs w:val="16"/>
              </w:rPr>
              <w:t>.</w:t>
            </w:r>
            <w:r w:rsidRPr="00865C0F">
              <w:rPr>
                <w:rFonts w:ascii="Bookman Old Style" w:hAnsi="Bookman Old Style"/>
                <w:color w:val="000000"/>
                <w:sz w:val="12"/>
                <w:szCs w:val="16"/>
              </w:rPr>
              <w:t>117</w:t>
            </w:r>
            <w:r w:rsidR="00376FB4">
              <w:rPr>
                <w:rFonts w:ascii="Bookman Old Style" w:hAnsi="Bookman Old Style"/>
                <w:color w:val="000000"/>
                <w:sz w:val="12"/>
                <w:szCs w:val="16"/>
              </w:rPr>
              <w:t>.</w:t>
            </w:r>
            <w:r w:rsidRPr="00865C0F">
              <w:rPr>
                <w:rFonts w:ascii="Bookman Old Style" w:hAnsi="Bookman Old Style"/>
                <w:color w:val="000000"/>
                <w:sz w:val="12"/>
                <w:szCs w:val="16"/>
              </w:rPr>
              <w:t>674</w:t>
            </w:r>
          </w:p>
        </w:tc>
        <w:tc>
          <w:tcPr>
            <w:tcW w:w="992" w:type="dxa"/>
            <w:tcBorders>
              <w:top w:val="nil"/>
              <w:left w:val="nil"/>
              <w:bottom w:val="single" w:sz="4" w:space="0" w:color="auto"/>
              <w:right w:val="single" w:sz="4" w:space="0" w:color="auto"/>
            </w:tcBorders>
            <w:shd w:val="clear" w:color="auto" w:fill="auto"/>
            <w:noWrap/>
            <w:vAlign w:val="center"/>
          </w:tcPr>
          <w:p w14:paraId="4B804F91"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4795D9F"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0F095E7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w:t>
            </w:r>
            <w:r w:rsidR="000A3D5F">
              <w:rPr>
                <w:rFonts w:ascii="Bookman Old Style" w:hAnsi="Bookman Old Style"/>
                <w:color w:val="000000"/>
                <w:sz w:val="12"/>
                <w:szCs w:val="16"/>
              </w:rPr>
              <w:t>,</w:t>
            </w:r>
            <w:r w:rsidRPr="007743CF">
              <w:rPr>
                <w:rFonts w:ascii="Bookman Old Style" w:hAnsi="Bookman Old Style"/>
                <w:color w:val="000000"/>
                <w:sz w:val="12"/>
                <w:szCs w:val="16"/>
              </w:rPr>
              <w:t>573</w:t>
            </w:r>
          </w:p>
        </w:tc>
        <w:tc>
          <w:tcPr>
            <w:tcW w:w="426" w:type="dxa"/>
            <w:tcBorders>
              <w:top w:val="nil"/>
              <w:left w:val="nil"/>
              <w:bottom w:val="single" w:sz="4" w:space="0" w:color="auto"/>
              <w:right w:val="single" w:sz="4" w:space="0" w:color="auto"/>
            </w:tcBorders>
            <w:shd w:val="clear" w:color="auto" w:fill="auto"/>
            <w:noWrap/>
            <w:vAlign w:val="center"/>
          </w:tcPr>
          <w:p w14:paraId="757A2D4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B272CF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8F5FB6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FBA138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08CFB76"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79</w:t>
            </w:r>
            <w:r w:rsidR="00376FB4">
              <w:rPr>
                <w:rFonts w:ascii="Bookman Old Style" w:hAnsi="Bookman Old Style"/>
                <w:color w:val="000000"/>
                <w:sz w:val="12"/>
                <w:szCs w:val="16"/>
              </w:rPr>
              <w:t>.</w:t>
            </w:r>
            <w:r w:rsidRPr="007743CF">
              <w:rPr>
                <w:rFonts w:ascii="Bookman Old Style" w:hAnsi="Bookman Old Style"/>
                <w:color w:val="000000"/>
                <w:sz w:val="12"/>
                <w:szCs w:val="16"/>
              </w:rPr>
              <w:t>026</w:t>
            </w:r>
            <w:r w:rsidR="00376FB4">
              <w:rPr>
                <w:rFonts w:ascii="Bookman Old Style" w:hAnsi="Bookman Old Style"/>
                <w:color w:val="000000"/>
                <w:sz w:val="12"/>
                <w:szCs w:val="16"/>
              </w:rPr>
              <w:t>.</w:t>
            </w:r>
            <w:r w:rsidRPr="007743CF">
              <w:rPr>
                <w:rFonts w:ascii="Bookman Old Style" w:hAnsi="Bookman Old Style"/>
                <w:color w:val="000000"/>
                <w:sz w:val="12"/>
                <w:szCs w:val="16"/>
              </w:rPr>
              <w:t>450</w:t>
            </w:r>
          </w:p>
        </w:tc>
      </w:tr>
      <w:tr w:rsidR="00064D35" w:rsidRPr="005A7E89" w14:paraId="57B70D7C"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88BD41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47552E6F"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tcPr>
          <w:p w14:paraId="29E3204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TPE2ZV</w:t>
            </w:r>
          </w:p>
        </w:tc>
        <w:tc>
          <w:tcPr>
            <w:tcW w:w="993" w:type="dxa"/>
            <w:tcBorders>
              <w:top w:val="nil"/>
              <w:left w:val="nil"/>
              <w:bottom w:val="single" w:sz="4" w:space="0" w:color="auto"/>
              <w:right w:val="single" w:sz="4" w:space="0" w:color="auto"/>
            </w:tcBorders>
            <w:shd w:val="clear" w:color="auto" w:fill="auto"/>
            <w:noWrap/>
            <w:vAlign w:val="center"/>
          </w:tcPr>
          <w:p w14:paraId="095945D8"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33</w:t>
            </w:r>
            <w:r w:rsidR="00376FB4">
              <w:rPr>
                <w:rFonts w:ascii="Bookman Old Style" w:hAnsi="Bookman Old Style"/>
                <w:color w:val="000000"/>
                <w:sz w:val="12"/>
                <w:szCs w:val="16"/>
              </w:rPr>
              <w:t>.</w:t>
            </w:r>
            <w:r w:rsidRPr="00865C0F">
              <w:rPr>
                <w:rFonts w:ascii="Bookman Old Style" w:hAnsi="Bookman Old Style"/>
                <w:color w:val="000000"/>
                <w:sz w:val="12"/>
                <w:szCs w:val="16"/>
              </w:rPr>
              <w:t>719</w:t>
            </w:r>
            <w:r w:rsidR="00376FB4">
              <w:rPr>
                <w:rFonts w:ascii="Bookman Old Style" w:hAnsi="Bookman Old Style"/>
                <w:color w:val="000000"/>
                <w:sz w:val="12"/>
                <w:szCs w:val="16"/>
              </w:rPr>
              <w:t>.</w:t>
            </w:r>
            <w:r w:rsidRPr="00865C0F">
              <w:rPr>
                <w:rFonts w:ascii="Bookman Old Style" w:hAnsi="Bookman Old Style"/>
                <w:color w:val="000000"/>
                <w:sz w:val="12"/>
                <w:szCs w:val="16"/>
              </w:rPr>
              <w:t>184</w:t>
            </w:r>
          </w:p>
        </w:tc>
        <w:tc>
          <w:tcPr>
            <w:tcW w:w="992" w:type="dxa"/>
            <w:tcBorders>
              <w:top w:val="nil"/>
              <w:left w:val="nil"/>
              <w:bottom w:val="single" w:sz="4" w:space="0" w:color="auto"/>
              <w:right w:val="single" w:sz="4" w:space="0" w:color="auto"/>
            </w:tcBorders>
            <w:shd w:val="clear" w:color="auto" w:fill="auto"/>
            <w:noWrap/>
            <w:vAlign w:val="center"/>
          </w:tcPr>
          <w:p w14:paraId="40D915FB"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32D25F5"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561617C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527</w:t>
            </w:r>
          </w:p>
        </w:tc>
        <w:tc>
          <w:tcPr>
            <w:tcW w:w="426" w:type="dxa"/>
            <w:tcBorders>
              <w:top w:val="nil"/>
              <w:left w:val="nil"/>
              <w:bottom w:val="single" w:sz="4" w:space="0" w:color="auto"/>
              <w:right w:val="single" w:sz="4" w:space="0" w:color="auto"/>
            </w:tcBorders>
            <w:shd w:val="clear" w:color="auto" w:fill="auto"/>
            <w:noWrap/>
            <w:vAlign w:val="center"/>
          </w:tcPr>
          <w:p w14:paraId="289BC74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B37A96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16BD03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020373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EF3BD6F"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17</w:t>
            </w:r>
            <w:r w:rsidR="00376FB4">
              <w:rPr>
                <w:rFonts w:ascii="Bookman Old Style" w:hAnsi="Bookman Old Style"/>
                <w:color w:val="000000"/>
                <w:sz w:val="12"/>
                <w:szCs w:val="16"/>
              </w:rPr>
              <w:t>.</w:t>
            </w:r>
            <w:r w:rsidRPr="007743CF">
              <w:rPr>
                <w:rFonts w:ascii="Bookman Old Style" w:hAnsi="Bookman Old Style"/>
                <w:color w:val="000000"/>
                <w:sz w:val="12"/>
                <w:szCs w:val="16"/>
              </w:rPr>
              <w:t>770</w:t>
            </w:r>
            <w:r w:rsidR="00376FB4">
              <w:rPr>
                <w:rFonts w:ascii="Bookman Old Style" w:hAnsi="Bookman Old Style"/>
                <w:color w:val="000000"/>
                <w:sz w:val="12"/>
                <w:szCs w:val="16"/>
              </w:rPr>
              <w:t>.</w:t>
            </w:r>
            <w:r w:rsidRPr="007743CF">
              <w:rPr>
                <w:rFonts w:ascii="Bookman Old Style" w:hAnsi="Bookman Old Style"/>
                <w:color w:val="000000"/>
                <w:sz w:val="12"/>
                <w:szCs w:val="16"/>
              </w:rPr>
              <w:t>010</w:t>
            </w:r>
          </w:p>
        </w:tc>
      </w:tr>
      <w:tr w:rsidR="00064D35" w:rsidRPr="005A7E89" w14:paraId="250ECFB0"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48D36C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587C0766"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EGLP2000-Estacion de GLP 2000 Galones</w:t>
            </w:r>
          </w:p>
        </w:tc>
        <w:tc>
          <w:tcPr>
            <w:tcW w:w="1067" w:type="dxa"/>
            <w:tcBorders>
              <w:top w:val="nil"/>
              <w:left w:val="nil"/>
              <w:bottom w:val="single" w:sz="4" w:space="0" w:color="auto"/>
              <w:right w:val="single" w:sz="4" w:space="0" w:color="auto"/>
            </w:tcBorders>
            <w:shd w:val="clear" w:color="auto" w:fill="auto"/>
            <w:noWrap/>
            <w:vAlign w:val="center"/>
          </w:tcPr>
          <w:p w14:paraId="2934C55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TMP-5</w:t>
            </w:r>
          </w:p>
        </w:tc>
        <w:tc>
          <w:tcPr>
            <w:tcW w:w="993" w:type="dxa"/>
            <w:tcBorders>
              <w:top w:val="nil"/>
              <w:left w:val="nil"/>
              <w:bottom w:val="single" w:sz="4" w:space="0" w:color="auto"/>
              <w:right w:val="single" w:sz="4" w:space="0" w:color="auto"/>
            </w:tcBorders>
            <w:shd w:val="clear" w:color="auto" w:fill="auto"/>
            <w:noWrap/>
            <w:vAlign w:val="center"/>
          </w:tcPr>
          <w:p w14:paraId="6883B36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120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p>
        </w:tc>
        <w:tc>
          <w:tcPr>
            <w:tcW w:w="992" w:type="dxa"/>
            <w:tcBorders>
              <w:top w:val="nil"/>
              <w:left w:val="nil"/>
              <w:bottom w:val="single" w:sz="4" w:space="0" w:color="auto"/>
              <w:right w:val="single" w:sz="4" w:space="0" w:color="auto"/>
            </w:tcBorders>
            <w:shd w:val="clear" w:color="auto" w:fill="auto"/>
            <w:noWrap/>
            <w:vAlign w:val="center"/>
          </w:tcPr>
          <w:p w14:paraId="1F859E74"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641C9889"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814BC2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0E82EBB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F9A03F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296891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417502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D6B364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120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p>
        </w:tc>
      </w:tr>
      <w:tr w:rsidR="00064D35" w:rsidRPr="005A7E89" w14:paraId="487A08F9"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44250C1"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Rabolargo-Cerete-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3F20D05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Cruce Aereo de 5 a 10 m</w:t>
            </w:r>
          </w:p>
        </w:tc>
        <w:tc>
          <w:tcPr>
            <w:tcW w:w="1067" w:type="dxa"/>
            <w:tcBorders>
              <w:top w:val="nil"/>
              <w:left w:val="nil"/>
              <w:bottom w:val="single" w:sz="4" w:space="0" w:color="auto"/>
              <w:right w:val="single" w:sz="4" w:space="0" w:color="auto"/>
            </w:tcBorders>
            <w:shd w:val="clear" w:color="auto" w:fill="auto"/>
            <w:noWrap/>
            <w:vAlign w:val="center"/>
          </w:tcPr>
          <w:p w14:paraId="68E52D0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TMP-6</w:t>
            </w:r>
          </w:p>
        </w:tc>
        <w:tc>
          <w:tcPr>
            <w:tcW w:w="993" w:type="dxa"/>
            <w:tcBorders>
              <w:top w:val="nil"/>
              <w:left w:val="nil"/>
              <w:bottom w:val="single" w:sz="4" w:space="0" w:color="auto"/>
              <w:right w:val="single" w:sz="4" w:space="0" w:color="auto"/>
            </w:tcBorders>
            <w:shd w:val="clear" w:color="auto" w:fill="auto"/>
            <w:noWrap/>
            <w:vAlign w:val="center"/>
          </w:tcPr>
          <w:p w14:paraId="3AFCA7A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3</w:t>
            </w:r>
            <w:r w:rsidR="00376FB4">
              <w:rPr>
                <w:rFonts w:ascii="Bookman Old Style" w:hAnsi="Bookman Old Style"/>
                <w:color w:val="000000"/>
                <w:sz w:val="12"/>
                <w:szCs w:val="16"/>
              </w:rPr>
              <w:t>.</w:t>
            </w:r>
            <w:r w:rsidRPr="00865C0F">
              <w:rPr>
                <w:rFonts w:ascii="Bookman Old Style" w:hAnsi="Bookman Old Style"/>
                <w:color w:val="000000"/>
                <w:sz w:val="12"/>
                <w:szCs w:val="16"/>
              </w:rPr>
              <w:t>549</w:t>
            </w:r>
            <w:r w:rsidR="00376FB4">
              <w:rPr>
                <w:rFonts w:ascii="Bookman Old Style" w:hAnsi="Bookman Old Style"/>
                <w:color w:val="000000"/>
                <w:sz w:val="12"/>
                <w:szCs w:val="16"/>
              </w:rPr>
              <w:t>.</w:t>
            </w:r>
            <w:r w:rsidRPr="00865C0F">
              <w:rPr>
                <w:rFonts w:ascii="Bookman Old Style" w:hAnsi="Bookman Old Style"/>
                <w:color w:val="000000"/>
                <w:sz w:val="12"/>
                <w:szCs w:val="16"/>
              </w:rPr>
              <w:t>924</w:t>
            </w:r>
          </w:p>
        </w:tc>
        <w:tc>
          <w:tcPr>
            <w:tcW w:w="992" w:type="dxa"/>
            <w:tcBorders>
              <w:top w:val="nil"/>
              <w:left w:val="nil"/>
              <w:bottom w:val="single" w:sz="4" w:space="0" w:color="auto"/>
              <w:right w:val="single" w:sz="4" w:space="0" w:color="auto"/>
            </w:tcBorders>
            <w:shd w:val="clear" w:color="auto" w:fill="auto"/>
            <w:noWrap/>
            <w:vAlign w:val="center"/>
          </w:tcPr>
          <w:p w14:paraId="09B88A29"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07990E3B"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15C39DE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w:t>
            </w:r>
          </w:p>
        </w:tc>
        <w:tc>
          <w:tcPr>
            <w:tcW w:w="426" w:type="dxa"/>
            <w:tcBorders>
              <w:top w:val="nil"/>
              <w:left w:val="nil"/>
              <w:bottom w:val="single" w:sz="4" w:space="0" w:color="auto"/>
              <w:right w:val="single" w:sz="4" w:space="0" w:color="auto"/>
            </w:tcBorders>
            <w:shd w:val="clear" w:color="auto" w:fill="auto"/>
            <w:noWrap/>
            <w:vAlign w:val="center"/>
          </w:tcPr>
          <w:p w14:paraId="0C8DE17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A105D3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0D3E00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B46C52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6506947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10</w:t>
            </w:r>
            <w:r w:rsidR="00376FB4">
              <w:rPr>
                <w:rFonts w:ascii="Bookman Old Style" w:hAnsi="Bookman Old Style"/>
                <w:color w:val="000000"/>
                <w:sz w:val="12"/>
                <w:szCs w:val="16"/>
              </w:rPr>
              <w:t>.</w:t>
            </w:r>
            <w:r w:rsidRPr="007743CF">
              <w:rPr>
                <w:rFonts w:ascii="Bookman Old Style" w:hAnsi="Bookman Old Style"/>
                <w:color w:val="000000"/>
                <w:sz w:val="12"/>
                <w:szCs w:val="16"/>
              </w:rPr>
              <w:t>649</w:t>
            </w:r>
            <w:r w:rsidR="00376FB4">
              <w:rPr>
                <w:rFonts w:ascii="Bookman Old Style" w:hAnsi="Bookman Old Style"/>
                <w:color w:val="000000"/>
                <w:sz w:val="12"/>
                <w:szCs w:val="16"/>
              </w:rPr>
              <w:t>.</w:t>
            </w:r>
            <w:r w:rsidRPr="007743CF">
              <w:rPr>
                <w:rFonts w:ascii="Bookman Old Style" w:hAnsi="Bookman Old Style"/>
                <w:color w:val="000000"/>
                <w:sz w:val="12"/>
                <w:szCs w:val="16"/>
              </w:rPr>
              <w:t>772</w:t>
            </w:r>
          </w:p>
        </w:tc>
      </w:tr>
      <w:tr w:rsidR="00064D35" w:rsidRPr="005A7E89" w14:paraId="7B3919AA"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CB70257"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63E17AD3"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5C31EBD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TPE3/4CO</w:t>
            </w:r>
          </w:p>
        </w:tc>
        <w:tc>
          <w:tcPr>
            <w:tcW w:w="993" w:type="dxa"/>
            <w:tcBorders>
              <w:top w:val="nil"/>
              <w:left w:val="nil"/>
              <w:bottom w:val="single" w:sz="4" w:space="0" w:color="auto"/>
              <w:right w:val="single" w:sz="4" w:space="0" w:color="auto"/>
            </w:tcBorders>
            <w:shd w:val="clear" w:color="auto" w:fill="auto"/>
            <w:noWrap/>
            <w:vAlign w:val="center"/>
          </w:tcPr>
          <w:p w14:paraId="02313BE6"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75</w:t>
            </w:r>
            <w:r w:rsidR="00376FB4">
              <w:rPr>
                <w:rFonts w:ascii="Bookman Old Style" w:hAnsi="Bookman Old Style"/>
                <w:color w:val="000000"/>
                <w:sz w:val="12"/>
                <w:szCs w:val="16"/>
              </w:rPr>
              <w:t>.</w:t>
            </w:r>
            <w:r w:rsidRPr="00865C0F">
              <w:rPr>
                <w:rFonts w:ascii="Bookman Old Style" w:hAnsi="Bookman Old Style"/>
                <w:color w:val="000000"/>
                <w:sz w:val="12"/>
                <w:szCs w:val="16"/>
              </w:rPr>
              <w:t>267</w:t>
            </w:r>
            <w:r w:rsidR="00376FB4">
              <w:rPr>
                <w:rFonts w:ascii="Bookman Old Style" w:hAnsi="Bookman Old Style"/>
                <w:color w:val="000000"/>
                <w:sz w:val="12"/>
                <w:szCs w:val="16"/>
              </w:rPr>
              <w:t>.</w:t>
            </w:r>
            <w:r w:rsidRPr="00865C0F">
              <w:rPr>
                <w:rFonts w:ascii="Bookman Old Style" w:hAnsi="Bookman Old Style"/>
                <w:color w:val="000000"/>
                <w:sz w:val="12"/>
                <w:szCs w:val="16"/>
              </w:rPr>
              <w:t>997</w:t>
            </w:r>
          </w:p>
        </w:tc>
        <w:tc>
          <w:tcPr>
            <w:tcW w:w="992" w:type="dxa"/>
            <w:tcBorders>
              <w:top w:val="nil"/>
              <w:left w:val="nil"/>
              <w:bottom w:val="single" w:sz="4" w:space="0" w:color="auto"/>
              <w:right w:val="single" w:sz="4" w:space="0" w:color="auto"/>
            </w:tcBorders>
            <w:shd w:val="clear" w:color="auto" w:fill="auto"/>
            <w:noWrap/>
            <w:vAlign w:val="center"/>
          </w:tcPr>
          <w:p w14:paraId="35D3A126"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2DA0A4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1C9C7C5"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394</w:t>
            </w:r>
          </w:p>
        </w:tc>
        <w:tc>
          <w:tcPr>
            <w:tcW w:w="426" w:type="dxa"/>
            <w:tcBorders>
              <w:top w:val="nil"/>
              <w:left w:val="nil"/>
              <w:bottom w:val="single" w:sz="4" w:space="0" w:color="auto"/>
              <w:right w:val="single" w:sz="4" w:space="0" w:color="auto"/>
            </w:tcBorders>
            <w:shd w:val="clear" w:color="auto" w:fill="auto"/>
            <w:noWrap/>
            <w:vAlign w:val="center"/>
          </w:tcPr>
          <w:p w14:paraId="4501B95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E2F2FB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34670C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06127F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A47B00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29</w:t>
            </w:r>
            <w:r w:rsidR="00376FB4">
              <w:rPr>
                <w:rFonts w:ascii="Bookman Old Style" w:hAnsi="Bookman Old Style"/>
                <w:color w:val="000000"/>
                <w:sz w:val="12"/>
                <w:szCs w:val="16"/>
              </w:rPr>
              <w:t>.</w:t>
            </w:r>
            <w:r w:rsidRPr="007743CF">
              <w:rPr>
                <w:rFonts w:ascii="Bookman Old Style" w:hAnsi="Bookman Old Style"/>
                <w:color w:val="000000"/>
                <w:sz w:val="12"/>
                <w:szCs w:val="16"/>
              </w:rPr>
              <w:t>655</w:t>
            </w:r>
            <w:r w:rsidR="00376FB4">
              <w:rPr>
                <w:rFonts w:ascii="Bookman Old Style" w:hAnsi="Bookman Old Style"/>
                <w:color w:val="000000"/>
                <w:sz w:val="12"/>
                <w:szCs w:val="16"/>
              </w:rPr>
              <w:t>.</w:t>
            </w:r>
            <w:r w:rsidRPr="007743CF">
              <w:rPr>
                <w:rFonts w:ascii="Bookman Old Style" w:hAnsi="Bookman Old Style"/>
                <w:color w:val="000000"/>
                <w:sz w:val="12"/>
                <w:szCs w:val="16"/>
              </w:rPr>
              <w:t>591</w:t>
            </w:r>
          </w:p>
        </w:tc>
      </w:tr>
      <w:tr w:rsidR="00064D35" w:rsidRPr="005A7E89" w14:paraId="7BCE77D2"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89A8B23"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3BD8ABA3"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023D519A"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TPE1CO</w:t>
            </w:r>
          </w:p>
        </w:tc>
        <w:tc>
          <w:tcPr>
            <w:tcW w:w="993" w:type="dxa"/>
            <w:tcBorders>
              <w:top w:val="nil"/>
              <w:left w:val="nil"/>
              <w:bottom w:val="single" w:sz="4" w:space="0" w:color="auto"/>
              <w:right w:val="single" w:sz="4" w:space="0" w:color="auto"/>
            </w:tcBorders>
            <w:shd w:val="clear" w:color="auto" w:fill="auto"/>
            <w:noWrap/>
            <w:vAlign w:val="center"/>
          </w:tcPr>
          <w:p w14:paraId="05703C11"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77</w:t>
            </w:r>
            <w:r w:rsidR="00376FB4">
              <w:rPr>
                <w:rFonts w:ascii="Bookman Old Style" w:hAnsi="Bookman Old Style"/>
                <w:color w:val="000000"/>
                <w:sz w:val="12"/>
                <w:szCs w:val="16"/>
              </w:rPr>
              <w:t>.</w:t>
            </w:r>
            <w:r w:rsidRPr="00865C0F">
              <w:rPr>
                <w:rFonts w:ascii="Bookman Old Style" w:hAnsi="Bookman Old Style"/>
                <w:color w:val="000000"/>
                <w:sz w:val="12"/>
                <w:szCs w:val="16"/>
              </w:rPr>
              <w:t>818</w:t>
            </w:r>
            <w:r w:rsidR="00376FB4">
              <w:rPr>
                <w:rFonts w:ascii="Bookman Old Style" w:hAnsi="Bookman Old Style"/>
                <w:color w:val="000000"/>
                <w:sz w:val="12"/>
                <w:szCs w:val="16"/>
              </w:rPr>
              <w:t>.</w:t>
            </w:r>
            <w:r w:rsidRPr="00865C0F">
              <w:rPr>
                <w:rFonts w:ascii="Bookman Old Style" w:hAnsi="Bookman Old Style"/>
                <w:color w:val="000000"/>
                <w:sz w:val="12"/>
                <w:szCs w:val="16"/>
              </w:rPr>
              <w:t>615</w:t>
            </w:r>
          </w:p>
        </w:tc>
        <w:tc>
          <w:tcPr>
            <w:tcW w:w="992" w:type="dxa"/>
            <w:tcBorders>
              <w:top w:val="nil"/>
              <w:left w:val="nil"/>
              <w:bottom w:val="single" w:sz="4" w:space="0" w:color="auto"/>
              <w:right w:val="single" w:sz="4" w:space="0" w:color="auto"/>
            </w:tcBorders>
            <w:shd w:val="clear" w:color="auto" w:fill="auto"/>
            <w:noWrap/>
            <w:vAlign w:val="center"/>
          </w:tcPr>
          <w:p w14:paraId="3DBD17B8"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A43B984"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3330B2A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352</w:t>
            </w:r>
          </w:p>
        </w:tc>
        <w:tc>
          <w:tcPr>
            <w:tcW w:w="426" w:type="dxa"/>
            <w:tcBorders>
              <w:top w:val="nil"/>
              <w:left w:val="nil"/>
              <w:bottom w:val="single" w:sz="4" w:space="0" w:color="auto"/>
              <w:right w:val="single" w:sz="4" w:space="0" w:color="auto"/>
            </w:tcBorders>
            <w:shd w:val="clear" w:color="auto" w:fill="auto"/>
            <w:noWrap/>
            <w:vAlign w:val="center"/>
          </w:tcPr>
          <w:p w14:paraId="6E4379C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DA2B1F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59203E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DACB77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60653ED"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27</w:t>
            </w:r>
            <w:r w:rsidR="00376FB4">
              <w:rPr>
                <w:rFonts w:ascii="Bookman Old Style" w:hAnsi="Bookman Old Style"/>
                <w:color w:val="000000"/>
                <w:sz w:val="12"/>
                <w:szCs w:val="16"/>
              </w:rPr>
              <w:t>.</w:t>
            </w:r>
            <w:r w:rsidRPr="007743CF">
              <w:rPr>
                <w:rFonts w:ascii="Bookman Old Style" w:hAnsi="Bookman Old Style"/>
                <w:color w:val="000000"/>
                <w:sz w:val="12"/>
                <w:szCs w:val="16"/>
              </w:rPr>
              <w:t>392</w:t>
            </w:r>
            <w:r w:rsidR="00376FB4">
              <w:rPr>
                <w:rFonts w:ascii="Bookman Old Style" w:hAnsi="Bookman Old Style"/>
                <w:color w:val="000000"/>
                <w:sz w:val="12"/>
                <w:szCs w:val="16"/>
              </w:rPr>
              <w:t>.</w:t>
            </w:r>
            <w:r w:rsidRPr="007743CF">
              <w:rPr>
                <w:rFonts w:ascii="Bookman Old Style" w:hAnsi="Bookman Old Style"/>
                <w:color w:val="000000"/>
                <w:sz w:val="12"/>
                <w:szCs w:val="16"/>
              </w:rPr>
              <w:t>153</w:t>
            </w:r>
          </w:p>
        </w:tc>
      </w:tr>
      <w:tr w:rsidR="00064D35" w:rsidRPr="005A7E89" w14:paraId="2CE2AC15"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AD7B37E"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000DBA86"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29B960A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TPE2CO</w:t>
            </w:r>
          </w:p>
        </w:tc>
        <w:tc>
          <w:tcPr>
            <w:tcW w:w="993" w:type="dxa"/>
            <w:tcBorders>
              <w:top w:val="nil"/>
              <w:left w:val="nil"/>
              <w:bottom w:val="single" w:sz="4" w:space="0" w:color="auto"/>
              <w:right w:val="single" w:sz="4" w:space="0" w:color="auto"/>
            </w:tcBorders>
            <w:shd w:val="clear" w:color="auto" w:fill="auto"/>
            <w:noWrap/>
            <w:vAlign w:val="center"/>
          </w:tcPr>
          <w:p w14:paraId="47BE96F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88</w:t>
            </w:r>
            <w:r w:rsidR="00376FB4">
              <w:rPr>
                <w:rFonts w:ascii="Bookman Old Style" w:hAnsi="Bookman Old Style"/>
                <w:color w:val="000000"/>
                <w:sz w:val="12"/>
                <w:szCs w:val="16"/>
              </w:rPr>
              <w:t>.</w:t>
            </w:r>
            <w:r w:rsidRPr="00865C0F">
              <w:rPr>
                <w:rFonts w:ascii="Bookman Old Style" w:hAnsi="Bookman Old Style"/>
                <w:color w:val="000000"/>
                <w:sz w:val="12"/>
                <w:szCs w:val="16"/>
              </w:rPr>
              <w:t>937</w:t>
            </w:r>
            <w:r w:rsidR="00376FB4">
              <w:rPr>
                <w:rFonts w:ascii="Bookman Old Style" w:hAnsi="Bookman Old Style"/>
                <w:color w:val="000000"/>
                <w:sz w:val="12"/>
                <w:szCs w:val="16"/>
              </w:rPr>
              <w:t>.</w:t>
            </w:r>
            <w:r w:rsidRPr="00865C0F">
              <w:rPr>
                <w:rFonts w:ascii="Bookman Old Style" w:hAnsi="Bookman Old Style"/>
                <w:color w:val="000000"/>
                <w:sz w:val="12"/>
                <w:szCs w:val="16"/>
              </w:rPr>
              <w:t>391</w:t>
            </w:r>
          </w:p>
        </w:tc>
        <w:tc>
          <w:tcPr>
            <w:tcW w:w="992" w:type="dxa"/>
            <w:tcBorders>
              <w:top w:val="nil"/>
              <w:left w:val="nil"/>
              <w:bottom w:val="single" w:sz="4" w:space="0" w:color="auto"/>
              <w:right w:val="single" w:sz="4" w:space="0" w:color="auto"/>
            </w:tcBorders>
            <w:shd w:val="clear" w:color="auto" w:fill="auto"/>
            <w:noWrap/>
            <w:vAlign w:val="center"/>
          </w:tcPr>
          <w:p w14:paraId="75B1E867"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452DA87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03A57AA3"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251</w:t>
            </w:r>
          </w:p>
        </w:tc>
        <w:tc>
          <w:tcPr>
            <w:tcW w:w="426" w:type="dxa"/>
            <w:tcBorders>
              <w:top w:val="nil"/>
              <w:left w:val="nil"/>
              <w:bottom w:val="single" w:sz="4" w:space="0" w:color="auto"/>
              <w:right w:val="single" w:sz="4" w:space="0" w:color="auto"/>
            </w:tcBorders>
            <w:shd w:val="clear" w:color="auto" w:fill="auto"/>
            <w:noWrap/>
            <w:vAlign w:val="center"/>
          </w:tcPr>
          <w:p w14:paraId="7E5E6DA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7A22AA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34A903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E8CA35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4633485"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22</w:t>
            </w:r>
            <w:r w:rsidR="00376FB4">
              <w:rPr>
                <w:rFonts w:ascii="Bookman Old Style" w:hAnsi="Bookman Old Style"/>
                <w:color w:val="000000"/>
                <w:sz w:val="12"/>
                <w:szCs w:val="16"/>
              </w:rPr>
              <w:t>.</w:t>
            </w:r>
            <w:r w:rsidRPr="007743CF">
              <w:rPr>
                <w:rFonts w:ascii="Bookman Old Style" w:hAnsi="Bookman Old Style"/>
                <w:color w:val="000000"/>
                <w:sz w:val="12"/>
                <w:szCs w:val="16"/>
              </w:rPr>
              <w:t>323</w:t>
            </w:r>
            <w:r w:rsidR="00376FB4">
              <w:rPr>
                <w:rFonts w:ascii="Bookman Old Style" w:hAnsi="Bookman Old Style"/>
                <w:color w:val="000000"/>
                <w:sz w:val="12"/>
                <w:szCs w:val="16"/>
              </w:rPr>
              <w:t>.</w:t>
            </w:r>
            <w:r w:rsidRPr="007743CF">
              <w:rPr>
                <w:rFonts w:ascii="Bookman Old Style" w:hAnsi="Bookman Old Style"/>
                <w:color w:val="000000"/>
                <w:sz w:val="12"/>
                <w:szCs w:val="16"/>
              </w:rPr>
              <w:t>285</w:t>
            </w:r>
          </w:p>
        </w:tc>
      </w:tr>
      <w:tr w:rsidR="00064D35" w:rsidRPr="005A7E89" w14:paraId="2DC240A4"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EF06C56"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3878D664"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0EC5882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4B061BF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53</w:t>
            </w:r>
            <w:r w:rsidR="00376FB4">
              <w:rPr>
                <w:rFonts w:ascii="Bookman Old Style" w:hAnsi="Bookman Old Style"/>
                <w:color w:val="000000"/>
                <w:sz w:val="12"/>
                <w:szCs w:val="16"/>
              </w:rPr>
              <w:t>.</w:t>
            </w:r>
            <w:r w:rsidRPr="00865C0F">
              <w:rPr>
                <w:rFonts w:ascii="Bookman Old Style" w:hAnsi="Bookman Old Style"/>
                <w:color w:val="000000"/>
                <w:sz w:val="12"/>
                <w:szCs w:val="16"/>
              </w:rPr>
              <w:t>097</w:t>
            </w:r>
            <w:r w:rsidR="00376FB4">
              <w:rPr>
                <w:rFonts w:ascii="Bookman Old Style" w:hAnsi="Bookman Old Style"/>
                <w:color w:val="000000"/>
                <w:sz w:val="12"/>
                <w:szCs w:val="16"/>
              </w:rPr>
              <w:t>.</w:t>
            </w:r>
            <w:r w:rsidRPr="00865C0F">
              <w:rPr>
                <w:rFonts w:ascii="Bookman Old Style" w:hAnsi="Bookman Old Style"/>
                <w:color w:val="000000"/>
                <w:sz w:val="12"/>
                <w:szCs w:val="16"/>
              </w:rPr>
              <w:t>313</w:t>
            </w:r>
          </w:p>
        </w:tc>
        <w:tc>
          <w:tcPr>
            <w:tcW w:w="992" w:type="dxa"/>
            <w:tcBorders>
              <w:top w:val="nil"/>
              <w:left w:val="nil"/>
              <w:bottom w:val="single" w:sz="4" w:space="0" w:color="auto"/>
              <w:right w:val="single" w:sz="4" w:space="0" w:color="auto"/>
            </w:tcBorders>
            <w:shd w:val="clear" w:color="auto" w:fill="auto"/>
            <w:noWrap/>
            <w:vAlign w:val="center"/>
          </w:tcPr>
          <w:p w14:paraId="446C7321"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0F899800"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2C98F7C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218</w:t>
            </w:r>
          </w:p>
        </w:tc>
        <w:tc>
          <w:tcPr>
            <w:tcW w:w="426" w:type="dxa"/>
            <w:tcBorders>
              <w:top w:val="nil"/>
              <w:left w:val="nil"/>
              <w:bottom w:val="single" w:sz="4" w:space="0" w:color="auto"/>
              <w:right w:val="single" w:sz="4" w:space="0" w:color="auto"/>
            </w:tcBorders>
            <w:shd w:val="clear" w:color="auto" w:fill="auto"/>
            <w:noWrap/>
            <w:vAlign w:val="center"/>
          </w:tcPr>
          <w:p w14:paraId="0365E3C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6E057B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792863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B349BD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C4A699B"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11</w:t>
            </w:r>
            <w:r w:rsidR="00376FB4">
              <w:rPr>
                <w:rFonts w:ascii="Bookman Old Style" w:hAnsi="Bookman Old Style"/>
                <w:color w:val="000000"/>
                <w:sz w:val="12"/>
                <w:szCs w:val="16"/>
              </w:rPr>
              <w:t>.</w:t>
            </w:r>
            <w:r w:rsidRPr="007743CF">
              <w:rPr>
                <w:rFonts w:ascii="Bookman Old Style" w:hAnsi="Bookman Old Style"/>
                <w:color w:val="000000"/>
                <w:sz w:val="12"/>
                <w:szCs w:val="16"/>
              </w:rPr>
              <w:t>575</w:t>
            </w:r>
            <w:r w:rsidR="00376FB4">
              <w:rPr>
                <w:rFonts w:ascii="Bookman Old Style" w:hAnsi="Bookman Old Style"/>
                <w:color w:val="000000"/>
                <w:sz w:val="12"/>
                <w:szCs w:val="16"/>
              </w:rPr>
              <w:t>.</w:t>
            </w:r>
            <w:r w:rsidRPr="007743CF">
              <w:rPr>
                <w:rFonts w:ascii="Bookman Old Style" w:hAnsi="Bookman Old Style"/>
                <w:color w:val="000000"/>
                <w:sz w:val="12"/>
                <w:szCs w:val="16"/>
              </w:rPr>
              <w:t>214</w:t>
            </w:r>
          </w:p>
        </w:tc>
      </w:tr>
      <w:tr w:rsidR="00064D35" w:rsidRPr="005A7E89" w14:paraId="251988D3"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036AB8C"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1C5FD6C7"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Andén Tableta, Baldosín, Gravilla</w:t>
            </w:r>
          </w:p>
        </w:tc>
        <w:tc>
          <w:tcPr>
            <w:tcW w:w="1067" w:type="dxa"/>
            <w:tcBorders>
              <w:top w:val="nil"/>
              <w:left w:val="nil"/>
              <w:bottom w:val="single" w:sz="4" w:space="0" w:color="auto"/>
              <w:right w:val="single" w:sz="4" w:space="0" w:color="auto"/>
            </w:tcBorders>
            <w:shd w:val="clear" w:color="auto" w:fill="auto"/>
            <w:noWrap/>
            <w:vAlign w:val="center"/>
          </w:tcPr>
          <w:p w14:paraId="23BF5D9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TPE3/4TA</w:t>
            </w:r>
          </w:p>
        </w:tc>
        <w:tc>
          <w:tcPr>
            <w:tcW w:w="993" w:type="dxa"/>
            <w:tcBorders>
              <w:top w:val="nil"/>
              <w:left w:val="nil"/>
              <w:bottom w:val="single" w:sz="4" w:space="0" w:color="auto"/>
              <w:right w:val="single" w:sz="4" w:space="0" w:color="auto"/>
            </w:tcBorders>
            <w:shd w:val="clear" w:color="auto" w:fill="auto"/>
            <w:noWrap/>
            <w:vAlign w:val="center"/>
          </w:tcPr>
          <w:p w14:paraId="7F77619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56</w:t>
            </w:r>
            <w:r w:rsidR="00376FB4">
              <w:rPr>
                <w:rFonts w:ascii="Bookman Old Style" w:hAnsi="Bookman Old Style"/>
                <w:color w:val="000000"/>
                <w:sz w:val="12"/>
                <w:szCs w:val="16"/>
              </w:rPr>
              <w:t>.</w:t>
            </w:r>
            <w:r w:rsidRPr="00865C0F">
              <w:rPr>
                <w:rFonts w:ascii="Bookman Old Style" w:hAnsi="Bookman Old Style"/>
                <w:color w:val="000000"/>
                <w:sz w:val="12"/>
                <w:szCs w:val="16"/>
              </w:rPr>
              <w:t>166</w:t>
            </w:r>
            <w:r w:rsidR="00376FB4">
              <w:rPr>
                <w:rFonts w:ascii="Bookman Old Style" w:hAnsi="Bookman Old Style"/>
                <w:color w:val="000000"/>
                <w:sz w:val="12"/>
                <w:szCs w:val="16"/>
              </w:rPr>
              <w:t>.</w:t>
            </w:r>
            <w:r w:rsidRPr="00865C0F">
              <w:rPr>
                <w:rFonts w:ascii="Bookman Old Style" w:hAnsi="Bookman Old Style"/>
                <w:color w:val="000000"/>
                <w:sz w:val="12"/>
                <w:szCs w:val="16"/>
              </w:rPr>
              <w:t>218</w:t>
            </w:r>
          </w:p>
        </w:tc>
        <w:tc>
          <w:tcPr>
            <w:tcW w:w="992" w:type="dxa"/>
            <w:tcBorders>
              <w:top w:val="nil"/>
              <w:left w:val="nil"/>
              <w:bottom w:val="single" w:sz="4" w:space="0" w:color="auto"/>
              <w:right w:val="single" w:sz="4" w:space="0" w:color="auto"/>
            </w:tcBorders>
            <w:shd w:val="clear" w:color="auto" w:fill="auto"/>
            <w:noWrap/>
            <w:vAlign w:val="center"/>
          </w:tcPr>
          <w:p w14:paraId="21E8E7D5"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F128C8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05A6E39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14</w:t>
            </w:r>
          </w:p>
        </w:tc>
        <w:tc>
          <w:tcPr>
            <w:tcW w:w="426" w:type="dxa"/>
            <w:tcBorders>
              <w:top w:val="nil"/>
              <w:left w:val="nil"/>
              <w:bottom w:val="single" w:sz="4" w:space="0" w:color="auto"/>
              <w:right w:val="single" w:sz="4" w:space="0" w:color="auto"/>
            </w:tcBorders>
            <w:shd w:val="clear" w:color="auto" w:fill="auto"/>
            <w:noWrap/>
            <w:vAlign w:val="center"/>
          </w:tcPr>
          <w:p w14:paraId="6E755D0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77F0BE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FF914B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19C318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024F6B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7</w:t>
            </w:r>
            <w:r w:rsidR="00376FB4">
              <w:rPr>
                <w:rFonts w:ascii="Bookman Old Style" w:hAnsi="Bookman Old Style"/>
                <w:color w:val="000000"/>
                <w:sz w:val="12"/>
                <w:szCs w:val="16"/>
              </w:rPr>
              <w:t>.</w:t>
            </w:r>
            <w:r w:rsidRPr="007743CF">
              <w:rPr>
                <w:rFonts w:ascii="Bookman Old Style" w:hAnsi="Bookman Old Style"/>
                <w:color w:val="000000"/>
                <w:sz w:val="12"/>
                <w:szCs w:val="16"/>
              </w:rPr>
              <w:t>863</w:t>
            </w:r>
            <w:r w:rsidR="00376FB4">
              <w:rPr>
                <w:rFonts w:ascii="Bookman Old Style" w:hAnsi="Bookman Old Style"/>
                <w:color w:val="000000"/>
                <w:sz w:val="12"/>
                <w:szCs w:val="16"/>
              </w:rPr>
              <w:t>.</w:t>
            </w:r>
            <w:r w:rsidRPr="007743CF">
              <w:rPr>
                <w:rFonts w:ascii="Bookman Old Style" w:hAnsi="Bookman Old Style"/>
                <w:color w:val="000000"/>
                <w:sz w:val="12"/>
                <w:szCs w:val="16"/>
              </w:rPr>
              <w:t>271</w:t>
            </w:r>
          </w:p>
        </w:tc>
      </w:tr>
      <w:tr w:rsidR="00064D35" w:rsidRPr="005A7E89" w14:paraId="5568D5E2"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FA2BEEC"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01835BC6"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27646DF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52DB1E3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19</w:t>
            </w:r>
            <w:r w:rsidR="00376FB4">
              <w:rPr>
                <w:rFonts w:ascii="Bookman Old Style" w:hAnsi="Bookman Old Style"/>
                <w:color w:val="000000"/>
                <w:sz w:val="12"/>
                <w:szCs w:val="16"/>
              </w:rPr>
              <w:t>.</w:t>
            </w:r>
            <w:r w:rsidRPr="00865C0F">
              <w:rPr>
                <w:rFonts w:ascii="Bookman Old Style" w:hAnsi="Bookman Old Style"/>
                <w:color w:val="000000"/>
                <w:sz w:val="12"/>
                <w:szCs w:val="16"/>
              </w:rPr>
              <w:t>416</w:t>
            </w:r>
            <w:r w:rsidR="00376FB4">
              <w:rPr>
                <w:rFonts w:ascii="Bookman Old Style" w:hAnsi="Bookman Old Style"/>
                <w:color w:val="000000"/>
                <w:sz w:val="12"/>
                <w:szCs w:val="16"/>
              </w:rPr>
              <w:t>.</w:t>
            </w:r>
            <w:r w:rsidRPr="00865C0F">
              <w:rPr>
                <w:rFonts w:ascii="Bookman Old Style" w:hAnsi="Bookman Old Style"/>
                <w:color w:val="000000"/>
                <w:sz w:val="12"/>
                <w:szCs w:val="16"/>
              </w:rPr>
              <w:t>540</w:t>
            </w:r>
          </w:p>
        </w:tc>
        <w:tc>
          <w:tcPr>
            <w:tcW w:w="992" w:type="dxa"/>
            <w:tcBorders>
              <w:top w:val="nil"/>
              <w:left w:val="nil"/>
              <w:bottom w:val="single" w:sz="4" w:space="0" w:color="auto"/>
              <w:right w:val="single" w:sz="4" w:space="0" w:color="auto"/>
            </w:tcBorders>
            <w:shd w:val="clear" w:color="auto" w:fill="auto"/>
            <w:noWrap/>
            <w:vAlign w:val="center"/>
          </w:tcPr>
          <w:p w14:paraId="3B2394B0"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F0BFE99"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A332B8A"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r w:rsidR="000A3D5F">
              <w:rPr>
                <w:rFonts w:ascii="Bookman Old Style" w:hAnsi="Bookman Old Style"/>
                <w:color w:val="000000"/>
                <w:sz w:val="12"/>
                <w:szCs w:val="16"/>
              </w:rPr>
              <w:t>,</w:t>
            </w:r>
            <w:r w:rsidRPr="007743CF">
              <w:rPr>
                <w:rFonts w:ascii="Bookman Old Style" w:hAnsi="Bookman Old Style"/>
                <w:color w:val="000000"/>
                <w:sz w:val="12"/>
                <w:szCs w:val="16"/>
              </w:rPr>
              <w:t>088</w:t>
            </w:r>
          </w:p>
        </w:tc>
        <w:tc>
          <w:tcPr>
            <w:tcW w:w="426" w:type="dxa"/>
            <w:tcBorders>
              <w:top w:val="nil"/>
              <w:left w:val="nil"/>
              <w:bottom w:val="single" w:sz="4" w:space="0" w:color="auto"/>
              <w:right w:val="single" w:sz="4" w:space="0" w:color="auto"/>
            </w:tcBorders>
            <w:shd w:val="clear" w:color="auto" w:fill="auto"/>
            <w:noWrap/>
            <w:vAlign w:val="center"/>
          </w:tcPr>
          <w:p w14:paraId="481A45E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2F91AB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982D03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A7AEA3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6877C260"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21</w:t>
            </w:r>
            <w:r w:rsidR="00376FB4">
              <w:rPr>
                <w:rFonts w:ascii="Bookman Old Style" w:hAnsi="Bookman Old Style"/>
                <w:color w:val="000000"/>
                <w:sz w:val="12"/>
                <w:szCs w:val="16"/>
              </w:rPr>
              <w:t>.</w:t>
            </w:r>
            <w:r w:rsidRPr="007743CF">
              <w:rPr>
                <w:rFonts w:ascii="Bookman Old Style" w:hAnsi="Bookman Old Style"/>
                <w:color w:val="000000"/>
                <w:sz w:val="12"/>
                <w:szCs w:val="16"/>
              </w:rPr>
              <w:t>125</w:t>
            </w:r>
            <w:r w:rsidR="00376FB4">
              <w:rPr>
                <w:rFonts w:ascii="Bookman Old Style" w:hAnsi="Bookman Old Style"/>
                <w:color w:val="000000"/>
                <w:sz w:val="12"/>
                <w:szCs w:val="16"/>
              </w:rPr>
              <w:t>.</w:t>
            </w:r>
            <w:r w:rsidRPr="007743CF">
              <w:rPr>
                <w:rFonts w:ascii="Bookman Old Style" w:hAnsi="Bookman Old Style"/>
                <w:color w:val="000000"/>
                <w:sz w:val="12"/>
                <w:szCs w:val="16"/>
              </w:rPr>
              <w:t>196</w:t>
            </w:r>
          </w:p>
        </w:tc>
      </w:tr>
      <w:tr w:rsidR="00064D35" w:rsidRPr="005A7E89" w14:paraId="72FD8AE6"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1E2265B"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4BE63013"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tcPr>
          <w:p w14:paraId="58CF1986"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TPE1ZV</w:t>
            </w:r>
          </w:p>
        </w:tc>
        <w:tc>
          <w:tcPr>
            <w:tcW w:w="993" w:type="dxa"/>
            <w:tcBorders>
              <w:top w:val="nil"/>
              <w:left w:val="nil"/>
              <w:bottom w:val="single" w:sz="4" w:space="0" w:color="auto"/>
              <w:right w:val="single" w:sz="4" w:space="0" w:color="auto"/>
            </w:tcBorders>
            <w:shd w:val="clear" w:color="auto" w:fill="auto"/>
            <w:noWrap/>
            <w:vAlign w:val="center"/>
          </w:tcPr>
          <w:p w14:paraId="1C13149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22</w:t>
            </w:r>
            <w:r w:rsidR="00376FB4">
              <w:rPr>
                <w:rFonts w:ascii="Bookman Old Style" w:hAnsi="Bookman Old Style"/>
                <w:color w:val="000000"/>
                <w:sz w:val="12"/>
                <w:szCs w:val="16"/>
              </w:rPr>
              <w:t>.</w:t>
            </w:r>
            <w:r w:rsidRPr="00865C0F">
              <w:rPr>
                <w:rFonts w:ascii="Bookman Old Style" w:hAnsi="Bookman Old Style"/>
                <w:color w:val="000000"/>
                <w:sz w:val="12"/>
                <w:szCs w:val="16"/>
              </w:rPr>
              <w:t>117</w:t>
            </w:r>
            <w:r w:rsidR="00376FB4">
              <w:rPr>
                <w:rFonts w:ascii="Bookman Old Style" w:hAnsi="Bookman Old Style"/>
                <w:color w:val="000000"/>
                <w:sz w:val="12"/>
                <w:szCs w:val="16"/>
              </w:rPr>
              <w:t>.</w:t>
            </w:r>
            <w:r w:rsidRPr="00865C0F">
              <w:rPr>
                <w:rFonts w:ascii="Bookman Old Style" w:hAnsi="Bookman Old Style"/>
                <w:color w:val="000000"/>
                <w:sz w:val="12"/>
                <w:szCs w:val="16"/>
              </w:rPr>
              <w:t>674</w:t>
            </w:r>
          </w:p>
        </w:tc>
        <w:tc>
          <w:tcPr>
            <w:tcW w:w="992" w:type="dxa"/>
            <w:tcBorders>
              <w:top w:val="nil"/>
              <w:left w:val="nil"/>
              <w:bottom w:val="single" w:sz="4" w:space="0" w:color="auto"/>
              <w:right w:val="single" w:sz="4" w:space="0" w:color="auto"/>
            </w:tcBorders>
            <w:shd w:val="clear" w:color="auto" w:fill="auto"/>
            <w:noWrap/>
            <w:vAlign w:val="center"/>
          </w:tcPr>
          <w:p w14:paraId="230A3981"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A4CD05F"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4FE2A36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4</w:t>
            </w:r>
            <w:r w:rsidR="000A3D5F">
              <w:rPr>
                <w:rFonts w:ascii="Bookman Old Style" w:hAnsi="Bookman Old Style"/>
                <w:color w:val="000000"/>
                <w:sz w:val="12"/>
                <w:szCs w:val="16"/>
              </w:rPr>
              <w:t>,</w:t>
            </w:r>
            <w:r w:rsidRPr="007743CF">
              <w:rPr>
                <w:rFonts w:ascii="Bookman Old Style" w:hAnsi="Bookman Old Style"/>
                <w:color w:val="000000"/>
                <w:sz w:val="12"/>
                <w:szCs w:val="16"/>
              </w:rPr>
              <w:t>428</w:t>
            </w:r>
          </w:p>
        </w:tc>
        <w:tc>
          <w:tcPr>
            <w:tcW w:w="426" w:type="dxa"/>
            <w:tcBorders>
              <w:top w:val="nil"/>
              <w:left w:val="nil"/>
              <w:bottom w:val="single" w:sz="4" w:space="0" w:color="auto"/>
              <w:right w:val="single" w:sz="4" w:space="0" w:color="auto"/>
            </w:tcBorders>
            <w:shd w:val="clear" w:color="auto" w:fill="auto"/>
            <w:noWrap/>
            <w:vAlign w:val="center"/>
          </w:tcPr>
          <w:p w14:paraId="44A4816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60579C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B1E937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F0B84D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7F4BCD9"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97</w:t>
            </w:r>
            <w:r w:rsidR="00376FB4">
              <w:rPr>
                <w:rFonts w:ascii="Bookman Old Style" w:hAnsi="Bookman Old Style"/>
                <w:color w:val="000000"/>
                <w:sz w:val="12"/>
                <w:szCs w:val="16"/>
              </w:rPr>
              <w:t>.</w:t>
            </w:r>
            <w:r w:rsidRPr="007743CF">
              <w:rPr>
                <w:rFonts w:ascii="Bookman Old Style" w:hAnsi="Bookman Old Style"/>
                <w:color w:val="000000"/>
                <w:sz w:val="12"/>
                <w:szCs w:val="16"/>
              </w:rPr>
              <w:t>937</w:t>
            </w:r>
            <w:r w:rsidR="00376FB4">
              <w:rPr>
                <w:rFonts w:ascii="Bookman Old Style" w:hAnsi="Bookman Old Style"/>
                <w:color w:val="000000"/>
                <w:sz w:val="12"/>
                <w:szCs w:val="16"/>
              </w:rPr>
              <w:t>.</w:t>
            </w:r>
            <w:r w:rsidRPr="007743CF">
              <w:rPr>
                <w:rFonts w:ascii="Bookman Old Style" w:hAnsi="Bookman Old Style"/>
                <w:color w:val="000000"/>
                <w:sz w:val="12"/>
                <w:szCs w:val="16"/>
              </w:rPr>
              <w:t>061</w:t>
            </w:r>
          </w:p>
        </w:tc>
      </w:tr>
      <w:tr w:rsidR="00064D35" w:rsidRPr="005A7E89" w14:paraId="79FA329D"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3C690FF" w14:textId="77777777" w:rsidR="00064D35" w:rsidRPr="00865C0F" w:rsidRDefault="00505C1E" w:rsidP="00064D35">
            <w:pPr>
              <w:ind w:left="0"/>
              <w:jc w:val="center"/>
              <w:rPr>
                <w:rFonts w:ascii="Bookman Old Style" w:hAnsi="Bookman Old Style"/>
                <w:color w:val="000000"/>
                <w:sz w:val="12"/>
                <w:szCs w:val="16"/>
              </w:rPr>
            </w:pPr>
            <w:r>
              <w:rPr>
                <w:rFonts w:ascii="Bookman Old Style" w:hAnsi="Bookman Old Style"/>
                <w:color w:val="000000"/>
                <w:sz w:val="12"/>
                <w:szCs w:val="16"/>
              </w:rPr>
              <w:t>San Antonio</w:t>
            </w:r>
            <w:r w:rsidR="00064D35" w:rsidRPr="00865C0F">
              <w:rPr>
                <w:rFonts w:ascii="Bookman Old Style" w:hAnsi="Bookman Old Style"/>
                <w:color w:val="000000"/>
                <w:sz w:val="12"/>
                <w:szCs w:val="16"/>
              </w:rPr>
              <w:t>-Cerete-</w:t>
            </w:r>
            <w:r>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73B5286D"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tcPr>
          <w:p w14:paraId="07DCDABB"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TPE2ZV</w:t>
            </w:r>
          </w:p>
        </w:tc>
        <w:tc>
          <w:tcPr>
            <w:tcW w:w="993" w:type="dxa"/>
            <w:tcBorders>
              <w:top w:val="nil"/>
              <w:left w:val="nil"/>
              <w:bottom w:val="single" w:sz="4" w:space="0" w:color="auto"/>
              <w:right w:val="single" w:sz="4" w:space="0" w:color="auto"/>
            </w:tcBorders>
            <w:shd w:val="clear" w:color="auto" w:fill="auto"/>
            <w:noWrap/>
            <w:vAlign w:val="center"/>
          </w:tcPr>
          <w:p w14:paraId="3EBFF899"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33</w:t>
            </w:r>
            <w:r w:rsidR="00376FB4">
              <w:rPr>
                <w:rFonts w:ascii="Bookman Old Style" w:hAnsi="Bookman Old Style"/>
                <w:color w:val="000000"/>
                <w:sz w:val="12"/>
                <w:szCs w:val="16"/>
              </w:rPr>
              <w:t>.</w:t>
            </w:r>
            <w:r w:rsidRPr="00865C0F">
              <w:rPr>
                <w:rFonts w:ascii="Bookman Old Style" w:hAnsi="Bookman Old Style"/>
                <w:color w:val="000000"/>
                <w:sz w:val="12"/>
                <w:szCs w:val="16"/>
              </w:rPr>
              <w:t>719</w:t>
            </w:r>
            <w:r w:rsidR="00376FB4">
              <w:rPr>
                <w:rFonts w:ascii="Bookman Old Style" w:hAnsi="Bookman Old Style"/>
                <w:color w:val="000000"/>
                <w:sz w:val="12"/>
                <w:szCs w:val="16"/>
              </w:rPr>
              <w:t>.</w:t>
            </w:r>
            <w:r w:rsidRPr="00865C0F">
              <w:rPr>
                <w:rFonts w:ascii="Bookman Old Style" w:hAnsi="Bookman Old Style"/>
                <w:color w:val="000000"/>
                <w:sz w:val="12"/>
                <w:szCs w:val="16"/>
              </w:rPr>
              <w:t>184</w:t>
            </w:r>
          </w:p>
        </w:tc>
        <w:tc>
          <w:tcPr>
            <w:tcW w:w="992" w:type="dxa"/>
            <w:tcBorders>
              <w:top w:val="nil"/>
              <w:left w:val="nil"/>
              <w:bottom w:val="single" w:sz="4" w:space="0" w:color="auto"/>
              <w:right w:val="single" w:sz="4" w:space="0" w:color="auto"/>
            </w:tcBorders>
            <w:shd w:val="clear" w:color="auto" w:fill="auto"/>
            <w:noWrap/>
            <w:vAlign w:val="center"/>
          </w:tcPr>
          <w:p w14:paraId="65B0D60E"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4C10B412"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7D9005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787</w:t>
            </w:r>
          </w:p>
        </w:tc>
        <w:tc>
          <w:tcPr>
            <w:tcW w:w="426" w:type="dxa"/>
            <w:tcBorders>
              <w:top w:val="nil"/>
              <w:left w:val="nil"/>
              <w:bottom w:val="single" w:sz="4" w:space="0" w:color="auto"/>
              <w:right w:val="single" w:sz="4" w:space="0" w:color="auto"/>
            </w:tcBorders>
            <w:shd w:val="clear" w:color="auto" w:fill="auto"/>
            <w:noWrap/>
            <w:vAlign w:val="center"/>
          </w:tcPr>
          <w:p w14:paraId="1AEECF5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69600B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3A770A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99AC67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1BD65E1"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26</w:t>
            </w:r>
            <w:r w:rsidR="00376FB4">
              <w:rPr>
                <w:rFonts w:ascii="Bookman Old Style" w:hAnsi="Bookman Old Style"/>
                <w:color w:val="000000"/>
                <w:sz w:val="12"/>
                <w:szCs w:val="16"/>
              </w:rPr>
              <w:t>.</w:t>
            </w:r>
            <w:r w:rsidRPr="007743CF">
              <w:rPr>
                <w:rFonts w:ascii="Bookman Old Style" w:hAnsi="Bookman Old Style"/>
                <w:color w:val="000000"/>
                <w:sz w:val="12"/>
                <w:szCs w:val="16"/>
              </w:rPr>
              <w:t>536</w:t>
            </w:r>
            <w:r w:rsidR="00376FB4">
              <w:rPr>
                <w:rFonts w:ascii="Bookman Old Style" w:hAnsi="Bookman Old Style"/>
                <w:color w:val="000000"/>
                <w:sz w:val="12"/>
                <w:szCs w:val="16"/>
              </w:rPr>
              <w:t>.</w:t>
            </w:r>
            <w:r w:rsidRPr="007743CF">
              <w:rPr>
                <w:rFonts w:ascii="Bookman Old Style" w:hAnsi="Bookman Old Style"/>
                <w:color w:val="000000"/>
                <w:sz w:val="12"/>
                <w:szCs w:val="16"/>
              </w:rPr>
              <w:t>998</w:t>
            </w:r>
          </w:p>
        </w:tc>
      </w:tr>
      <w:tr w:rsidR="00064D35" w:rsidRPr="005A7E89" w14:paraId="18C5B8B9"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E74B4F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2E4FFC71"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4D944D2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TPE3/4CO</w:t>
            </w:r>
          </w:p>
        </w:tc>
        <w:tc>
          <w:tcPr>
            <w:tcW w:w="993" w:type="dxa"/>
            <w:tcBorders>
              <w:top w:val="nil"/>
              <w:left w:val="nil"/>
              <w:bottom w:val="single" w:sz="4" w:space="0" w:color="auto"/>
              <w:right w:val="single" w:sz="4" w:space="0" w:color="auto"/>
            </w:tcBorders>
            <w:shd w:val="clear" w:color="auto" w:fill="auto"/>
            <w:noWrap/>
            <w:vAlign w:val="center"/>
          </w:tcPr>
          <w:p w14:paraId="4D616DD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75</w:t>
            </w:r>
            <w:r w:rsidR="00376FB4">
              <w:rPr>
                <w:rFonts w:ascii="Bookman Old Style" w:hAnsi="Bookman Old Style"/>
                <w:color w:val="000000"/>
                <w:sz w:val="12"/>
                <w:szCs w:val="16"/>
              </w:rPr>
              <w:t>.</w:t>
            </w:r>
            <w:r w:rsidRPr="00865C0F">
              <w:rPr>
                <w:rFonts w:ascii="Bookman Old Style" w:hAnsi="Bookman Old Style"/>
                <w:color w:val="000000"/>
                <w:sz w:val="12"/>
                <w:szCs w:val="16"/>
              </w:rPr>
              <w:t>267</w:t>
            </w:r>
            <w:r w:rsidR="00376FB4">
              <w:rPr>
                <w:rFonts w:ascii="Bookman Old Style" w:hAnsi="Bookman Old Style"/>
                <w:color w:val="000000"/>
                <w:sz w:val="12"/>
                <w:szCs w:val="16"/>
              </w:rPr>
              <w:t>.</w:t>
            </w:r>
            <w:r w:rsidRPr="00865C0F">
              <w:rPr>
                <w:rFonts w:ascii="Bookman Old Style" w:hAnsi="Bookman Old Style"/>
                <w:color w:val="000000"/>
                <w:sz w:val="12"/>
                <w:szCs w:val="16"/>
              </w:rPr>
              <w:t>997</w:t>
            </w:r>
          </w:p>
        </w:tc>
        <w:tc>
          <w:tcPr>
            <w:tcW w:w="992" w:type="dxa"/>
            <w:tcBorders>
              <w:top w:val="nil"/>
              <w:left w:val="nil"/>
              <w:bottom w:val="single" w:sz="4" w:space="0" w:color="auto"/>
              <w:right w:val="single" w:sz="4" w:space="0" w:color="auto"/>
            </w:tcBorders>
            <w:shd w:val="clear" w:color="auto" w:fill="auto"/>
            <w:noWrap/>
            <w:vAlign w:val="center"/>
          </w:tcPr>
          <w:p w14:paraId="2DBEED27"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09CBF2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85EB1D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319</w:t>
            </w:r>
          </w:p>
        </w:tc>
        <w:tc>
          <w:tcPr>
            <w:tcW w:w="426" w:type="dxa"/>
            <w:tcBorders>
              <w:top w:val="nil"/>
              <w:left w:val="nil"/>
              <w:bottom w:val="single" w:sz="4" w:space="0" w:color="auto"/>
              <w:right w:val="single" w:sz="4" w:space="0" w:color="auto"/>
            </w:tcBorders>
            <w:shd w:val="clear" w:color="auto" w:fill="auto"/>
            <w:noWrap/>
            <w:vAlign w:val="center"/>
          </w:tcPr>
          <w:p w14:paraId="13D910B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963429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FFEED08"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1D812A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94FE309"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24</w:t>
            </w:r>
            <w:r w:rsidR="00376FB4">
              <w:rPr>
                <w:rFonts w:ascii="Bookman Old Style" w:hAnsi="Bookman Old Style"/>
                <w:color w:val="000000"/>
                <w:sz w:val="12"/>
                <w:szCs w:val="16"/>
              </w:rPr>
              <w:t>.</w:t>
            </w:r>
            <w:r w:rsidRPr="007743CF">
              <w:rPr>
                <w:rFonts w:ascii="Bookman Old Style" w:hAnsi="Bookman Old Style"/>
                <w:color w:val="000000"/>
                <w:sz w:val="12"/>
                <w:szCs w:val="16"/>
              </w:rPr>
              <w:t>010</w:t>
            </w:r>
            <w:r w:rsidR="00376FB4">
              <w:rPr>
                <w:rFonts w:ascii="Bookman Old Style" w:hAnsi="Bookman Old Style"/>
                <w:color w:val="000000"/>
                <w:sz w:val="12"/>
                <w:szCs w:val="16"/>
              </w:rPr>
              <w:t>.</w:t>
            </w:r>
            <w:r w:rsidRPr="007743CF">
              <w:rPr>
                <w:rFonts w:ascii="Bookman Old Style" w:hAnsi="Bookman Old Style"/>
                <w:color w:val="000000"/>
                <w:sz w:val="12"/>
                <w:szCs w:val="16"/>
              </w:rPr>
              <w:t>491</w:t>
            </w:r>
          </w:p>
        </w:tc>
      </w:tr>
      <w:tr w:rsidR="00064D35" w:rsidRPr="005A7E89" w14:paraId="79F9D2B6"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44C4C9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2E24718A"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472485B0"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TPE1CO</w:t>
            </w:r>
          </w:p>
        </w:tc>
        <w:tc>
          <w:tcPr>
            <w:tcW w:w="993" w:type="dxa"/>
            <w:tcBorders>
              <w:top w:val="nil"/>
              <w:left w:val="nil"/>
              <w:bottom w:val="single" w:sz="4" w:space="0" w:color="auto"/>
              <w:right w:val="single" w:sz="4" w:space="0" w:color="auto"/>
            </w:tcBorders>
            <w:shd w:val="clear" w:color="auto" w:fill="auto"/>
            <w:noWrap/>
            <w:vAlign w:val="center"/>
          </w:tcPr>
          <w:p w14:paraId="5F29808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77</w:t>
            </w:r>
            <w:r w:rsidR="00376FB4">
              <w:rPr>
                <w:rFonts w:ascii="Bookman Old Style" w:hAnsi="Bookman Old Style"/>
                <w:color w:val="000000"/>
                <w:sz w:val="12"/>
                <w:szCs w:val="16"/>
              </w:rPr>
              <w:t>.</w:t>
            </w:r>
            <w:r w:rsidRPr="00865C0F">
              <w:rPr>
                <w:rFonts w:ascii="Bookman Old Style" w:hAnsi="Bookman Old Style"/>
                <w:color w:val="000000"/>
                <w:sz w:val="12"/>
                <w:szCs w:val="16"/>
              </w:rPr>
              <w:t>818</w:t>
            </w:r>
            <w:r w:rsidR="00376FB4">
              <w:rPr>
                <w:rFonts w:ascii="Bookman Old Style" w:hAnsi="Bookman Old Style"/>
                <w:color w:val="000000"/>
                <w:sz w:val="12"/>
                <w:szCs w:val="16"/>
              </w:rPr>
              <w:t>.</w:t>
            </w:r>
            <w:r w:rsidRPr="00865C0F">
              <w:rPr>
                <w:rFonts w:ascii="Bookman Old Style" w:hAnsi="Bookman Old Style"/>
                <w:color w:val="000000"/>
                <w:sz w:val="12"/>
                <w:szCs w:val="16"/>
              </w:rPr>
              <w:t>615</w:t>
            </w:r>
          </w:p>
        </w:tc>
        <w:tc>
          <w:tcPr>
            <w:tcW w:w="992" w:type="dxa"/>
            <w:tcBorders>
              <w:top w:val="nil"/>
              <w:left w:val="nil"/>
              <w:bottom w:val="single" w:sz="4" w:space="0" w:color="auto"/>
              <w:right w:val="single" w:sz="4" w:space="0" w:color="auto"/>
            </w:tcBorders>
            <w:shd w:val="clear" w:color="auto" w:fill="auto"/>
            <w:noWrap/>
            <w:vAlign w:val="center"/>
          </w:tcPr>
          <w:p w14:paraId="5633F7AE"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22B1C31A"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18967DB6"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28</w:t>
            </w:r>
          </w:p>
        </w:tc>
        <w:tc>
          <w:tcPr>
            <w:tcW w:w="426" w:type="dxa"/>
            <w:tcBorders>
              <w:top w:val="nil"/>
              <w:left w:val="nil"/>
              <w:bottom w:val="single" w:sz="4" w:space="0" w:color="auto"/>
              <w:right w:val="single" w:sz="4" w:space="0" w:color="auto"/>
            </w:tcBorders>
            <w:shd w:val="clear" w:color="auto" w:fill="auto"/>
            <w:noWrap/>
            <w:vAlign w:val="center"/>
          </w:tcPr>
          <w:p w14:paraId="60616A9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443C50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6EB708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1486E4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2BAF94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21</w:t>
            </w:r>
            <w:r w:rsidR="00376FB4">
              <w:rPr>
                <w:rFonts w:ascii="Bookman Old Style" w:hAnsi="Bookman Old Style"/>
                <w:color w:val="000000"/>
                <w:sz w:val="12"/>
                <w:szCs w:val="16"/>
              </w:rPr>
              <w:t>.</w:t>
            </w:r>
            <w:r w:rsidRPr="007743CF">
              <w:rPr>
                <w:rFonts w:ascii="Bookman Old Style" w:hAnsi="Bookman Old Style"/>
                <w:color w:val="000000"/>
                <w:sz w:val="12"/>
                <w:szCs w:val="16"/>
              </w:rPr>
              <w:t>789</w:t>
            </w:r>
            <w:r w:rsidR="00376FB4">
              <w:rPr>
                <w:rFonts w:ascii="Bookman Old Style" w:hAnsi="Bookman Old Style"/>
                <w:color w:val="000000"/>
                <w:sz w:val="12"/>
                <w:szCs w:val="16"/>
              </w:rPr>
              <w:t>.</w:t>
            </w:r>
            <w:r w:rsidRPr="007743CF">
              <w:rPr>
                <w:rFonts w:ascii="Bookman Old Style" w:hAnsi="Bookman Old Style"/>
                <w:color w:val="000000"/>
                <w:sz w:val="12"/>
                <w:szCs w:val="16"/>
              </w:rPr>
              <w:t>212</w:t>
            </w:r>
          </w:p>
        </w:tc>
      </w:tr>
      <w:tr w:rsidR="00064D35" w:rsidRPr="005A7E89" w14:paraId="6C5DF53C"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015799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52E772A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Calzada Concreto</w:t>
            </w:r>
          </w:p>
        </w:tc>
        <w:tc>
          <w:tcPr>
            <w:tcW w:w="1067" w:type="dxa"/>
            <w:tcBorders>
              <w:top w:val="nil"/>
              <w:left w:val="nil"/>
              <w:bottom w:val="single" w:sz="4" w:space="0" w:color="auto"/>
              <w:right w:val="single" w:sz="4" w:space="0" w:color="auto"/>
            </w:tcBorders>
            <w:shd w:val="clear" w:color="auto" w:fill="auto"/>
            <w:noWrap/>
            <w:vAlign w:val="center"/>
          </w:tcPr>
          <w:p w14:paraId="1426126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TPE2CO</w:t>
            </w:r>
          </w:p>
        </w:tc>
        <w:tc>
          <w:tcPr>
            <w:tcW w:w="993" w:type="dxa"/>
            <w:tcBorders>
              <w:top w:val="nil"/>
              <w:left w:val="nil"/>
              <w:bottom w:val="single" w:sz="4" w:space="0" w:color="auto"/>
              <w:right w:val="single" w:sz="4" w:space="0" w:color="auto"/>
            </w:tcBorders>
            <w:shd w:val="clear" w:color="auto" w:fill="auto"/>
            <w:noWrap/>
            <w:vAlign w:val="center"/>
          </w:tcPr>
          <w:p w14:paraId="139C3D6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88</w:t>
            </w:r>
            <w:r w:rsidR="00376FB4">
              <w:rPr>
                <w:rFonts w:ascii="Bookman Old Style" w:hAnsi="Bookman Old Style"/>
                <w:color w:val="000000"/>
                <w:sz w:val="12"/>
                <w:szCs w:val="16"/>
              </w:rPr>
              <w:t>.</w:t>
            </w:r>
            <w:r w:rsidRPr="00865C0F">
              <w:rPr>
                <w:rFonts w:ascii="Bookman Old Style" w:hAnsi="Bookman Old Style"/>
                <w:color w:val="000000"/>
                <w:sz w:val="12"/>
                <w:szCs w:val="16"/>
              </w:rPr>
              <w:t>937</w:t>
            </w:r>
            <w:r w:rsidR="00376FB4">
              <w:rPr>
                <w:rFonts w:ascii="Bookman Old Style" w:hAnsi="Bookman Old Style"/>
                <w:color w:val="000000"/>
                <w:sz w:val="12"/>
                <w:szCs w:val="16"/>
              </w:rPr>
              <w:t>.</w:t>
            </w:r>
            <w:r w:rsidRPr="00865C0F">
              <w:rPr>
                <w:rFonts w:ascii="Bookman Old Style" w:hAnsi="Bookman Old Style"/>
                <w:color w:val="000000"/>
                <w:sz w:val="12"/>
                <w:szCs w:val="16"/>
              </w:rPr>
              <w:t>391</w:t>
            </w:r>
          </w:p>
        </w:tc>
        <w:tc>
          <w:tcPr>
            <w:tcW w:w="992" w:type="dxa"/>
            <w:tcBorders>
              <w:top w:val="nil"/>
              <w:left w:val="nil"/>
              <w:bottom w:val="single" w:sz="4" w:space="0" w:color="auto"/>
              <w:right w:val="single" w:sz="4" w:space="0" w:color="auto"/>
            </w:tcBorders>
            <w:shd w:val="clear" w:color="auto" w:fill="auto"/>
            <w:noWrap/>
            <w:vAlign w:val="center"/>
          </w:tcPr>
          <w:p w14:paraId="6BEC5F4C"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610E05E"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07C566F"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15</w:t>
            </w:r>
          </w:p>
        </w:tc>
        <w:tc>
          <w:tcPr>
            <w:tcW w:w="426" w:type="dxa"/>
            <w:tcBorders>
              <w:top w:val="nil"/>
              <w:left w:val="nil"/>
              <w:bottom w:val="single" w:sz="4" w:space="0" w:color="auto"/>
              <w:right w:val="single" w:sz="4" w:space="0" w:color="auto"/>
            </w:tcBorders>
            <w:shd w:val="clear" w:color="auto" w:fill="auto"/>
            <w:noWrap/>
            <w:vAlign w:val="center"/>
          </w:tcPr>
          <w:p w14:paraId="2D0CA37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8E7B61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C4264F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A28C0FC"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880482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13</w:t>
            </w:r>
            <w:r w:rsidR="00376FB4">
              <w:rPr>
                <w:rFonts w:ascii="Bookman Old Style" w:hAnsi="Bookman Old Style"/>
                <w:color w:val="000000"/>
                <w:sz w:val="12"/>
                <w:szCs w:val="16"/>
              </w:rPr>
              <w:t>.</w:t>
            </w:r>
            <w:r w:rsidRPr="007743CF">
              <w:rPr>
                <w:rFonts w:ascii="Bookman Old Style" w:hAnsi="Bookman Old Style"/>
                <w:color w:val="000000"/>
                <w:sz w:val="12"/>
                <w:szCs w:val="16"/>
              </w:rPr>
              <w:t>340</w:t>
            </w:r>
            <w:r w:rsidR="00376FB4">
              <w:rPr>
                <w:rFonts w:ascii="Bookman Old Style" w:hAnsi="Bookman Old Style"/>
                <w:color w:val="000000"/>
                <w:sz w:val="12"/>
                <w:szCs w:val="16"/>
              </w:rPr>
              <w:t>.</w:t>
            </w:r>
            <w:r w:rsidRPr="007743CF">
              <w:rPr>
                <w:rFonts w:ascii="Bookman Old Style" w:hAnsi="Bookman Old Style"/>
                <w:color w:val="000000"/>
                <w:sz w:val="12"/>
                <w:szCs w:val="16"/>
              </w:rPr>
              <w:t>609</w:t>
            </w:r>
          </w:p>
        </w:tc>
      </w:tr>
      <w:tr w:rsidR="00064D35" w:rsidRPr="005A7E89" w14:paraId="013AE421"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B95E79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70E39D18"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670E95E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359AC12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53</w:t>
            </w:r>
            <w:r w:rsidR="00376FB4">
              <w:rPr>
                <w:rFonts w:ascii="Bookman Old Style" w:hAnsi="Bookman Old Style"/>
                <w:color w:val="000000"/>
                <w:sz w:val="12"/>
                <w:szCs w:val="16"/>
              </w:rPr>
              <w:t>.</w:t>
            </w:r>
            <w:r w:rsidRPr="00865C0F">
              <w:rPr>
                <w:rFonts w:ascii="Bookman Old Style" w:hAnsi="Bookman Old Style"/>
                <w:color w:val="000000"/>
                <w:sz w:val="12"/>
                <w:szCs w:val="16"/>
              </w:rPr>
              <w:t>097</w:t>
            </w:r>
            <w:r w:rsidR="00376FB4">
              <w:rPr>
                <w:rFonts w:ascii="Bookman Old Style" w:hAnsi="Bookman Old Style"/>
                <w:color w:val="000000"/>
                <w:sz w:val="12"/>
                <w:szCs w:val="16"/>
              </w:rPr>
              <w:t>.</w:t>
            </w:r>
            <w:r w:rsidRPr="00865C0F">
              <w:rPr>
                <w:rFonts w:ascii="Bookman Old Style" w:hAnsi="Bookman Old Style"/>
                <w:color w:val="000000"/>
                <w:sz w:val="12"/>
                <w:szCs w:val="16"/>
              </w:rPr>
              <w:t>313</w:t>
            </w:r>
          </w:p>
        </w:tc>
        <w:tc>
          <w:tcPr>
            <w:tcW w:w="992" w:type="dxa"/>
            <w:tcBorders>
              <w:top w:val="nil"/>
              <w:left w:val="nil"/>
              <w:bottom w:val="single" w:sz="4" w:space="0" w:color="auto"/>
              <w:right w:val="single" w:sz="4" w:space="0" w:color="auto"/>
            </w:tcBorders>
            <w:shd w:val="clear" w:color="auto" w:fill="auto"/>
            <w:noWrap/>
            <w:vAlign w:val="center"/>
          </w:tcPr>
          <w:p w14:paraId="0CF19C8A"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2C0F0EA9"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8B22988"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17</w:t>
            </w:r>
          </w:p>
        </w:tc>
        <w:tc>
          <w:tcPr>
            <w:tcW w:w="426" w:type="dxa"/>
            <w:tcBorders>
              <w:top w:val="nil"/>
              <w:left w:val="nil"/>
              <w:bottom w:val="single" w:sz="4" w:space="0" w:color="auto"/>
              <w:right w:val="single" w:sz="4" w:space="0" w:color="auto"/>
            </w:tcBorders>
            <w:shd w:val="clear" w:color="auto" w:fill="auto"/>
            <w:noWrap/>
            <w:vAlign w:val="center"/>
          </w:tcPr>
          <w:p w14:paraId="45F032D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ADAC27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563F63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6E9C71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1889EA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9</w:t>
            </w:r>
            <w:r w:rsidR="00376FB4">
              <w:rPr>
                <w:rFonts w:ascii="Bookman Old Style" w:hAnsi="Bookman Old Style"/>
                <w:color w:val="000000"/>
                <w:sz w:val="12"/>
                <w:szCs w:val="16"/>
              </w:rPr>
              <w:t>.</w:t>
            </w:r>
            <w:r w:rsidRPr="007743CF">
              <w:rPr>
                <w:rFonts w:ascii="Bookman Old Style" w:hAnsi="Bookman Old Style"/>
                <w:color w:val="000000"/>
                <w:sz w:val="12"/>
                <w:szCs w:val="16"/>
              </w:rPr>
              <w:t>026</w:t>
            </w:r>
            <w:r w:rsidR="00376FB4">
              <w:rPr>
                <w:rFonts w:ascii="Bookman Old Style" w:hAnsi="Bookman Old Style"/>
                <w:color w:val="000000"/>
                <w:sz w:val="12"/>
                <w:szCs w:val="16"/>
              </w:rPr>
              <w:t>.</w:t>
            </w:r>
            <w:r w:rsidRPr="007743CF">
              <w:rPr>
                <w:rFonts w:ascii="Bookman Old Style" w:hAnsi="Bookman Old Style"/>
                <w:color w:val="000000"/>
                <w:sz w:val="12"/>
                <w:szCs w:val="16"/>
              </w:rPr>
              <w:t>543</w:t>
            </w:r>
          </w:p>
        </w:tc>
      </w:tr>
      <w:tr w:rsidR="00064D35" w:rsidRPr="005A7E89" w14:paraId="6C691C30"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B4E84B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1E45C882"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Andén Tableta, Baldosín, Gravilla</w:t>
            </w:r>
          </w:p>
        </w:tc>
        <w:tc>
          <w:tcPr>
            <w:tcW w:w="1067" w:type="dxa"/>
            <w:tcBorders>
              <w:top w:val="nil"/>
              <w:left w:val="nil"/>
              <w:bottom w:val="single" w:sz="4" w:space="0" w:color="auto"/>
              <w:right w:val="single" w:sz="4" w:space="0" w:color="auto"/>
            </w:tcBorders>
            <w:shd w:val="clear" w:color="auto" w:fill="auto"/>
            <w:noWrap/>
            <w:vAlign w:val="center"/>
          </w:tcPr>
          <w:p w14:paraId="7629DD5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TPE3/4TA</w:t>
            </w:r>
          </w:p>
        </w:tc>
        <w:tc>
          <w:tcPr>
            <w:tcW w:w="993" w:type="dxa"/>
            <w:tcBorders>
              <w:top w:val="nil"/>
              <w:left w:val="nil"/>
              <w:bottom w:val="single" w:sz="4" w:space="0" w:color="auto"/>
              <w:right w:val="single" w:sz="4" w:space="0" w:color="auto"/>
            </w:tcBorders>
            <w:shd w:val="clear" w:color="auto" w:fill="auto"/>
            <w:noWrap/>
            <w:vAlign w:val="center"/>
          </w:tcPr>
          <w:p w14:paraId="3F1E5D8E"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56</w:t>
            </w:r>
            <w:r w:rsidR="00376FB4">
              <w:rPr>
                <w:rFonts w:ascii="Bookman Old Style" w:hAnsi="Bookman Old Style"/>
                <w:color w:val="000000"/>
                <w:sz w:val="12"/>
                <w:szCs w:val="16"/>
              </w:rPr>
              <w:t>.</w:t>
            </w:r>
            <w:r w:rsidRPr="00865C0F">
              <w:rPr>
                <w:rFonts w:ascii="Bookman Old Style" w:hAnsi="Bookman Old Style"/>
                <w:color w:val="000000"/>
                <w:sz w:val="12"/>
                <w:szCs w:val="16"/>
              </w:rPr>
              <w:t>166</w:t>
            </w:r>
            <w:r w:rsidR="00376FB4">
              <w:rPr>
                <w:rFonts w:ascii="Bookman Old Style" w:hAnsi="Bookman Old Style"/>
                <w:color w:val="000000"/>
                <w:sz w:val="12"/>
                <w:szCs w:val="16"/>
              </w:rPr>
              <w:t>.</w:t>
            </w:r>
            <w:r w:rsidRPr="00865C0F">
              <w:rPr>
                <w:rFonts w:ascii="Bookman Old Style" w:hAnsi="Bookman Old Style"/>
                <w:color w:val="000000"/>
                <w:sz w:val="12"/>
                <w:szCs w:val="16"/>
              </w:rPr>
              <w:t>218</w:t>
            </w:r>
          </w:p>
        </w:tc>
        <w:tc>
          <w:tcPr>
            <w:tcW w:w="992" w:type="dxa"/>
            <w:tcBorders>
              <w:top w:val="nil"/>
              <w:left w:val="nil"/>
              <w:bottom w:val="single" w:sz="4" w:space="0" w:color="auto"/>
              <w:right w:val="single" w:sz="4" w:space="0" w:color="auto"/>
            </w:tcBorders>
            <w:shd w:val="clear" w:color="auto" w:fill="auto"/>
            <w:noWrap/>
            <w:vAlign w:val="center"/>
          </w:tcPr>
          <w:p w14:paraId="0AF7D48D"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0A1CF08"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3A904D62"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0</w:t>
            </w:r>
            <w:r w:rsidR="000A3D5F">
              <w:rPr>
                <w:rFonts w:ascii="Bookman Old Style" w:hAnsi="Bookman Old Style"/>
                <w:color w:val="000000"/>
                <w:sz w:val="12"/>
                <w:szCs w:val="16"/>
              </w:rPr>
              <w:t>,</w:t>
            </w:r>
            <w:r w:rsidRPr="007743CF">
              <w:rPr>
                <w:rFonts w:ascii="Bookman Old Style" w:hAnsi="Bookman Old Style"/>
                <w:color w:val="000000"/>
                <w:sz w:val="12"/>
                <w:szCs w:val="16"/>
              </w:rPr>
              <w:t>115</w:t>
            </w:r>
          </w:p>
        </w:tc>
        <w:tc>
          <w:tcPr>
            <w:tcW w:w="426" w:type="dxa"/>
            <w:tcBorders>
              <w:top w:val="nil"/>
              <w:left w:val="nil"/>
              <w:bottom w:val="single" w:sz="4" w:space="0" w:color="auto"/>
              <w:right w:val="single" w:sz="4" w:space="0" w:color="auto"/>
            </w:tcBorders>
            <w:shd w:val="clear" w:color="auto" w:fill="auto"/>
            <w:noWrap/>
            <w:vAlign w:val="center"/>
          </w:tcPr>
          <w:p w14:paraId="4CF57C85"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0B6E4F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379B73D"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F774FCA"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F3CD94C"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6</w:t>
            </w:r>
            <w:r w:rsidR="00376FB4">
              <w:rPr>
                <w:rFonts w:ascii="Bookman Old Style" w:hAnsi="Bookman Old Style"/>
                <w:color w:val="000000"/>
                <w:sz w:val="12"/>
                <w:szCs w:val="16"/>
              </w:rPr>
              <w:t>.</w:t>
            </w:r>
            <w:r w:rsidRPr="007743CF">
              <w:rPr>
                <w:rFonts w:ascii="Bookman Old Style" w:hAnsi="Bookman Old Style"/>
                <w:color w:val="000000"/>
                <w:sz w:val="12"/>
                <w:szCs w:val="16"/>
              </w:rPr>
              <w:t>459</w:t>
            </w:r>
            <w:r w:rsidR="00376FB4">
              <w:rPr>
                <w:rFonts w:ascii="Bookman Old Style" w:hAnsi="Bookman Old Style"/>
                <w:color w:val="000000"/>
                <w:sz w:val="12"/>
                <w:szCs w:val="16"/>
              </w:rPr>
              <w:t>.</w:t>
            </w:r>
            <w:r w:rsidRPr="007743CF">
              <w:rPr>
                <w:rFonts w:ascii="Bookman Old Style" w:hAnsi="Bookman Old Style"/>
                <w:color w:val="000000"/>
                <w:sz w:val="12"/>
                <w:szCs w:val="16"/>
              </w:rPr>
              <w:t>115</w:t>
            </w:r>
          </w:p>
        </w:tc>
      </w:tr>
      <w:tr w:rsidR="00064D35" w:rsidRPr="005A7E89" w14:paraId="2EAB89A5"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76B46A4"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0981B5F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502E2A35"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1616018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19</w:t>
            </w:r>
            <w:r w:rsidR="00376FB4">
              <w:rPr>
                <w:rFonts w:ascii="Bookman Old Style" w:hAnsi="Bookman Old Style"/>
                <w:color w:val="000000"/>
                <w:sz w:val="12"/>
                <w:szCs w:val="16"/>
              </w:rPr>
              <w:t>.</w:t>
            </w:r>
            <w:r w:rsidRPr="00865C0F">
              <w:rPr>
                <w:rFonts w:ascii="Bookman Old Style" w:hAnsi="Bookman Old Style"/>
                <w:color w:val="000000"/>
                <w:sz w:val="12"/>
                <w:szCs w:val="16"/>
              </w:rPr>
              <w:t>416</w:t>
            </w:r>
            <w:r w:rsidR="00376FB4">
              <w:rPr>
                <w:rFonts w:ascii="Bookman Old Style" w:hAnsi="Bookman Old Style"/>
                <w:color w:val="000000"/>
                <w:sz w:val="12"/>
                <w:szCs w:val="16"/>
              </w:rPr>
              <w:t>.</w:t>
            </w:r>
            <w:r w:rsidRPr="00865C0F">
              <w:rPr>
                <w:rFonts w:ascii="Bookman Old Style" w:hAnsi="Bookman Old Style"/>
                <w:color w:val="000000"/>
                <w:sz w:val="12"/>
                <w:szCs w:val="16"/>
              </w:rPr>
              <w:t>540</w:t>
            </w:r>
          </w:p>
        </w:tc>
        <w:tc>
          <w:tcPr>
            <w:tcW w:w="992" w:type="dxa"/>
            <w:tcBorders>
              <w:top w:val="nil"/>
              <w:left w:val="nil"/>
              <w:bottom w:val="single" w:sz="4" w:space="0" w:color="auto"/>
              <w:right w:val="single" w:sz="4" w:space="0" w:color="auto"/>
            </w:tcBorders>
            <w:shd w:val="clear" w:color="auto" w:fill="auto"/>
            <w:noWrap/>
            <w:vAlign w:val="center"/>
          </w:tcPr>
          <w:p w14:paraId="6546774E"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B5BD98E"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DB5FDD7"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r w:rsidR="000A3D5F">
              <w:rPr>
                <w:rFonts w:ascii="Bookman Old Style" w:hAnsi="Bookman Old Style"/>
                <w:color w:val="000000"/>
                <w:sz w:val="12"/>
                <w:szCs w:val="16"/>
              </w:rPr>
              <w:t>,</w:t>
            </w:r>
            <w:r w:rsidRPr="007743CF">
              <w:rPr>
                <w:rFonts w:ascii="Bookman Old Style" w:hAnsi="Bookman Old Style"/>
                <w:color w:val="000000"/>
                <w:sz w:val="12"/>
                <w:szCs w:val="16"/>
              </w:rPr>
              <w:t>782</w:t>
            </w:r>
          </w:p>
        </w:tc>
        <w:tc>
          <w:tcPr>
            <w:tcW w:w="426" w:type="dxa"/>
            <w:tcBorders>
              <w:top w:val="nil"/>
              <w:left w:val="nil"/>
              <w:bottom w:val="single" w:sz="4" w:space="0" w:color="auto"/>
              <w:right w:val="single" w:sz="4" w:space="0" w:color="auto"/>
            </w:tcBorders>
            <w:shd w:val="clear" w:color="auto" w:fill="auto"/>
            <w:noWrap/>
            <w:vAlign w:val="center"/>
          </w:tcPr>
          <w:p w14:paraId="79D81877"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22F74B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19D17C0"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2A4EC0E"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C009D9E"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34</w:t>
            </w:r>
            <w:r w:rsidR="00376FB4">
              <w:rPr>
                <w:rFonts w:ascii="Bookman Old Style" w:hAnsi="Bookman Old Style"/>
                <w:color w:val="000000"/>
                <w:sz w:val="12"/>
                <w:szCs w:val="16"/>
              </w:rPr>
              <w:t>.</w:t>
            </w:r>
            <w:r w:rsidRPr="007743CF">
              <w:rPr>
                <w:rFonts w:ascii="Bookman Old Style" w:hAnsi="Bookman Old Style"/>
                <w:color w:val="000000"/>
                <w:sz w:val="12"/>
                <w:szCs w:val="16"/>
              </w:rPr>
              <w:t>600</w:t>
            </w:r>
            <w:r w:rsidR="00376FB4">
              <w:rPr>
                <w:rFonts w:ascii="Bookman Old Style" w:hAnsi="Bookman Old Style"/>
                <w:color w:val="000000"/>
                <w:sz w:val="12"/>
                <w:szCs w:val="16"/>
              </w:rPr>
              <w:t>.</w:t>
            </w:r>
            <w:r w:rsidRPr="007743CF">
              <w:rPr>
                <w:rFonts w:ascii="Bookman Old Style" w:hAnsi="Bookman Old Style"/>
                <w:color w:val="000000"/>
                <w:sz w:val="12"/>
                <w:szCs w:val="16"/>
              </w:rPr>
              <w:t>275</w:t>
            </w:r>
          </w:p>
        </w:tc>
      </w:tr>
      <w:tr w:rsidR="00064D35" w:rsidRPr="005A7E89" w14:paraId="30028CDB"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5CC513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0A546F6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tcPr>
          <w:p w14:paraId="644222F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TPE1ZV</w:t>
            </w:r>
          </w:p>
        </w:tc>
        <w:tc>
          <w:tcPr>
            <w:tcW w:w="993" w:type="dxa"/>
            <w:tcBorders>
              <w:top w:val="nil"/>
              <w:left w:val="nil"/>
              <w:bottom w:val="single" w:sz="4" w:space="0" w:color="auto"/>
              <w:right w:val="single" w:sz="4" w:space="0" w:color="auto"/>
            </w:tcBorders>
            <w:shd w:val="clear" w:color="auto" w:fill="auto"/>
            <w:noWrap/>
            <w:vAlign w:val="center"/>
          </w:tcPr>
          <w:p w14:paraId="58439307"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22</w:t>
            </w:r>
            <w:r w:rsidR="00376FB4">
              <w:rPr>
                <w:rFonts w:ascii="Bookman Old Style" w:hAnsi="Bookman Old Style"/>
                <w:color w:val="000000"/>
                <w:sz w:val="12"/>
                <w:szCs w:val="16"/>
              </w:rPr>
              <w:t>.</w:t>
            </w:r>
            <w:r w:rsidRPr="00865C0F">
              <w:rPr>
                <w:rFonts w:ascii="Bookman Old Style" w:hAnsi="Bookman Old Style"/>
                <w:color w:val="000000"/>
                <w:sz w:val="12"/>
                <w:szCs w:val="16"/>
              </w:rPr>
              <w:t>117</w:t>
            </w:r>
            <w:r w:rsidR="00376FB4">
              <w:rPr>
                <w:rFonts w:ascii="Bookman Old Style" w:hAnsi="Bookman Old Style"/>
                <w:color w:val="000000"/>
                <w:sz w:val="12"/>
                <w:szCs w:val="16"/>
              </w:rPr>
              <w:t>.</w:t>
            </w:r>
            <w:r w:rsidRPr="00865C0F">
              <w:rPr>
                <w:rFonts w:ascii="Bookman Old Style" w:hAnsi="Bookman Old Style"/>
                <w:color w:val="000000"/>
                <w:sz w:val="12"/>
                <w:szCs w:val="16"/>
              </w:rPr>
              <w:t>674</w:t>
            </w:r>
          </w:p>
        </w:tc>
        <w:tc>
          <w:tcPr>
            <w:tcW w:w="992" w:type="dxa"/>
            <w:tcBorders>
              <w:top w:val="nil"/>
              <w:left w:val="nil"/>
              <w:bottom w:val="single" w:sz="4" w:space="0" w:color="auto"/>
              <w:right w:val="single" w:sz="4" w:space="0" w:color="auto"/>
            </w:tcBorders>
            <w:shd w:val="clear" w:color="auto" w:fill="auto"/>
            <w:noWrap/>
            <w:vAlign w:val="center"/>
          </w:tcPr>
          <w:p w14:paraId="336C49B6"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C54A09C"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35A2642D"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4</w:t>
            </w:r>
            <w:r w:rsidR="000A3D5F">
              <w:rPr>
                <w:rFonts w:ascii="Bookman Old Style" w:hAnsi="Bookman Old Style"/>
                <w:color w:val="000000"/>
                <w:sz w:val="12"/>
                <w:szCs w:val="16"/>
              </w:rPr>
              <w:t>,</w:t>
            </w:r>
            <w:r w:rsidRPr="007743CF">
              <w:rPr>
                <w:rFonts w:ascii="Bookman Old Style" w:hAnsi="Bookman Old Style"/>
                <w:color w:val="000000"/>
                <w:sz w:val="12"/>
                <w:szCs w:val="16"/>
              </w:rPr>
              <w:t>206</w:t>
            </w:r>
          </w:p>
        </w:tc>
        <w:tc>
          <w:tcPr>
            <w:tcW w:w="426" w:type="dxa"/>
            <w:tcBorders>
              <w:top w:val="nil"/>
              <w:left w:val="nil"/>
              <w:bottom w:val="single" w:sz="4" w:space="0" w:color="auto"/>
              <w:right w:val="single" w:sz="4" w:space="0" w:color="auto"/>
            </w:tcBorders>
            <w:shd w:val="clear" w:color="auto" w:fill="auto"/>
            <w:noWrap/>
            <w:vAlign w:val="center"/>
          </w:tcPr>
          <w:p w14:paraId="31E9F494"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758B09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07CC25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D376F5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2B68B16"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93</w:t>
            </w:r>
            <w:r w:rsidR="00376FB4">
              <w:rPr>
                <w:rFonts w:ascii="Bookman Old Style" w:hAnsi="Bookman Old Style"/>
                <w:color w:val="000000"/>
                <w:sz w:val="12"/>
                <w:szCs w:val="16"/>
              </w:rPr>
              <w:t>.</w:t>
            </w:r>
            <w:r w:rsidRPr="007743CF">
              <w:rPr>
                <w:rFonts w:ascii="Bookman Old Style" w:hAnsi="Bookman Old Style"/>
                <w:color w:val="000000"/>
                <w:sz w:val="12"/>
                <w:szCs w:val="16"/>
              </w:rPr>
              <w:t>026</w:t>
            </w:r>
            <w:r w:rsidR="00376FB4">
              <w:rPr>
                <w:rFonts w:ascii="Bookman Old Style" w:hAnsi="Bookman Old Style"/>
                <w:color w:val="000000"/>
                <w:sz w:val="12"/>
                <w:szCs w:val="16"/>
              </w:rPr>
              <w:t>.</w:t>
            </w:r>
            <w:r w:rsidRPr="007743CF">
              <w:rPr>
                <w:rFonts w:ascii="Bookman Old Style" w:hAnsi="Bookman Old Style"/>
                <w:color w:val="000000"/>
                <w:sz w:val="12"/>
                <w:szCs w:val="16"/>
              </w:rPr>
              <w:t>937</w:t>
            </w:r>
          </w:p>
        </w:tc>
      </w:tr>
      <w:tr w:rsidR="00064D35" w:rsidRPr="005A7E89" w14:paraId="08A939BF"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CE27A6F"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477FF31A"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tcPr>
          <w:p w14:paraId="129E132D"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TPE2ZV</w:t>
            </w:r>
          </w:p>
        </w:tc>
        <w:tc>
          <w:tcPr>
            <w:tcW w:w="993" w:type="dxa"/>
            <w:tcBorders>
              <w:top w:val="nil"/>
              <w:left w:val="nil"/>
              <w:bottom w:val="single" w:sz="4" w:space="0" w:color="auto"/>
              <w:right w:val="single" w:sz="4" w:space="0" w:color="auto"/>
            </w:tcBorders>
            <w:shd w:val="clear" w:color="auto" w:fill="auto"/>
            <w:noWrap/>
            <w:vAlign w:val="center"/>
          </w:tcPr>
          <w:p w14:paraId="555259F2"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33</w:t>
            </w:r>
            <w:r w:rsidR="00376FB4">
              <w:rPr>
                <w:rFonts w:ascii="Bookman Old Style" w:hAnsi="Bookman Old Style"/>
                <w:color w:val="000000"/>
                <w:sz w:val="12"/>
                <w:szCs w:val="16"/>
              </w:rPr>
              <w:t>.</w:t>
            </w:r>
            <w:r w:rsidRPr="00865C0F">
              <w:rPr>
                <w:rFonts w:ascii="Bookman Old Style" w:hAnsi="Bookman Old Style"/>
                <w:color w:val="000000"/>
                <w:sz w:val="12"/>
                <w:szCs w:val="16"/>
              </w:rPr>
              <w:t>719</w:t>
            </w:r>
            <w:r w:rsidR="00376FB4">
              <w:rPr>
                <w:rFonts w:ascii="Bookman Old Style" w:hAnsi="Bookman Old Style"/>
                <w:color w:val="000000"/>
                <w:sz w:val="12"/>
                <w:szCs w:val="16"/>
              </w:rPr>
              <w:t>.</w:t>
            </w:r>
            <w:r w:rsidRPr="00865C0F">
              <w:rPr>
                <w:rFonts w:ascii="Bookman Old Style" w:hAnsi="Bookman Old Style"/>
                <w:color w:val="000000"/>
                <w:sz w:val="12"/>
                <w:szCs w:val="16"/>
              </w:rPr>
              <w:t>184</w:t>
            </w:r>
          </w:p>
        </w:tc>
        <w:tc>
          <w:tcPr>
            <w:tcW w:w="992" w:type="dxa"/>
            <w:tcBorders>
              <w:top w:val="nil"/>
              <w:left w:val="nil"/>
              <w:bottom w:val="single" w:sz="4" w:space="0" w:color="auto"/>
              <w:right w:val="single" w:sz="4" w:space="0" w:color="auto"/>
            </w:tcBorders>
            <w:shd w:val="clear" w:color="auto" w:fill="auto"/>
            <w:noWrap/>
            <w:vAlign w:val="center"/>
          </w:tcPr>
          <w:p w14:paraId="53518662"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99D45E6"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218F82C4"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2</w:t>
            </w:r>
            <w:r w:rsidR="000A3D5F">
              <w:rPr>
                <w:rFonts w:ascii="Bookman Old Style" w:hAnsi="Bookman Old Style"/>
                <w:color w:val="000000"/>
                <w:sz w:val="12"/>
                <w:szCs w:val="16"/>
              </w:rPr>
              <w:t>,</w:t>
            </w:r>
            <w:r w:rsidRPr="007743CF">
              <w:rPr>
                <w:rFonts w:ascii="Bookman Old Style" w:hAnsi="Bookman Old Style"/>
                <w:color w:val="000000"/>
                <w:sz w:val="12"/>
                <w:szCs w:val="16"/>
              </w:rPr>
              <w:t>867</w:t>
            </w:r>
          </w:p>
        </w:tc>
        <w:tc>
          <w:tcPr>
            <w:tcW w:w="426" w:type="dxa"/>
            <w:tcBorders>
              <w:top w:val="nil"/>
              <w:left w:val="nil"/>
              <w:bottom w:val="single" w:sz="4" w:space="0" w:color="auto"/>
              <w:right w:val="single" w:sz="4" w:space="0" w:color="auto"/>
            </w:tcBorders>
            <w:shd w:val="clear" w:color="auto" w:fill="auto"/>
            <w:noWrap/>
            <w:vAlign w:val="center"/>
          </w:tcPr>
          <w:p w14:paraId="19985692"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43DEFD1"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725D10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0D205C3"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433F775"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96</w:t>
            </w:r>
            <w:r w:rsidR="00376FB4">
              <w:rPr>
                <w:rFonts w:ascii="Bookman Old Style" w:hAnsi="Bookman Old Style"/>
                <w:color w:val="000000"/>
                <w:sz w:val="12"/>
                <w:szCs w:val="16"/>
              </w:rPr>
              <w:t>.</w:t>
            </w:r>
            <w:r w:rsidRPr="007743CF">
              <w:rPr>
                <w:rFonts w:ascii="Bookman Old Style" w:hAnsi="Bookman Old Style"/>
                <w:color w:val="000000"/>
                <w:sz w:val="12"/>
                <w:szCs w:val="16"/>
              </w:rPr>
              <w:t>672</w:t>
            </w:r>
            <w:r w:rsidR="00376FB4">
              <w:rPr>
                <w:rFonts w:ascii="Bookman Old Style" w:hAnsi="Bookman Old Style"/>
                <w:color w:val="000000"/>
                <w:sz w:val="12"/>
                <w:szCs w:val="16"/>
              </w:rPr>
              <w:t>.</w:t>
            </w:r>
            <w:r w:rsidRPr="007743CF">
              <w:rPr>
                <w:rFonts w:ascii="Bookman Old Style" w:hAnsi="Bookman Old Style"/>
                <w:color w:val="000000"/>
                <w:sz w:val="12"/>
                <w:szCs w:val="16"/>
              </w:rPr>
              <w:t>900</w:t>
            </w:r>
          </w:p>
        </w:tc>
      </w:tr>
      <w:tr w:rsidR="00064D35" w:rsidRPr="005A7E89" w14:paraId="4254D380" w14:textId="77777777" w:rsidTr="00064D35">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F18F9C6"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El Cedro-Cerete-</w:t>
            </w:r>
            <w:r w:rsidR="00505C1E">
              <w:rPr>
                <w:rFonts w:ascii="Bookman Old Style" w:hAnsi="Bookman Old Style"/>
                <w:color w:val="000000"/>
                <w:sz w:val="12"/>
                <w:szCs w:val="16"/>
              </w:rPr>
              <w:t>Córdoba</w:t>
            </w:r>
          </w:p>
        </w:tc>
        <w:tc>
          <w:tcPr>
            <w:tcW w:w="1342" w:type="dxa"/>
            <w:tcBorders>
              <w:top w:val="nil"/>
              <w:left w:val="nil"/>
              <w:bottom w:val="single" w:sz="4" w:space="0" w:color="auto"/>
              <w:right w:val="single" w:sz="4" w:space="0" w:color="auto"/>
            </w:tcBorders>
            <w:shd w:val="clear" w:color="auto" w:fill="auto"/>
            <w:noWrap/>
            <w:vAlign w:val="bottom"/>
          </w:tcPr>
          <w:p w14:paraId="5C331345" w14:textId="77777777" w:rsidR="00064D35" w:rsidRPr="00865C0F" w:rsidRDefault="00064D35" w:rsidP="00064D35">
            <w:pPr>
              <w:ind w:left="0"/>
              <w:rPr>
                <w:rFonts w:ascii="Bookman Old Style" w:hAnsi="Bookman Old Style"/>
                <w:color w:val="000000"/>
                <w:sz w:val="12"/>
                <w:szCs w:val="16"/>
              </w:rPr>
            </w:pPr>
            <w:r w:rsidRPr="00865C0F">
              <w:rPr>
                <w:rFonts w:ascii="Bookman Old Style" w:hAnsi="Bookman Old Style"/>
                <w:color w:val="000000"/>
                <w:sz w:val="12"/>
                <w:szCs w:val="16"/>
              </w:rPr>
              <w:t>EGLP2000-Estacion de GLP 2000 Galones</w:t>
            </w:r>
          </w:p>
        </w:tc>
        <w:tc>
          <w:tcPr>
            <w:tcW w:w="1067" w:type="dxa"/>
            <w:tcBorders>
              <w:top w:val="nil"/>
              <w:left w:val="nil"/>
              <w:bottom w:val="single" w:sz="4" w:space="0" w:color="auto"/>
              <w:right w:val="single" w:sz="4" w:space="0" w:color="auto"/>
            </w:tcBorders>
            <w:shd w:val="clear" w:color="auto" w:fill="auto"/>
            <w:noWrap/>
            <w:vAlign w:val="center"/>
          </w:tcPr>
          <w:p w14:paraId="2E771EF3"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TMP-5</w:t>
            </w:r>
          </w:p>
        </w:tc>
        <w:tc>
          <w:tcPr>
            <w:tcW w:w="993" w:type="dxa"/>
            <w:tcBorders>
              <w:top w:val="nil"/>
              <w:left w:val="nil"/>
              <w:bottom w:val="single" w:sz="4" w:space="0" w:color="auto"/>
              <w:right w:val="single" w:sz="4" w:space="0" w:color="auto"/>
            </w:tcBorders>
            <w:shd w:val="clear" w:color="auto" w:fill="auto"/>
            <w:noWrap/>
            <w:vAlign w:val="center"/>
          </w:tcPr>
          <w:p w14:paraId="2AEB24CC" w14:textId="77777777" w:rsidR="00064D35" w:rsidRPr="00865C0F" w:rsidRDefault="00064D35" w:rsidP="00064D35">
            <w:pPr>
              <w:ind w:left="0"/>
              <w:jc w:val="center"/>
              <w:rPr>
                <w:rFonts w:ascii="Bookman Old Style" w:hAnsi="Bookman Old Style"/>
                <w:color w:val="000000"/>
                <w:sz w:val="12"/>
                <w:szCs w:val="16"/>
              </w:rPr>
            </w:pPr>
            <w:r w:rsidRPr="00865C0F">
              <w:rPr>
                <w:rFonts w:ascii="Bookman Old Style" w:hAnsi="Bookman Old Style"/>
                <w:color w:val="000000"/>
                <w:sz w:val="12"/>
                <w:szCs w:val="16"/>
              </w:rPr>
              <w:t>120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r w:rsidR="00376FB4">
              <w:rPr>
                <w:rFonts w:ascii="Bookman Old Style" w:hAnsi="Bookman Old Style"/>
                <w:color w:val="000000"/>
                <w:sz w:val="12"/>
                <w:szCs w:val="16"/>
              </w:rPr>
              <w:t>.</w:t>
            </w:r>
            <w:r w:rsidRPr="00865C0F">
              <w:rPr>
                <w:rFonts w:ascii="Bookman Old Style" w:hAnsi="Bookman Old Style"/>
                <w:color w:val="000000"/>
                <w:sz w:val="12"/>
                <w:szCs w:val="16"/>
              </w:rPr>
              <w:t>000</w:t>
            </w:r>
          </w:p>
        </w:tc>
        <w:tc>
          <w:tcPr>
            <w:tcW w:w="992" w:type="dxa"/>
            <w:tcBorders>
              <w:top w:val="nil"/>
              <w:left w:val="nil"/>
              <w:bottom w:val="single" w:sz="4" w:space="0" w:color="auto"/>
              <w:right w:val="single" w:sz="4" w:space="0" w:color="auto"/>
            </w:tcBorders>
            <w:shd w:val="clear" w:color="auto" w:fill="auto"/>
            <w:noWrap/>
            <w:vAlign w:val="center"/>
          </w:tcPr>
          <w:p w14:paraId="19EF7BC1" w14:textId="77777777" w:rsidR="00064D35" w:rsidRPr="00064D35" w:rsidRDefault="00064D35" w:rsidP="00064D35">
            <w:pPr>
              <w:ind w:left="0"/>
              <w:jc w:val="center"/>
              <w:rPr>
                <w:rFonts w:ascii="Bookman Old Style" w:hAnsi="Bookman Old Style"/>
                <w:color w:val="000000"/>
                <w:sz w:val="12"/>
                <w:szCs w:val="16"/>
              </w:rPr>
            </w:pPr>
            <w:r w:rsidRPr="00064D35">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136B6632" w14:textId="77777777" w:rsidR="00064D35" w:rsidRPr="00865C0F" w:rsidRDefault="00064D35" w:rsidP="00064D35">
            <w:pPr>
              <w:ind w:left="-3"/>
              <w:rPr>
                <w:rFonts w:ascii="Bookman Old Style" w:hAnsi="Bookman Old Style"/>
                <w:color w:val="000000"/>
                <w:sz w:val="12"/>
                <w:szCs w:val="16"/>
              </w:rPr>
            </w:pPr>
            <w:r w:rsidRPr="00865C0F">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1A3C3FCB"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146807FF"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6076C6B"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5D73A36"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CE0EE79" w14:textId="77777777" w:rsidR="00064D35" w:rsidRPr="002E130E" w:rsidRDefault="00064D35" w:rsidP="00064D35">
            <w:pPr>
              <w:ind w:left="0"/>
              <w:jc w:val="center"/>
              <w:rPr>
                <w:rFonts w:ascii="Bookman Old Style" w:hAnsi="Bookman Old Style"/>
                <w:color w:val="000000"/>
                <w:sz w:val="12"/>
                <w:szCs w:val="16"/>
              </w:rPr>
            </w:pPr>
            <w:r>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C299563" w14:textId="77777777" w:rsidR="00064D35" w:rsidRPr="007743CF" w:rsidRDefault="00064D35" w:rsidP="00064D35">
            <w:pPr>
              <w:ind w:left="0"/>
              <w:jc w:val="center"/>
              <w:rPr>
                <w:rFonts w:ascii="Bookman Old Style" w:hAnsi="Bookman Old Style"/>
                <w:color w:val="000000"/>
                <w:sz w:val="12"/>
                <w:szCs w:val="16"/>
              </w:rPr>
            </w:pPr>
            <w:r w:rsidRPr="007743CF">
              <w:rPr>
                <w:rFonts w:ascii="Bookman Old Style" w:hAnsi="Bookman Old Style"/>
                <w:color w:val="000000"/>
                <w:sz w:val="12"/>
                <w:szCs w:val="16"/>
              </w:rPr>
              <w:t>120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r w:rsidR="00376FB4">
              <w:rPr>
                <w:rFonts w:ascii="Bookman Old Style" w:hAnsi="Bookman Old Style"/>
                <w:color w:val="000000"/>
                <w:sz w:val="12"/>
                <w:szCs w:val="16"/>
              </w:rPr>
              <w:t>.</w:t>
            </w:r>
            <w:r w:rsidRPr="007743CF">
              <w:rPr>
                <w:rFonts w:ascii="Bookman Old Style" w:hAnsi="Bookman Old Style"/>
                <w:color w:val="000000"/>
                <w:sz w:val="12"/>
                <w:szCs w:val="16"/>
              </w:rPr>
              <w:t>000</w:t>
            </w:r>
          </w:p>
        </w:tc>
      </w:tr>
      <w:tr w:rsidR="007743CF" w:rsidRPr="005A7E89" w14:paraId="404AEBC2" w14:textId="77777777" w:rsidTr="007743C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42BBDA" w14:textId="77777777" w:rsidR="007743CF" w:rsidRPr="005A7E89" w:rsidRDefault="007743CF" w:rsidP="007743CF">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TOTAL</w:t>
            </w:r>
          </w:p>
        </w:tc>
        <w:tc>
          <w:tcPr>
            <w:tcW w:w="1342" w:type="dxa"/>
            <w:tcBorders>
              <w:top w:val="nil"/>
              <w:left w:val="nil"/>
              <w:bottom w:val="single" w:sz="4" w:space="0" w:color="auto"/>
              <w:right w:val="single" w:sz="4" w:space="0" w:color="auto"/>
            </w:tcBorders>
            <w:shd w:val="clear" w:color="auto" w:fill="auto"/>
            <w:noWrap/>
            <w:vAlign w:val="center"/>
            <w:hideMark/>
          </w:tcPr>
          <w:p w14:paraId="5A2D78AE"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1067" w:type="dxa"/>
            <w:tcBorders>
              <w:top w:val="nil"/>
              <w:left w:val="nil"/>
              <w:bottom w:val="single" w:sz="4" w:space="0" w:color="auto"/>
              <w:right w:val="single" w:sz="4" w:space="0" w:color="auto"/>
            </w:tcBorders>
            <w:shd w:val="clear" w:color="auto" w:fill="auto"/>
            <w:noWrap/>
            <w:vAlign w:val="center"/>
            <w:hideMark/>
          </w:tcPr>
          <w:p w14:paraId="1D7B86ED"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993" w:type="dxa"/>
            <w:tcBorders>
              <w:top w:val="nil"/>
              <w:left w:val="nil"/>
              <w:bottom w:val="single" w:sz="4" w:space="0" w:color="auto"/>
              <w:right w:val="single" w:sz="4" w:space="0" w:color="auto"/>
            </w:tcBorders>
            <w:shd w:val="clear" w:color="auto" w:fill="auto"/>
            <w:noWrap/>
            <w:vAlign w:val="center"/>
            <w:hideMark/>
          </w:tcPr>
          <w:p w14:paraId="26F3F22A"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779DF458"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14:paraId="01B3D1ED"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567" w:type="dxa"/>
            <w:tcBorders>
              <w:top w:val="nil"/>
              <w:left w:val="nil"/>
              <w:bottom w:val="single" w:sz="4" w:space="0" w:color="auto"/>
              <w:right w:val="single" w:sz="4" w:space="0" w:color="auto"/>
            </w:tcBorders>
            <w:shd w:val="clear" w:color="auto" w:fill="auto"/>
            <w:noWrap/>
            <w:vAlign w:val="center"/>
            <w:hideMark/>
          </w:tcPr>
          <w:p w14:paraId="6A89319C"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C411693"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80BDB45"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9E7C60C"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BA5AE5A" w14:textId="77777777" w:rsidR="007743CF" w:rsidRPr="005A7E89" w:rsidRDefault="007743CF" w:rsidP="007743CF">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14:paraId="0E1E6D11" w14:textId="77777777" w:rsidR="007743CF" w:rsidRPr="007743CF" w:rsidRDefault="007743CF" w:rsidP="007743CF">
            <w:pPr>
              <w:ind w:left="0"/>
              <w:jc w:val="center"/>
              <w:rPr>
                <w:rFonts w:ascii="Bookman Old Style" w:hAnsi="Bookman Old Style"/>
                <w:b/>
                <w:bCs/>
                <w:color w:val="000000"/>
                <w:sz w:val="12"/>
                <w:szCs w:val="16"/>
              </w:rPr>
            </w:pPr>
            <w:r w:rsidRPr="007743CF">
              <w:rPr>
                <w:rFonts w:ascii="Bookman Old Style" w:hAnsi="Bookman Old Style"/>
                <w:b/>
                <w:bCs/>
                <w:color w:val="000000"/>
                <w:sz w:val="10"/>
                <w:szCs w:val="16"/>
              </w:rPr>
              <w:t>1</w:t>
            </w:r>
            <w:r w:rsidR="00376FB4">
              <w:rPr>
                <w:rFonts w:ascii="Bookman Old Style" w:hAnsi="Bookman Old Style"/>
                <w:b/>
                <w:bCs/>
                <w:color w:val="000000"/>
                <w:sz w:val="10"/>
                <w:szCs w:val="16"/>
              </w:rPr>
              <w:t>.</w:t>
            </w:r>
            <w:r w:rsidRPr="007743CF">
              <w:rPr>
                <w:rFonts w:ascii="Bookman Old Style" w:hAnsi="Bookman Old Style"/>
                <w:b/>
                <w:bCs/>
                <w:color w:val="000000"/>
                <w:sz w:val="10"/>
                <w:szCs w:val="16"/>
              </w:rPr>
              <w:t>997</w:t>
            </w:r>
            <w:r w:rsidR="00376FB4">
              <w:rPr>
                <w:rFonts w:ascii="Bookman Old Style" w:hAnsi="Bookman Old Style"/>
                <w:b/>
                <w:bCs/>
                <w:color w:val="000000"/>
                <w:sz w:val="10"/>
                <w:szCs w:val="16"/>
              </w:rPr>
              <w:t>.</w:t>
            </w:r>
            <w:r w:rsidRPr="007743CF">
              <w:rPr>
                <w:rFonts w:ascii="Bookman Old Style" w:hAnsi="Bookman Old Style"/>
                <w:b/>
                <w:bCs/>
                <w:color w:val="000000"/>
                <w:sz w:val="10"/>
                <w:szCs w:val="16"/>
              </w:rPr>
              <w:t>836</w:t>
            </w:r>
            <w:r w:rsidR="00376FB4">
              <w:rPr>
                <w:rFonts w:ascii="Bookman Old Style" w:hAnsi="Bookman Old Style"/>
                <w:b/>
                <w:bCs/>
                <w:color w:val="000000"/>
                <w:sz w:val="10"/>
                <w:szCs w:val="16"/>
              </w:rPr>
              <w:t>.</w:t>
            </w:r>
            <w:r w:rsidRPr="007743CF">
              <w:rPr>
                <w:rFonts w:ascii="Bookman Old Style" w:hAnsi="Bookman Old Style"/>
                <w:b/>
                <w:bCs/>
                <w:color w:val="000000"/>
                <w:sz w:val="10"/>
                <w:szCs w:val="16"/>
              </w:rPr>
              <w:t>568</w:t>
            </w:r>
          </w:p>
        </w:tc>
      </w:tr>
    </w:tbl>
    <w:p w14:paraId="15434F5D" w14:textId="77777777" w:rsidR="00BF359F" w:rsidRDefault="00BF359F" w:rsidP="00341E8F">
      <w:pPr>
        <w:widowControl w:val="0"/>
        <w:adjustRightInd w:val="0"/>
        <w:ind w:left="0"/>
        <w:jc w:val="center"/>
        <w:rPr>
          <w:rFonts w:ascii="Bookman Old Style" w:hAnsi="Bookman Old Style" w:cs="Arial"/>
          <w:bCs/>
          <w:sz w:val="14"/>
        </w:rPr>
      </w:pPr>
    </w:p>
    <w:p w14:paraId="52486D1D" w14:textId="77777777"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934F43">
        <w:rPr>
          <w:rFonts w:ascii="Bookman Old Style" w:hAnsi="Bookman Old Style" w:cs="Arial"/>
          <w:bCs/>
          <w:sz w:val="14"/>
        </w:rPr>
        <w:t>7</w:t>
      </w:r>
      <w:r w:rsidRPr="00CF6508">
        <w:rPr>
          <w:rFonts w:ascii="Bookman Old Style" w:hAnsi="Bookman Old Style" w:cs="Arial"/>
          <w:bCs/>
          <w:sz w:val="14"/>
        </w:rPr>
        <w:t>)</w:t>
      </w:r>
    </w:p>
    <w:p w14:paraId="3F8ED291" w14:textId="77777777" w:rsidR="00273C2C" w:rsidRPr="001954E9" w:rsidRDefault="00273C2C" w:rsidP="00341E8F">
      <w:pPr>
        <w:widowControl w:val="0"/>
        <w:adjustRightInd w:val="0"/>
        <w:ind w:left="0"/>
        <w:jc w:val="center"/>
        <w:rPr>
          <w:rFonts w:ascii="Bookman Old Style" w:hAnsi="Bookman Old Style" w:cs="Arial"/>
          <w:bCs/>
          <w:sz w:val="20"/>
        </w:rPr>
      </w:pPr>
    </w:p>
    <w:p w14:paraId="6530E721" w14:textId="77777777" w:rsidR="00273C2C" w:rsidRPr="001954E9" w:rsidRDefault="00273C2C" w:rsidP="00341E8F">
      <w:pPr>
        <w:widowControl w:val="0"/>
        <w:adjustRightInd w:val="0"/>
        <w:ind w:left="0"/>
        <w:jc w:val="center"/>
        <w:rPr>
          <w:rFonts w:ascii="Bookman Old Style" w:hAnsi="Bookman Old Style" w:cs="Arial"/>
          <w:bCs/>
          <w:sz w:val="20"/>
        </w:rPr>
      </w:pPr>
    </w:p>
    <w:p w14:paraId="201FD0C1" w14:textId="77777777" w:rsidR="00273C2C" w:rsidRDefault="00273C2C" w:rsidP="00341E8F">
      <w:pPr>
        <w:widowControl w:val="0"/>
        <w:adjustRightInd w:val="0"/>
        <w:ind w:left="0"/>
        <w:jc w:val="center"/>
        <w:rPr>
          <w:rFonts w:ascii="Bookman Old Style" w:hAnsi="Bookman Old Style" w:cs="Arial"/>
          <w:bCs/>
          <w:sz w:val="20"/>
        </w:rPr>
      </w:pPr>
    </w:p>
    <w:p w14:paraId="7F9847F0" w14:textId="77777777" w:rsidR="00415FAD" w:rsidRDefault="00415FAD" w:rsidP="00341E8F">
      <w:pPr>
        <w:widowControl w:val="0"/>
        <w:adjustRightInd w:val="0"/>
        <w:ind w:left="0"/>
        <w:jc w:val="center"/>
        <w:rPr>
          <w:rFonts w:ascii="Bookman Old Style" w:hAnsi="Bookman Old Style" w:cs="Arial"/>
          <w:bCs/>
          <w:sz w:val="20"/>
        </w:rPr>
      </w:pPr>
    </w:p>
    <w:p w14:paraId="5CF42898" w14:textId="77777777" w:rsidR="00415FAD" w:rsidRDefault="00415FAD" w:rsidP="00341E8F">
      <w:pPr>
        <w:widowControl w:val="0"/>
        <w:adjustRightInd w:val="0"/>
        <w:ind w:left="0"/>
        <w:jc w:val="center"/>
        <w:rPr>
          <w:rFonts w:ascii="Bookman Old Style" w:hAnsi="Bookman Old Style" w:cs="Arial"/>
          <w:bCs/>
          <w:sz w:val="20"/>
        </w:rPr>
      </w:pPr>
    </w:p>
    <w:p w14:paraId="1DC62790"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40B5379F" w14:textId="77777777" w:rsidTr="00E51288">
        <w:trPr>
          <w:trHeight w:val="864"/>
          <w:jc w:val="center"/>
        </w:trPr>
        <w:tc>
          <w:tcPr>
            <w:tcW w:w="5184" w:type="dxa"/>
          </w:tcPr>
          <w:p w14:paraId="7A946668" w14:textId="77777777" w:rsidR="002F1B8A" w:rsidRDefault="002F1B8A" w:rsidP="002F1B8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2A29A6AF" w14:textId="77777777" w:rsidR="002F1B8A" w:rsidRDefault="002F1B8A" w:rsidP="002F1B8A">
            <w:pPr>
              <w:suppressAutoHyphens/>
              <w:ind w:left="0"/>
              <w:jc w:val="center"/>
              <w:rPr>
                <w:rFonts w:ascii="Bookman Old Style" w:hAnsi="Bookman Old Style"/>
              </w:rPr>
            </w:pPr>
            <w:r>
              <w:rPr>
                <w:rFonts w:ascii="Bookman Old Style" w:hAnsi="Bookman Old Style"/>
              </w:rPr>
              <w:t>Viceministro de Energía</w:t>
            </w:r>
          </w:p>
          <w:p w14:paraId="1AEC47A4" w14:textId="77777777" w:rsidR="002F1B8A" w:rsidRDefault="002F1B8A" w:rsidP="002F1B8A">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04867CD7" w14:textId="5161ED8A" w:rsidR="00984132" w:rsidRPr="00BD0865" w:rsidRDefault="002F1B8A"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36700991" w14:textId="7343A428"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844136">
              <w:rPr>
                <w:rFonts w:ascii="Bookman Old Style" w:hAnsi="Bookman Old Style" w:cs="Arial"/>
                <w:b/>
              </w:rPr>
              <w:t>R</w:t>
            </w:r>
            <w:r>
              <w:rPr>
                <w:rFonts w:ascii="Bookman Old Style" w:hAnsi="Bookman Old Style" w:cs="Arial"/>
                <w:b/>
              </w:rPr>
              <w:t>ERA</w:t>
            </w:r>
          </w:p>
          <w:p w14:paraId="032BC1C4"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0323AA2E"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0A4461E8" w14:textId="77777777" w:rsidR="00273C2C" w:rsidRDefault="00273C2C" w:rsidP="004D7020">
      <w:pPr>
        <w:widowControl w:val="0"/>
        <w:adjustRightInd w:val="0"/>
        <w:ind w:left="0"/>
        <w:jc w:val="center"/>
        <w:rPr>
          <w:rFonts w:ascii="Bookman Old Style" w:hAnsi="Bookman Old Style" w:cs="Arial"/>
          <w:b/>
          <w:bCs/>
        </w:rPr>
      </w:pPr>
    </w:p>
    <w:p w14:paraId="7C6CC7CA"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4397E4A" w14:textId="77777777" w:rsidR="00893CDB" w:rsidRPr="001954E9" w:rsidRDefault="00893CDB" w:rsidP="00341E8F">
      <w:pPr>
        <w:widowControl w:val="0"/>
        <w:adjustRightInd w:val="0"/>
        <w:ind w:left="0"/>
        <w:jc w:val="center"/>
        <w:rPr>
          <w:rFonts w:ascii="Bookman Old Style" w:hAnsi="Bookman Old Style" w:cs="Arial"/>
          <w:b/>
        </w:rPr>
      </w:pPr>
    </w:p>
    <w:p w14:paraId="5CAEDFC8"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BCBE215" w14:textId="77777777" w:rsidR="00584A2C" w:rsidRDefault="00584A2C"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A83C4B" w:rsidRPr="00205F5B" w14:paraId="1C7CFF55" w14:textId="77777777" w:rsidTr="006B09AB">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7AD2516"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8746E38"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5B54125"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5910A60"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847C7DC"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4CB2B9A"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1545CE9"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A83C4B" w:rsidRPr="00205F5B" w14:paraId="18039E3D" w14:textId="77777777" w:rsidTr="006B09AB">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25C2B90" w14:textId="77777777" w:rsidR="00205F5B" w:rsidRPr="00205F5B" w:rsidRDefault="00205F5B" w:rsidP="00A83C4B">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4FFDD76" w14:textId="77777777" w:rsidR="00205F5B" w:rsidRPr="00205F5B" w:rsidRDefault="00205F5B" w:rsidP="00A83C4B">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06DFC529"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19B7B17"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54CE0499"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7E933EA4"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71D70A58"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61B4BA0B"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6D521D5F"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023DBC80"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15753F10"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4E010402"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2D2239" w:rsidRPr="00205F5B" w14:paraId="7AFB0A52"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DDA5802" w14:textId="77777777" w:rsidR="002D2239" w:rsidRPr="000E1844" w:rsidRDefault="002D2239" w:rsidP="002D2239">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C6F3A5E" w14:textId="77777777" w:rsidR="002D2239" w:rsidRPr="000E1844" w:rsidRDefault="002D2239" w:rsidP="002D223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721EE25D" w14:textId="77777777" w:rsidR="002D2239" w:rsidRPr="002D2239" w:rsidRDefault="002D2239" w:rsidP="002D2239">
            <w:pPr>
              <w:ind w:left="0"/>
              <w:jc w:val="center"/>
              <w:rPr>
                <w:rFonts w:ascii="Bookman Old Style" w:hAnsi="Bookman Old Style"/>
                <w:color w:val="000000"/>
                <w:sz w:val="12"/>
                <w:szCs w:val="16"/>
                <w:lang w:val="es-CO" w:eastAsia="es-CO"/>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5DF0F2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280</w:t>
            </w:r>
          </w:p>
        </w:tc>
        <w:tc>
          <w:tcPr>
            <w:tcW w:w="709" w:type="dxa"/>
            <w:tcBorders>
              <w:top w:val="nil"/>
              <w:left w:val="nil"/>
              <w:bottom w:val="single" w:sz="4" w:space="0" w:color="auto"/>
              <w:right w:val="single" w:sz="4" w:space="0" w:color="auto"/>
            </w:tcBorders>
            <w:shd w:val="clear" w:color="auto" w:fill="auto"/>
            <w:noWrap/>
            <w:vAlign w:val="bottom"/>
          </w:tcPr>
          <w:p w14:paraId="795557A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A10B7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320</w:t>
            </w:r>
          </w:p>
        </w:tc>
        <w:tc>
          <w:tcPr>
            <w:tcW w:w="677" w:type="dxa"/>
            <w:tcBorders>
              <w:top w:val="nil"/>
              <w:left w:val="nil"/>
              <w:bottom w:val="single" w:sz="4" w:space="0" w:color="auto"/>
              <w:right w:val="single" w:sz="4" w:space="0" w:color="auto"/>
            </w:tcBorders>
            <w:shd w:val="clear" w:color="auto" w:fill="auto"/>
            <w:noWrap/>
            <w:vAlign w:val="bottom"/>
          </w:tcPr>
          <w:p w14:paraId="4E6EB3A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7F00D7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bottom"/>
          </w:tcPr>
          <w:p w14:paraId="1F40DC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659FD0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bottom"/>
          </w:tcPr>
          <w:p w14:paraId="154C5C9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D88FA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r>
      <w:tr w:rsidR="002D2239" w:rsidRPr="00205F5B" w14:paraId="51191B7A"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BC7E1E1"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E31326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106786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E8EFC2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280</w:t>
            </w:r>
          </w:p>
        </w:tc>
        <w:tc>
          <w:tcPr>
            <w:tcW w:w="709" w:type="dxa"/>
            <w:tcBorders>
              <w:top w:val="nil"/>
              <w:left w:val="nil"/>
              <w:bottom w:val="single" w:sz="4" w:space="0" w:color="auto"/>
              <w:right w:val="single" w:sz="4" w:space="0" w:color="auto"/>
            </w:tcBorders>
            <w:shd w:val="clear" w:color="auto" w:fill="auto"/>
            <w:noWrap/>
            <w:vAlign w:val="bottom"/>
          </w:tcPr>
          <w:p w14:paraId="7E6D98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D76AE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320</w:t>
            </w:r>
          </w:p>
        </w:tc>
        <w:tc>
          <w:tcPr>
            <w:tcW w:w="677" w:type="dxa"/>
            <w:tcBorders>
              <w:top w:val="nil"/>
              <w:left w:val="nil"/>
              <w:bottom w:val="single" w:sz="4" w:space="0" w:color="auto"/>
              <w:right w:val="single" w:sz="4" w:space="0" w:color="auto"/>
            </w:tcBorders>
            <w:shd w:val="clear" w:color="auto" w:fill="auto"/>
            <w:noWrap/>
            <w:vAlign w:val="bottom"/>
          </w:tcPr>
          <w:p w14:paraId="5D1C1F4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AE89A7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bottom"/>
          </w:tcPr>
          <w:p w14:paraId="687BBA5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DA8DB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bottom"/>
          </w:tcPr>
          <w:p w14:paraId="0202178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54E8A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r>
      <w:tr w:rsidR="002D2239" w:rsidRPr="00205F5B" w14:paraId="282E5A56"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B3FEA57"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E0DEF5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27A3870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77F771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008E1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FB95F4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588379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5C9E14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CD4C59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9AE5A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0D77B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5A2F8C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3228DD7"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54C54A2"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C5797F4"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376D41F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588376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5C3789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6F5F5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4DCBA8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2EC270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8A31A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438C4D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0E4941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C123FB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FEFCE13"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FA86CD0"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B633D2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692D057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F375D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A1D1F0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A3D30D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8871F9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2D2BC6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99223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6667B1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48D27C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63BD1E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CBB17B6"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DC19C3A"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793111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4002BB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3E4CC0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B741F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0F308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69CEAF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CEEA71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A8C573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4FAFEF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C13709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0D23E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EF103ED"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089890B"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75B427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73109B8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F2C5A6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394BD5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C318F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459E40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78CEC6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45616C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5B5286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51DB321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11E35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BAE7C0F"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307336"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0C0CFD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5FF209D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36FCF9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37CFD2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D08745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86430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6974C0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54BE9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C5362B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5FEB2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7142A7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809027E"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FDA4176"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30E28E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5144FCD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EA5924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0E9EFD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9A38FA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2CA02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AE13BC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DC0723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AEB08F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5C4BDA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7ACB78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BA4C76D"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CB176D0"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F27D7A3"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16886C6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AB332E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7B4F4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41F51D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094170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C45150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14590E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4D5C1F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77E1F5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C84BF1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0DB4BC6"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B837F29"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EB2045C"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3E5E2DA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E0AB07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B21B4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71788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CD56D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2C885C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1C1B1D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ED11B1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70916D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2BE7D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711F87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7F6A466"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C0DC31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1702CBC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150A3D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273</w:t>
            </w:r>
          </w:p>
        </w:tc>
        <w:tc>
          <w:tcPr>
            <w:tcW w:w="709" w:type="dxa"/>
            <w:tcBorders>
              <w:top w:val="nil"/>
              <w:left w:val="nil"/>
              <w:bottom w:val="single" w:sz="4" w:space="0" w:color="auto"/>
              <w:right w:val="single" w:sz="4" w:space="0" w:color="auto"/>
            </w:tcBorders>
            <w:shd w:val="clear" w:color="auto" w:fill="auto"/>
            <w:noWrap/>
            <w:vAlign w:val="bottom"/>
          </w:tcPr>
          <w:p w14:paraId="6DAAC7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BA5E3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312</w:t>
            </w:r>
          </w:p>
        </w:tc>
        <w:tc>
          <w:tcPr>
            <w:tcW w:w="677" w:type="dxa"/>
            <w:tcBorders>
              <w:top w:val="nil"/>
              <w:left w:val="nil"/>
              <w:bottom w:val="single" w:sz="4" w:space="0" w:color="auto"/>
              <w:right w:val="single" w:sz="4" w:space="0" w:color="auto"/>
            </w:tcBorders>
            <w:shd w:val="clear" w:color="auto" w:fill="auto"/>
            <w:noWrap/>
            <w:vAlign w:val="bottom"/>
          </w:tcPr>
          <w:p w14:paraId="36210CE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CF90D8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bottom"/>
          </w:tcPr>
          <w:p w14:paraId="6988C77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F57F3E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bottom"/>
          </w:tcPr>
          <w:p w14:paraId="2C347AB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454DF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r>
      <w:tr w:rsidR="002D2239" w:rsidRPr="00205F5B" w14:paraId="05C1C15C"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7760D5B"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6EB15F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13B7015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EBA770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273</w:t>
            </w:r>
          </w:p>
        </w:tc>
        <w:tc>
          <w:tcPr>
            <w:tcW w:w="709" w:type="dxa"/>
            <w:tcBorders>
              <w:top w:val="nil"/>
              <w:left w:val="nil"/>
              <w:bottom w:val="single" w:sz="4" w:space="0" w:color="auto"/>
              <w:right w:val="single" w:sz="4" w:space="0" w:color="auto"/>
            </w:tcBorders>
            <w:shd w:val="clear" w:color="auto" w:fill="auto"/>
            <w:noWrap/>
            <w:vAlign w:val="bottom"/>
          </w:tcPr>
          <w:p w14:paraId="027582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124766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312</w:t>
            </w:r>
          </w:p>
        </w:tc>
        <w:tc>
          <w:tcPr>
            <w:tcW w:w="677" w:type="dxa"/>
            <w:tcBorders>
              <w:top w:val="nil"/>
              <w:left w:val="nil"/>
              <w:bottom w:val="single" w:sz="4" w:space="0" w:color="auto"/>
              <w:right w:val="single" w:sz="4" w:space="0" w:color="auto"/>
            </w:tcBorders>
            <w:shd w:val="clear" w:color="auto" w:fill="auto"/>
            <w:noWrap/>
            <w:vAlign w:val="bottom"/>
          </w:tcPr>
          <w:p w14:paraId="1EE02C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91954C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bottom"/>
          </w:tcPr>
          <w:p w14:paraId="7BD5CA9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3CA694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bottom"/>
          </w:tcPr>
          <w:p w14:paraId="1734F7C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613196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r>
      <w:tr w:rsidR="002D2239" w:rsidRPr="00205F5B" w14:paraId="48839DBF"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523AA74"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44F21A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1ACA9A6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99109D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C33B3C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684D35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0ACF97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6EC096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8326C5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1734C5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F43FC9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E3F2BE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8B66A02"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C479302"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0DF9FC6"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7E0146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1EA03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9A43CA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CB707E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4B6850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91A37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DC2DCA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798252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2D5EF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4616D9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8982657"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90DD05B"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1FEEFD3"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5C4357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E7CFE0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C2A5D2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044C91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9E306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5829D8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EE1A5E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1A727D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4AFA2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0F7AC4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5DC129E"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0037A39"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074B366"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08132FF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323DD6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1F103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62C557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DD8CA9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0E1F54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78C660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0324F3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516C24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52920C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BFA8D62"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C30F70"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43425F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4FA0318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F9974A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D1D8F6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214112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6E1F2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516BA1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3ED1FF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AEF9E3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5594B3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4C02F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B7E171D"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0EA19E"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A5B335E"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07CE787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6F1170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A0C085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AA87A9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C7411A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BD5236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ABD19E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397EF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6D215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48D4A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78D8A1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49A619"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77602F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755BCD0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DD5CB4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DE44A1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9FC4D3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F2C368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E351F0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6F33F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CCABA8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8635E9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73140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3B06D7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BF7A917"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71EA03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5CF41A3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B9DB1F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BC0A38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84F1D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E3564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15E932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43FAED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A230AA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5D5C8A5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23559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CD02A3C"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2643D6D"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A957E94"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2425B0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4F237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B3AECF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EA2C8F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6041C1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6B5B9C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4A5D07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83ACA0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26571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8B542C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E119E30"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8F0F406" w14:textId="23512AE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ECE54C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0C985FB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C9DCDF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371</w:t>
            </w:r>
          </w:p>
        </w:tc>
        <w:tc>
          <w:tcPr>
            <w:tcW w:w="709" w:type="dxa"/>
            <w:tcBorders>
              <w:top w:val="nil"/>
              <w:left w:val="nil"/>
              <w:bottom w:val="single" w:sz="4" w:space="0" w:color="auto"/>
              <w:right w:val="single" w:sz="4" w:space="0" w:color="auto"/>
            </w:tcBorders>
            <w:shd w:val="clear" w:color="auto" w:fill="auto"/>
            <w:noWrap/>
            <w:vAlign w:val="bottom"/>
          </w:tcPr>
          <w:p w14:paraId="5CF47E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AA731E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424</w:t>
            </w:r>
          </w:p>
        </w:tc>
        <w:tc>
          <w:tcPr>
            <w:tcW w:w="677" w:type="dxa"/>
            <w:tcBorders>
              <w:top w:val="nil"/>
              <w:left w:val="nil"/>
              <w:bottom w:val="single" w:sz="4" w:space="0" w:color="auto"/>
              <w:right w:val="single" w:sz="4" w:space="0" w:color="auto"/>
            </w:tcBorders>
            <w:shd w:val="clear" w:color="auto" w:fill="auto"/>
            <w:noWrap/>
            <w:vAlign w:val="bottom"/>
          </w:tcPr>
          <w:p w14:paraId="6B312B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8637D6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bottom"/>
          </w:tcPr>
          <w:p w14:paraId="7BCDCD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1546A5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bottom"/>
          </w:tcPr>
          <w:p w14:paraId="3E80D28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F19DBC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r>
      <w:tr w:rsidR="002D2239" w:rsidRPr="00205F5B" w14:paraId="35349099"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4EE6E22" w14:textId="7BE75A4C"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A03C7E6"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1E1889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E54C1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371</w:t>
            </w:r>
          </w:p>
        </w:tc>
        <w:tc>
          <w:tcPr>
            <w:tcW w:w="709" w:type="dxa"/>
            <w:tcBorders>
              <w:top w:val="nil"/>
              <w:left w:val="nil"/>
              <w:bottom w:val="single" w:sz="4" w:space="0" w:color="auto"/>
              <w:right w:val="single" w:sz="4" w:space="0" w:color="auto"/>
            </w:tcBorders>
            <w:shd w:val="clear" w:color="auto" w:fill="auto"/>
            <w:noWrap/>
            <w:vAlign w:val="bottom"/>
          </w:tcPr>
          <w:p w14:paraId="048F052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DC5FDA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424</w:t>
            </w:r>
          </w:p>
        </w:tc>
        <w:tc>
          <w:tcPr>
            <w:tcW w:w="677" w:type="dxa"/>
            <w:tcBorders>
              <w:top w:val="nil"/>
              <w:left w:val="nil"/>
              <w:bottom w:val="single" w:sz="4" w:space="0" w:color="auto"/>
              <w:right w:val="single" w:sz="4" w:space="0" w:color="auto"/>
            </w:tcBorders>
            <w:shd w:val="clear" w:color="auto" w:fill="auto"/>
            <w:noWrap/>
            <w:vAlign w:val="bottom"/>
          </w:tcPr>
          <w:p w14:paraId="2FA141B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86202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bottom"/>
          </w:tcPr>
          <w:p w14:paraId="4308167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851AA4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bottom"/>
          </w:tcPr>
          <w:p w14:paraId="5FFDDB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8EA07A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r>
      <w:tr w:rsidR="002D2239" w:rsidRPr="00205F5B" w14:paraId="64933581"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C9C0BE2" w14:textId="757FFDE8"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980AFD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68E5F98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9A1D17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FEE530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4F4B46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AB97A0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88A671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0A2627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0A8E33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A20DF2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A1F0F1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2B5135C"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7886A0" w14:textId="4A3CA77D"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0D1B67C"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3852B7B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85FE8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25D3B6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DBDF1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AF6305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1AA4CF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D571F8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260832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B9499E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EE217B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37FDCFE"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7B493B4" w14:textId="13F24A2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5932DB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1A4DB0B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180C07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36424E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3E817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9D08C4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0A14E3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7425B1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7AD435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5CFE480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21E67C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ECA04B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B4DA961" w14:textId="511317DA"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D67D56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237321E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2E9091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10F881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BE472B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61164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4576DB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917FF5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8AC410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34713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8B33A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664289A"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723BCB7" w14:textId="6486D8B1"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10BA953"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276B9DE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695B56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85E29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F60A85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A268DE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41FE78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7033BB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21651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D47C87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5E251A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E88E605"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B764BC1" w14:textId="2433D79E"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444DA3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0075600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1F1CEC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49660C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80C091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0C4FE5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05F6A3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77A82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1EB07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0844E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ED28D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94F081C"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4ED099C" w14:textId="73E38FA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4967D91"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1C5BD9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AB8A0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7F4EBE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A0A3E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5FB69B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913680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88A802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463271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ADE9B4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8F7E6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6F4F475"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7F6FC67" w14:textId="7C0AEFE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93DDA46"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04EBADF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07E6E5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D5CF3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1F5554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BD65D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9E085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5791F7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2B857C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50CD87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8DA3A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7DCEC23"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E52F8A2" w14:textId="4AA2630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019274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3005CDF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9BBC63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3AFF00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F97A09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6F8CA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1803DD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FD17C8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2A2566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8DA6D3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E9C93C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ED6A16E"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15BEE2D" w14:textId="52BE1C52"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ECD311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50E19CE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A4DC18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157</w:t>
            </w:r>
          </w:p>
        </w:tc>
        <w:tc>
          <w:tcPr>
            <w:tcW w:w="709" w:type="dxa"/>
            <w:tcBorders>
              <w:top w:val="nil"/>
              <w:left w:val="nil"/>
              <w:bottom w:val="single" w:sz="4" w:space="0" w:color="auto"/>
              <w:right w:val="single" w:sz="4" w:space="0" w:color="auto"/>
            </w:tcBorders>
            <w:shd w:val="clear" w:color="auto" w:fill="auto"/>
            <w:noWrap/>
            <w:vAlign w:val="bottom"/>
          </w:tcPr>
          <w:p w14:paraId="14074AC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6CCF7E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179</w:t>
            </w:r>
          </w:p>
        </w:tc>
        <w:tc>
          <w:tcPr>
            <w:tcW w:w="677" w:type="dxa"/>
            <w:tcBorders>
              <w:top w:val="nil"/>
              <w:left w:val="nil"/>
              <w:bottom w:val="single" w:sz="4" w:space="0" w:color="auto"/>
              <w:right w:val="single" w:sz="4" w:space="0" w:color="auto"/>
            </w:tcBorders>
            <w:shd w:val="clear" w:color="auto" w:fill="auto"/>
            <w:noWrap/>
            <w:vAlign w:val="bottom"/>
          </w:tcPr>
          <w:p w14:paraId="3050496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31D4D5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bottom"/>
          </w:tcPr>
          <w:p w14:paraId="662CB04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B74BF4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bottom"/>
          </w:tcPr>
          <w:p w14:paraId="28DA2A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4A8126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r>
      <w:tr w:rsidR="002D2239" w:rsidRPr="00205F5B" w14:paraId="33C2B67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FBD2A7" w14:textId="62515DA3"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9CD146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5B94950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E26E13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157</w:t>
            </w:r>
          </w:p>
        </w:tc>
        <w:tc>
          <w:tcPr>
            <w:tcW w:w="709" w:type="dxa"/>
            <w:tcBorders>
              <w:top w:val="nil"/>
              <w:left w:val="nil"/>
              <w:bottom w:val="single" w:sz="4" w:space="0" w:color="auto"/>
              <w:right w:val="single" w:sz="4" w:space="0" w:color="auto"/>
            </w:tcBorders>
            <w:shd w:val="clear" w:color="auto" w:fill="auto"/>
            <w:noWrap/>
            <w:vAlign w:val="bottom"/>
          </w:tcPr>
          <w:p w14:paraId="649A34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AD623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179</w:t>
            </w:r>
          </w:p>
        </w:tc>
        <w:tc>
          <w:tcPr>
            <w:tcW w:w="677" w:type="dxa"/>
            <w:tcBorders>
              <w:top w:val="nil"/>
              <w:left w:val="nil"/>
              <w:bottom w:val="single" w:sz="4" w:space="0" w:color="auto"/>
              <w:right w:val="single" w:sz="4" w:space="0" w:color="auto"/>
            </w:tcBorders>
            <w:shd w:val="clear" w:color="auto" w:fill="auto"/>
            <w:noWrap/>
            <w:vAlign w:val="bottom"/>
          </w:tcPr>
          <w:p w14:paraId="540B8DD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A4CCB4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bottom"/>
          </w:tcPr>
          <w:p w14:paraId="4F1ED3F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CB6393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bottom"/>
          </w:tcPr>
          <w:p w14:paraId="25BCE8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B3C4F8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r>
      <w:tr w:rsidR="002D2239" w:rsidRPr="00205F5B" w14:paraId="26A02DEA"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FDEF2AF" w14:textId="66822CF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710FC4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21AB7F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B3892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4624BA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9FC39B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C3E7C8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43CA54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59D8B4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7F41D1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B0E064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414A23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977625D"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0E2F3D" w14:textId="2B0448D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D37311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0962475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A56EF1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41EA76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70841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2CA8DF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FB4F38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BEE6D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4E17AD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931DD4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90394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AE5509D"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40542F4" w14:textId="5E6B27A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8E67B2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7D108D2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F04955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DE1377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418BCF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4175F7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FB680E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77BA6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DA52BD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49045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DB9C5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4AC4D56"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A527166" w14:textId="4FDD6A24"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7D5322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38F171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1AEA16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37279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99EC8B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B874F3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0F64A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38B09F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809E94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F460FA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DD30D2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2A064F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11FB09C" w14:textId="7C3DC88E"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7C73EBE"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41BED25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098533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EBCFE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38BDE4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7DB151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AC5289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8B3E24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7FCB66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4EF5E5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E04363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3456F34"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E4E7681" w14:textId="6943FBD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32508B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1ECCCDE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2047DF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162805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AE3831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5290D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3017D7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B36AA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B4718A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18929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602C4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8B7D111"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9C7D93B" w14:textId="7021B53B"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2E5A73E"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2F4DC43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56CA7B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46B642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6EF423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3CBAAA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75E490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72501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1B03D7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133E60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F0CCA4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C60F28F"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EDC59FB" w14:textId="58328CDF"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674E61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1DAC26E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05DFD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0CF582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D765E4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10BE93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0FFB76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D2AE57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1B30A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C98A1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68236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0CCE151"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461D41" w14:textId="26532B58"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2DD477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5E0C70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E422CF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BC4B78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4C0C8A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2DE5AA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74884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4016FB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62823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CF7813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E24B1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A97B143"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ECD948" w14:textId="5FB28AC3"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F589EE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65D51E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C10FCA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118</w:t>
            </w:r>
          </w:p>
        </w:tc>
        <w:tc>
          <w:tcPr>
            <w:tcW w:w="709" w:type="dxa"/>
            <w:tcBorders>
              <w:top w:val="nil"/>
              <w:left w:val="nil"/>
              <w:bottom w:val="single" w:sz="4" w:space="0" w:color="auto"/>
              <w:right w:val="single" w:sz="4" w:space="0" w:color="auto"/>
            </w:tcBorders>
            <w:shd w:val="clear" w:color="auto" w:fill="auto"/>
            <w:noWrap/>
            <w:vAlign w:val="bottom"/>
          </w:tcPr>
          <w:p w14:paraId="72B8C1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4D3B0C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134</w:t>
            </w:r>
          </w:p>
        </w:tc>
        <w:tc>
          <w:tcPr>
            <w:tcW w:w="677" w:type="dxa"/>
            <w:tcBorders>
              <w:top w:val="nil"/>
              <w:left w:val="nil"/>
              <w:bottom w:val="single" w:sz="4" w:space="0" w:color="auto"/>
              <w:right w:val="single" w:sz="4" w:space="0" w:color="auto"/>
            </w:tcBorders>
            <w:shd w:val="clear" w:color="auto" w:fill="auto"/>
            <w:noWrap/>
            <w:vAlign w:val="bottom"/>
          </w:tcPr>
          <w:p w14:paraId="3832534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DB0D9F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bottom"/>
          </w:tcPr>
          <w:p w14:paraId="04A62A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5B387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bottom"/>
          </w:tcPr>
          <w:p w14:paraId="03716E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19BA1B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r>
      <w:tr w:rsidR="002D2239" w:rsidRPr="00205F5B" w14:paraId="34B2DB81"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87831A0" w14:textId="5F8232BB"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614C29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457A9B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BA602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118</w:t>
            </w:r>
          </w:p>
        </w:tc>
        <w:tc>
          <w:tcPr>
            <w:tcW w:w="709" w:type="dxa"/>
            <w:tcBorders>
              <w:top w:val="nil"/>
              <w:left w:val="nil"/>
              <w:bottom w:val="single" w:sz="4" w:space="0" w:color="auto"/>
              <w:right w:val="single" w:sz="4" w:space="0" w:color="auto"/>
            </w:tcBorders>
            <w:shd w:val="clear" w:color="auto" w:fill="auto"/>
            <w:noWrap/>
            <w:vAlign w:val="bottom"/>
          </w:tcPr>
          <w:p w14:paraId="7AC3037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668D60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134</w:t>
            </w:r>
          </w:p>
        </w:tc>
        <w:tc>
          <w:tcPr>
            <w:tcW w:w="677" w:type="dxa"/>
            <w:tcBorders>
              <w:top w:val="nil"/>
              <w:left w:val="nil"/>
              <w:bottom w:val="single" w:sz="4" w:space="0" w:color="auto"/>
              <w:right w:val="single" w:sz="4" w:space="0" w:color="auto"/>
            </w:tcBorders>
            <w:shd w:val="clear" w:color="auto" w:fill="auto"/>
            <w:noWrap/>
            <w:vAlign w:val="bottom"/>
          </w:tcPr>
          <w:p w14:paraId="1EE7B6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A5775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bottom"/>
          </w:tcPr>
          <w:p w14:paraId="484BE52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2A272F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bottom"/>
          </w:tcPr>
          <w:p w14:paraId="4D2236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49AE0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r>
      <w:tr w:rsidR="002D2239" w:rsidRPr="00205F5B" w14:paraId="5538ACDB"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9BB8AF" w14:textId="20E10C3F"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D08DCB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2808AC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FCF928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9353CE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A6F41E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94084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B27075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350CE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E05319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84C142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9ADA2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735EAFE"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4C2692" w14:textId="749F9E5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670A726"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3AC93D3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53F1E3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177AB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706C6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A0056E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A11B78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4BA7C1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137C4F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38D0C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5144F6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1BC713B"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84F94D" w14:textId="2A8A0DBA"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A5CCF71"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558F256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F9AA3E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A8FAE3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51A414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B47127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09C38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434F9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F672AA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3DC87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E50182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3520EA8"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550BA14" w14:textId="0D3D7350"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4FF5C59"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738675F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86817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C5EB32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80CE10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12274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1D98F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26419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5387C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2FE9F6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D36331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1D8EE63"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092A0E" w14:textId="097D764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09F51E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1B16A7B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F2D27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256AAB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1DF72F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44B253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1DF3F2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C87111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4A769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57D006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784846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DDFD703"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3E2CFF" w14:textId="2D2EDD01"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E51151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37A307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454FC2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B5AB12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14BBD9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1B6786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03589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0E68A3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75172D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AAF7C8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949C3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806E866"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4838F2" w14:textId="79E1421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0BD983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3485834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10AC44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5182D6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B91E9C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7C299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F8989F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A7FB1F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FDAF84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E742B7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9B536D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FA43CD5"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C0E4D4C" w14:textId="51B10DD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BB837F3"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554728D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5F779F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20F67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411DAF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C0A0B9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86BCC9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A93A46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D15DE9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B08963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3780D5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2998492"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ABEB81C" w14:textId="106D1F2B"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1A9C00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783956D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AC53EB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C03A66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313B8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6A9369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49FC29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FF981E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1FA8E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43BCA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4D5A14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7187A31" w14:textId="77777777" w:rsidTr="00803CE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7FDC70" w14:textId="77777777" w:rsidR="002D2239" w:rsidRPr="00205F5B" w:rsidRDefault="002D2239" w:rsidP="002D223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723870DA" w14:textId="77777777" w:rsidR="002D2239" w:rsidRPr="00205F5B" w:rsidRDefault="002D2239" w:rsidP="002D223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7A4E55ED"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A435352"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1,199</w:t>
            </w:r>
          </w:p>
        </w:tc>
        <w:tc>
          <w:tcPr>
            <w:tcW w:w="709" w:type="dxa"/>
            <w:tcBorders>
              <w:top w:val="nil"/>
              <w:left w:val="nil"/>
              <w:bottom w:val="single" w:sz="4" w:space="0" w:color="auto"/>
              <w:right w:val="single" w:sz="4" w:space="0" w:color="auto"/>
            </w:tcBorders>
            <w:shd w:val="clear" w:color="auto" w:fill="auto"/>
            <w:noWrap/>
            <w:vAlign w:val="bottom"/>
          </w:tcPr>
          <w:p w14:paraId="73E02BC1"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9FB8970"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1,369</w:t>
            </w:r>
          </w:p>
        </w:tc>
        <w:tc>
          <w:tcPr>
            <w:tcW w:w="677" w:type="dxa"/>
            <w:tcBorders>
              <w:top w:val="nil"/>
              <w:left w:val="nil"/>
              <w:bottom w:val="single" w:sz="4" w:space="0" w:color="auto"/>
              <w:right w:val="single" w:sz="4" w:space="0" w:color="auto"/>
            </w:tcBorders>
            <w:shd w:val="clear" w:color="auto" w:fill="auto"/>
            <w:noWrap/>
            <w:vAlign w:val="bottom"/>
          </w:tcPr>
          <w:p w14:paraId="41D4977B"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3C42506"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c>
          <w:tcPr>
            <w:tcW w:w="612" w:type="dxa"/>
            <w:tcBorders>
              <w:top w:val="nil"/>
              <w:left w:val="nil"/>
              <w:bottom w:val="single" w:sz="4" w:space="0" w:color="auto"/>
              <w:right w:val="single" w:sz="4" w:space="0" w:color="auto"/>
            </w:tcBorders>
            <w:shd w:val="clear" w:color="auto" w:fill="auto"/>
            <w:noWrap/>
            <w:vAlign w:val="bottom"/>
          </w:tcPr>
          <w:p w14:paraId="66CD1AC3"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588A4E5"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c>
          <w:tcPr>
            <w:tcW w:w="586" w:type="dxa"/>
            <w:tcBorders>
              <w:top w:val="nil"/>
              <w:left w:val="nil"/>
              <w:bottom w:val="single" w:sz="4" w:space="0" w:color="auto"/>
              <w:right w:val="single" w:sz="4" w:space="0" w:color="auto"/>
            </w:tcBorders>
            <w:shd w:val="clear" w:color="auto" w:fill="auto"/>
            <w:noWrap/>
            <w:vAlign w:val="bottom"/>
          </w:tcPr>
          <w:p w14:paraId="462AE146"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6110C79"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r>
    </w:tbl>
    <w:p w14:paraId="51146392" w14:textId="77777777" w:rsidR="006B09AB" w:rsidRDefault="006B09AB"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1844" w:rsidRPr="00205F5B" w14:paraId="1FB7BD19"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63CB39B"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1C2F370"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F01D706"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4A2B1A9"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08667E1"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F4BE128"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D097AC5"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0E1844" w:rsidRPr="00205F5B" w14:paraId="60C6326B"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DE205A" w14:textId="77777777" w:rsidR="000E1844" w:rsidRPr="00205F5B" w:rsidRDefault="000E1844"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28C0657" w14:textId="77777777" w:rsidR="000E1844" w:rsidRPr="00205F5B" w:rsidRDefault="000E1844"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00DC3C28"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1BFC8A73"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42580EEF"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4741ABCC"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3D687F7C"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6CEF91BC"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3DB6C365"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2772DB53"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7C54CCA0"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5C3B0F48"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2D2239" w:rsidRPr="00205F5B" w14:paraId="353BCF7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E8916FA" w14:textId="77777777" w:rsidR="002D2239" w:rsidRPr="000E1844" w:rsidRDefault="002D2239" w:rsidP="002D2239">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C434212" w14:textId="77777777" w:rsidR="002D2239" w:rsidRPr="000E1844" w:rsidRDefault="002D2239" w:rsidP="002D223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1B4A90CC" w14:textId="77777777" w:rsidR="002D2239" w:rsidRPr="002D2239" w:rsidRDefault="002D2239" w:rsidP="002D2239">
            <w:pPr>
              <w:ind w:left="0"/>
              <w:jc w:val="center"/>
              <w:rPr>
                <w:rFonts w:ascii="Bookman Old Style" w:hAnsi="Bookman Old Style"/>
                <w:color w:val="000000"/>
                <w:sz w:val="12"/>
                <w:szCs w:val="16"/>
                <w:lang w:val="es-CO" w:eastAsia="es-CO"/>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A196F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709" w:type="dxa"/>
            <w:tcBorders>
              <w:top w:val="nil"/>
              <w:left w:val="nil"/>
              <w:bottom w:val="single" w:sz="4" w:space="0" w:color="auto"/>
              <w:right w:val="single" w:sz="4" w:space="0" w:color="auto"/>
            </w:tcBorders>
            <w:shd w:val="clear" w:color="auto" w:fill="auto"/>
            <w:noWrap/>
            <w:vAlign w:val="center"/>
          </w:tcPr>
          <w:p w14:paraId="50282AD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002FA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677" w:type="dxa"/>
            <w:tcBorders>
              <w:top w:val="nil"/>
              <w:left w:val="nil"/>
              <w:bottom w:val="single" w:sz="4" w:space="0" w:color="auto"/>
              <w:right w:val="single" w:sz="4" w:space="0" w:color="auto"/>
            </w:tcBorders>
            <w:shd w:val="clear" w:color="auto" w:fill="auto"/>
            <w:noWrap/>
            <w:vAlign w:val="center"/>
          </w:tcPr>
          <w:p w14:paraId="1231FB2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27DECC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center"/>
          </w:tcPr>
          <w:p w14:paraId="53F24D3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18806A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center"/>
          </w:tcPr>
          <w:p w14:paraId="2A74E55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18E90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r>
      <w:tr w:rsidR="002D2239" w:rsidRPr="00205F5B" w14:paraId="319D1F29"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2934978"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7766BB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510282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E00DD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709" w:type="dxa"/>
            <w:tcBorders>
              <w:top w:val="nil"/>
              <w:left w:val="nil"/>
              <w:bottom w:val="single" w:sz="4" w:space="0" w:color="auto"/>
              <w:right w:val="single" w:sz="4" w:space="0" w:color="auto"/>
            </w:tcBorders>
            <w:shd w:val="clear" w:color="auto" w:fill="auto"/>
            <w:noWrap/>
            <w:vAlign w:val="center"/>
          </w:tcPr>
          <w:p w14:paraId="597FF67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1F8C7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677" w:type="dxa"/>
            <w:tcBorders>
              <w:top w:val="nil"/>
              <w:left w:val="nil"/>
              <w:bottom w:val="single" w:sz="4" w:space="0" w:color="auto"/>
              <w:right w:val="single" w:sz="4" w:space="0" w:color="auto"/>
            </w:tcBorders>
            <w:shd w:val="clear" w:color="auto" w:fill="auto"/>
            <w:noWrap/>
            <w:vAlign w:val="center"/>
          </w:tcPr>
          <w:p w14:paraId="5E5BE1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5E148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center"/>
          </w:tcPr>
          <w:p w14:paraId="2E9925A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44667B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center"/>
          </w:tcPr>
          <w:p w14:paraId="5C0493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69FF59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360</w:t>
            </w:r>
          </w:p>
        </w:tc>
      </w:tr>
      <w:tr w:rsidR="002D2239" w:rsidRPr="00205F5B" w14:paraId="563ACC76"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3C12D0D"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4EA3EA9"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972CBD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01AC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323F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AC5E4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0A9B7B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9F9AC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A697BC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BBDF41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14A8AD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3BD74E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295A7C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8C29F17"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D5DEF2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27AB7A3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87B5BE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F8280C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93C29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B9CE25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CA3E20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622BF6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E1651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93D94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A7B2D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7016CB1"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252AFD9"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930EBE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64D6E61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46E7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23130C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2936F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C2E27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1B9B24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BF9EAB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AF72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ED260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7C761D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FB19A51"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B3983E"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0E4697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5AF36D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D71DC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09D84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005B3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6B77FB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8ABF85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863A9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26D69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A766D4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C4B4C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64D27F0"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B79D81D"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C649D5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5AF4CD0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6B394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8810C3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BDA50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B7075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467E48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0B6DF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9868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BF610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9E94D7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CC93601"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902295D"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2F97BF9"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815D93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3B2A6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DD6DBA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B589E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D77726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A6BAD7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FEA408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8B9C7B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A2FA76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136C24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031E77E"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E298E05"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B3A1E7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2FB0CF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0E46E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7C28B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6791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93BEA2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A9323A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9CB81B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F3BAD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F7D1DD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DEE760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F6F68F8"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58AB29A"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4F29204"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28D875A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326451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E361AE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B3516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645F64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5065E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076A4D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29DB36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6F849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E1D91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E7E06BB"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01AE9E7"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38C2DD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3C772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898A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885338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15F76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AC17A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B8ADD5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95929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CAAE14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90919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F2E4E4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545168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D52766"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3554A5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A1301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3E55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709" w:type="dxa"/>
            <w:tcBorders>
              <w:top w:val="nil"/>
              <w:left w:val="nil"/>
              <w:bottom w:val="single" w:sz="4" w:space="0" w:color="auto"/>
              <w:right w:val="single" w:sz="4" w:space="0" w:color="auto"/>
            </w:tcBorders>
            <w:shd w:val="clear" w:color="auto" w:fill="auto"/>
            <w:noWrap/>
            <w:vAlign w:val="center"/>
          </w:tcPr>
          <w:p w14:paraId="206EEF8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E87F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677" w:type="dxa"/>
            <w:tcBorders>
              <w:top w:val="nil"/>
              <w:left w:val="nil"/>
              <w:bottom w:val="single" w:sz="4" w:space="0" w:color="auto"/>
              <w:right w:val="single" w:sz="4" w:space="0" w:color="auto"/>
            </w:tcBorders>
            <w:shd w:val="clear" w:color="auto" w:fill="auto"/>
            <w:noWrap/>
            <w:vAlign w:val="center"/>
          </w:tcPr>
          <w:p w14:paraId="2468F56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99B6C5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center"/>
          </w:tcPr>
          <w:p w14:paraId="0A987CC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6F8C8F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center"/>
          </w:tcPr>
          <w:p w14:paraId="6141CB2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41B457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r>
      <w:tr w:rsidR="002D2239" w:rsidRPr="00205F5B" w14:paraId="7819757F"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7E6EF9"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B73FAD6"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7B6A95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0733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709" w:type="dxa"/>
            <w:tcBorders>
              <w:top w:val="nil"/>
              <w:left w:val="nil"/>
              <w:bottom w:val="single" w:sz="4" w:space="0" w:color="auto"/>
              <w:right w:val="single" w:sz="4" w:space="0" w:color="auto"/>
            </w:tcBorders>
            <w:shd w:val="clear" w:color="auto" w:fill="auto"/>
            <w:noWrap/>
            <w:vAlign w:val="center"/>
          </w:tcPr>
          <w:p w14:paraId="064497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7F7C1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677" w:type="dxa"/>
            <w:tcBorders>
              <w:top w:val="nil"/>
              <w:left w:val="nil"/>
              <w:bottom w:val="single" w:sz="4" w:space="0" w:color="auto"/>
              <w:right w:val="single" w:sz="4" w:space="0" w:color="auto"/>
            </w:tcBorders>
            <w:shd w:val="clear" w:color="auto" w:fill="auto"/>
            <w:noWrap/>
            <w:vAlign w:val="center"/>
          </w:tcPr>
          <w:p w14:paraId="05C9680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AA8F2A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center"/>
          </w:tcPr>
          <w:p w14:paraId="5E71617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EB4A4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center"/>
          </w:tcPr>
          <w:p w14:paraId="330C9C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5D283D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351</w:t>
            </w:r>
          </w:p>
        </w:tc>
      </w:tr>
      <w:tr w:rsidR="002D2239" w:rsidRPr="00205F5B" w14:paraId="374BFB5B"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3BD7C88"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75F166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5EAE1E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E84FA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14393A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834D8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042C7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CE5D43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80A48D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9A037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883BEC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13B9EE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3EAFFD0"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8F69A10"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781470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258DE07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E9B6D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717F5A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D37CD3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0C80CF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5A57DA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8D22C1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1F124B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B1AAEE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9B51B7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C7D83E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964C421"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9C4D95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1FD1BC2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2C528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B66D28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A70B1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D62265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966748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A9263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CF924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D0092D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A0DBFA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79A1D99"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63A8E95"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F7CDD8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144B06A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4B8F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6C5A49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47F4F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E8EA0B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0B7A0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F871F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D15C7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3D4AE6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132DE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F484E6E"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E6E64D7"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C1F5DA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A57B4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C5580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ACE82D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7D855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D70226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E568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8D5C90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C8D4F7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42E0D6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5C4F06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A890B13"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F59AB8"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03D46A1"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79CB7AC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31507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E81BE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8240E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AFFF62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892AD5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E1038B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F5CD6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79B809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3A1355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EA41CD7"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67AAD06"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B4C7FD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30D151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4167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D2DDC9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7392C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3D37A1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2FED5D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55E4FB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E257C5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F210E4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22D4B0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1A71310"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8F34104"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712194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6C60CF6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0159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3D8BD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E99D1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93BE51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9D0F24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FEC8EB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12B463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4326A8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D2C904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0EE671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193138C" w14:textId="77777777"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261A75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75CB6E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E091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42D86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9EBC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1B117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D5829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6FF7E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B3FF3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E51D9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503E17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8F6F43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4F54EF9" w14:textId="4551663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1E35EB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AB5EF3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A7158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709" w:type="dxa"/>
            <w:tcBorders>
              <w:top w:val="nil"/>
              <w:left w:val="nil"/>
              <w:bottom w:val="single" w:sz="4" w:space="0" w:color="auto"/>
              <w:right w:val="single" w:sz="4" w:space="0" w:color="auto"/>
            </w:tcBorders>
            <w:shd w:val="clear" w:color="auto" w:fill="auto"/>
            <w:noWrap/>
            <w:vAlign w:val="center"/>
          </w:tcPr>
          <w:p w14:paraId="44F1C2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B5BB7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677" w:type="dxa"/>
            <w:tcBorders>
              <w:top w:val="nil"/>
              <w:left w:val="nil"/>
              <w:bottom w:val="single" w:sz="4" w:space="0" w:color="auto"/>
              <w:right w:val="single" w:sz="4" w:space="0" w:color="auto"/>
            </w:tcBorders>
            <w:shd w:val="clear" w:color="auto" w:fill="auto"/>
            <w:noWrap/>
            <w:vAlign w:val="center"/>
          </w:tcPr>
          <w:p w14:paraId="1BE4754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740A7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center"/>
          </w:tcPr>
          <w:p w14:paraId="4CC28A1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E386EC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center"/>
          </w:tcPr>
          <w:p w14:paraId="35FF44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CFF4B4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r>
      <w:tr w:rsidR="002D2239" w:rsidRPr="00205F5B" w14:paraId="62D9899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031E79" w14:textId="5ECB7BFC"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3B4C88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297E6C5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100CE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709" w:type="dxa"/>
            <w:tcBorders>
              <w:top w:val="nil"/>
              <w:left w:val="nil"/>
              <w:bottom w:val="single" w:sz="4" w:space="0" w:color="auto"/>
              <w:right w:val="single" w:sz="4" w:space="0" w:color="auto"/>
            </w:tcBorders>
            <w:shd w:val="clear" w:color="auto" w:fill="auto"/>
            <w:noWrap/>
            <w:vAlign w:val="center"/>
          </w:tcPr>
          <w:p w14:paraId="6CCB704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39E36F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677" w:type="dxa"/>
            <w:tcBorders>
              <w:top w:val="nil"/>
              <w:left w:val="nil"/>
              <w:bottom w:val="single" w:sz="4" w:space="0" w:color="auto"/>
              <w:right w:val="single" w:sz="4" w:space="0" w:color="auto"/>
            </w:tcBorders>
            <w:shd w:val="clear" w:color="auto" w:fill="auto"/>
            <w:noWrap/>
            <w:vAlign w:val="center"/>
          </w:tcPr>
          <w:p w14:paraId="77AF9B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E72AE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center"/>
          </w:tcPr>
          <w:p w14:paraId="0D64BE4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CE54B2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center"/>
          </w:tcPr>
          <w:p w14:paraId="338177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8C403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477</w:t>
            </w:r>
          </w:p>
        </w:tc>
      </w:tr>
      <w:tr w:rsidR="002D2239" w:rsidRPr="00205F5B" w14:paraId="51EC7192"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E80B57B" w14:textId="3F60663D"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ABF1609"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4FBD35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C408D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3936D1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CC7DB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4FFD3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55F30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FC61D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E68B9E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2B1EE8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F1774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7DE8BEC"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CDDBF5" w14:textId="703EF704"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27C31C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018D746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B6A11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B4E4F1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63BF3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4EB717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76C9D5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CDD453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FB5E9D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0D884E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D6F09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0635349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FAA96E0" w14:textId="3A9751E2"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E6B0DC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7BFC759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F38FE9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88B0EA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BE719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A19766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DE0AD4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F65594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E1F181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9EC0AA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F60F8C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59BA540"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22FBBE8" w14:textId="5A2D27A3"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C488374"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44E7E0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A0E15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CF0CB0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AA776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2B3A7C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1382C5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30A2E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8B4E10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E28A6F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8998B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8F8548B"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1F6143" w14:textId="11567E92"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1E33F73"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605FF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19AB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6E1636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AFC85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5A50AC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79BE4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28BFD3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F7CF88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857F21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0EF576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CD28A08"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9D041B2" w14:textId="3E425F29"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5752FF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BBD081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DEB540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802B6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2AD94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5DDF1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95E97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82B074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5C3D2D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47D437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49254F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E7FAA89"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40629F4" w14:textId="1349839C"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B842F5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3918CAD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2A50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D597A0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AAC5D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E73BF2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97978C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41C933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7485BA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DF1ECC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514EAC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4F640BF2"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2BE263C" w14:textId="064AB7BD"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3CD84D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1E6D288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B8C4B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6096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8CA2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13587E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DAAE18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F9A347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9DB4C7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D12250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C23AB0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90800C3"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2B20CC" w14:textId="7B778CBF"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D9622CE"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3C1F38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A77E5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EA5DD5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292C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29AE31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B069C6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7AA29D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61375C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399D28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2EFF6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F56E86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311E81E" w14:textId="345F7958"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102B857"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066BB9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3795D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center"/>
          </w:tcPr>
          <w:p w14:paraId="0F7BB72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2E95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677" w:type="dxa"/>
            <w:tcBorders>
              <w:top w:val="nil"/>
              <w:left w:val="nil"/>
              <w:bottom w:val="single" w:sz="4" w:space="0" w:color="auto"/>
              <w:right w:val="single" w:sz="4" w:space="0" w:color="auto"/>
            </w:tcBorders>
            <w:shd w:val="clear" w:color="auto" w:fill="auto"/>
            <w:noWrap/>
            <w:vAlign w:val="center"/>
          </w:tcPr>
          <w:p w14:paraId="4E1FE38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67BB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center"/>
          </w:tcPr>
          <w:p w14:paraId="7E8B76A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55159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center"/>
          </w:tcPr>
          <w:p w14:paraId="262AA2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CB6E40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r>
      <w:tr w:rsidR="002D2239" w:rsidRPr="00205F5B" w14:paraId="29B953D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41E03DE" w14:textId="4DBEE57B"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E8736A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5449CC0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E24736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center"/>
          </w:tcPr>
          <w:p w14:paraId="476CB20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F68E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677" w:type="dxa"/>
            <w:tcBorders>
              <w:top w:val="nil"/>
              <w:left w:val="nil"/>
              <w:bottom w:val="single" w:sz="4" w:space="0" w:color="auto"/>
              <w:right w:val="single" w:sz="4" w:space="0" w:color="auto"/>
            </w:tcBorders>
            <w:shd w:val="clear" w:color="auto" w:fill="auto"/>
            <w:noWrap/>
            <w:vAlign w:val="center"/>
          </w:tcPr>
          <w:p w14:paraId="20C314A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6FB82A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center"/>
          </w:tcPr>
          <w:p w14:paraId="29D0783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DA1BD4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center"/>
          </w:tcPr>
          <w:p w14:paraId="00E68BE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792119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202</w:t>
            </w:r>
          </w:p>
        </w:tc>
      </w:tr>
      <w:tr w:rsidR="002D2239" w:rsidRPr="00205F5B" w14:paraId="648106E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5D2A58E" w14:textId="2F768896"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D260221"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62C7D5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D2164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DAE66C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A8F1B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A4D35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F1C520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C845F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D5E826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DBD1FC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B77F86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216F756"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F24E9E" w14:textId="7162A15B"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EBECB8F"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1893DD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9FAC9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AC45F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03ED6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CB7E48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C80EC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6EABC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650878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6B135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8D1C24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2C87E6A"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1B541D" w14:textId="6FD5091B"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176CD61"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5B1CAD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BF9AB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19DF9B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8219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E1388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5B470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EC122A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25C0A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01497A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10AB4D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AFE1080"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0A667FA" w14:textId="5ACB441F"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AEF8F8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2362003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B0137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AE7A2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567C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7F50AA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EA6BC4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D91C33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BF9E8B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D61C45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AB6343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EFFEA33"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FCBD544" w14:textId="4301481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9C17894"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E3BAEB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AB74E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6B1BA5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47247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34F39F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702DF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7A0707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1084CB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674EC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EB4893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88237AC"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C898CA" w14:textId="233719E8"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C9A7DB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3DD674F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52994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6CFE9D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4A2F1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5FDBE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270EF1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191DEB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419C84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2535A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A88ADD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EAAC562"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9E9327" w14:textId="13E9AFAD"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C803EEC"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EFAB20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8CD5F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FFA39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6E883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46DA9E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E1B2A9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33D43B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05A7B3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A3519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2151A9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244744C"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8634454" w14:textId="070543E3"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3410A95"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713FB5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417FCF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74F5AA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54AB5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D3E85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A27E3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ED2269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F1FDB7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433C8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1B25A7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54E970FF"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72E59E3" w14:textId="700A0C3E"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83B0E84"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CA8A88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5552C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D56589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90813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6B9692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03DF0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98FCB8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C8119B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FC5845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772A9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B923D8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A0B7B6" w14:textId="4C8489E1"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2B48920"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2FD597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5DA64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709" w:type="dxa"/>
            <w:tcBorders>
              <w:top w:val="nil"/>
              <w:left w:val="nil"/>
              <w:bottom w:val="single" w:sz="4" w:space="0" w:color="auto"/>
              <w:right w:val="single" w:sz="4" w:space="0" w:color="auto"/>
            </w:tcBorders>
            <w:shd w:val="clear" w:color="auto" w:fill="auto"/>
            <w:noWrap/>
            <w:vAlign w:val="center"/>
          </w:tcPr>
          <w:p w14:paraId="3FC01A2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7B740E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677" w:type="dxa"/>
            <w:tcBorders>
              <w:top w:val="nil"/>
              <w:left w:val="nil"/>
              <w:bottom w:val="single" w:sz="4" w:space="0" w:color="auto"/>
              <w:right w:val="single" w:sz="4" w:space="0" w:color="auto"/>
            </w:tcBorders>
            <w:shd w:val="clear" w:color="auto" w:fill="auto"/>
            <w:noWrap/>
            <w:vAlign w:val="center"/>
          </w:tcPr>
          <w:p w14:paraId="5C419A6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BCC91D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center"/>
          </w:tcPr>
          <w:p w14:paraId="5203E90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B1092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center"/>
          </w:tcPr>
          <w:p w14:paraId="45E099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46B18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r>
      <w:tr w:rsidR="002D2239" w:rsidRPr="00205F5B" w14:paraId="15C9B6D8"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44EBE5B" w14:textId="13AA512F"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BE974E2"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635FB6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FFAC7F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709" w:type="dxa"/>
            <w:tcBorders>
              <w:top w:val="nil"/>
              <w:left w:val="nil"/>
              <w:bottom w:val="single" w:sz="4" w:space="0" w:color="auto"/>
              <w:right w:val="single" w:sz="4" w:space="0" w:color="auto"/>
            </w:tcBorders>
            <w:shd w:val="clear" w:color="auto" w:fill="auto"/>
            <w:noWrap/>
            <w:vAlign w:val="center"/>
          </w:tcPr>
          <w:p w14:paraId="72D6C40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42BCE5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677" w:type="dxa"/>
            <w:tcBorders>
              <w:top w:val="nil"/>
              <w:left w:val="nil"/>
              <w:bottom w:val="single" w:sz="4" w:space="0" w:color="auto"/>
              <w:right w:val="single" w:sz="4" w:space="0" w:color="auto"/>
            </w:tcBorders>
            <w:shd w:val="clear" w:color="auto" w:fill="auto"/>
            <w:noWrap/>
            <w:vAlign w:val="center"/>
          </w:tcPr>
          <w:p w14:paraId="0F987CB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7F50B1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center"/>
          </w:tcPr>
          <w:p w14:paraId="3EB6407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0D35B3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center"/>
          </w:tcPr>
          <w:p w14:paraId="775FF65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77B71C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151</w:t>
            </w:r>
          </w:p>
        </w:tc>
      </w:tr>
      <w:tr w:rsidR="002D2239" w:rsidRPr="00205F5B" w14:paraId="04150F12"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78291F" w14:textId="07F946C1"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ACE945A"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621E37E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5398D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E1A8C7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8B01A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ECB307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40F4C6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9F2D8F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47A7BD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9EE719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B89E4A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73A029D3"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6EFCE73" w14:textId="011C02F4"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8CFF25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4C91926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AB6C1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65E77E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2BF3E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E38A3D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DF2F89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D3719F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5EB48B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E5291D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B2BA4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DF51446"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271782A" w14:textId="2AA9FDE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61BCE7B"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63CD1BC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AE712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37242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71ECB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093037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2F7F3A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D4BDD5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77DE0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B8D70A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C27CD2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7C6192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179E7D" w14:textId="567DF6F5"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B28122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B4E306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A484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F804BB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E636D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5D2259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9F8E76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CD194C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F46ACDB"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562178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F2CE12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6BA09A4F"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5BF459B" w14:textId="39780642"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5DE28BE"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6CDEE4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3AA07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2AAF1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8B4E6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84CCCB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55905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E905FE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3BC277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443C8F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7809A0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28197D42"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B4CBE44" w14:textId="4C94EDB0"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A2BEA08"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1BDF8A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F88D3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D4E1E1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E5518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07503C8"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41EC66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BAF3B5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C840FC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15D644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6DC2F8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422702E"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4E70D90" w14:textId="086F5F5E"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F003D2E"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2737EEE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D4913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0D3FCD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989D3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CD485F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0247B7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A0A40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7C14B53"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D73A47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87A3A7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E52B0E3"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83652FB" w14:textId="33AA583D"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71A187D"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2F2A3AD1"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1F41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429B30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C5ABF9"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063422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AEE4A8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AF08BF"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EF5515"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BA014B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746B32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306DB564"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558BB45" w14:textId="2907F3C1" w:rsidR="002D2239" w:rsidRPr="000E1844" w:rsidRDefault="002D2239" w:rsidP="002D22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81538DC" w14:textId="77777777" w:rsidR="002D2239" w:rsidRPr="000E1844" w:rsidRDefault="002D2239" w:rsidP="002D22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1330DE4"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A89FA0"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006EA7"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A1E47C"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2C722B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C8CA79E"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B073516"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E8C5AEA"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988BF9D"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E2BC692" w14:textId="77777777" w:rsidR="002D2239" w:rsidRPr="002D2239" w:rsidRDefault="002D2239" w:rsidP="002D2239">
            <w:pPr>
              <w:ind w:left="0"/>
              <w:jc w:val="center"/>
              <w:rPr>
                <w:rFonts w:ascii="Bookman Old Style" w:hAnsi="Bookman Old Style"/>
                <w:color w:val="000000"/>
                <w:sz w:val="12"/>
                <w:szCs w:val="16"/>
              </w:rPr>
            </w:pPr>
            <w:r w:rsidRPr="002D2239">
              <w:rPr>
                <w:rFonts w:ascii="Bookman Old Style" w:hAnsi="Bookman Old Style"/>
                <w:color w:val="000000"/>
                <w:sz w:val="12"/>
                <w:szCs w:val="16"/>
              </w:rPr>
              <w:t>-</w:t>
            </w:r>
          </w:p>
        </w:tc>
      </w:tr>
      <w:tr w:rsidR="002D2239" w:rsidRPr="00205F5B" w14:paraId="17177A1C" w14:textId="77777777" w:rsidTr="002D22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D49BCF" w14:textId="77777777" w:rsidR="002D2239" w:rsidRPr="00205F5B" w:rsidRDefault="002D2239" w:rsidP="002D223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266A5647" w14:textId="77777777" w:rsidR="002D2239" w:rsidRPr="00205F5B" w:rsidRDefault="002D2239" w:rsidP="002D223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587CA1DB"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05A3403"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c>
          <w:tcPr>
            <w:tcW w:w="709" w:type="dxa"/>
            <w:tcBorders>
              <w:top w:val="nil"/>
              <w:left w:val="nil"/>
              <w:bottom w:val="single" w:sz="4" w:space="0" w:color="auto"/>
              <w:right w:val="single" w:sz="4" w:space="0" w:color="auto"/>
            </w:tcBorders>
            <w:shd w:val="clear" w:color="auto" w:fill="auto"/>
            <w:noWrap/>
            <w:vAlign w:val="center"/>
          </w:tcPr>
          <w:p w14:paraId="5F8A2EAE"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32DB003"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c>
          <w:tcPr>
            <w:tcW w:w="677" w:type="dxa"/>
            <w:tcBorders>
              <w:top w:val="nil"/>
              <w:left w:val="nil"/>
              <w:bottom w:val="single" w:sz="4" w:space="0" w:color="auto"/>
              <w:right w:val="single" w:sz="4" w:space="0" w:color="auto"/>
            </w:tcBorders>
            <w:shd w:val="clear" w:color="auto" w:fill="auto"/>
            <w:noWrap/>
            <w:vAlign w:val="center"/>
          </w:tcPr>
          <w:p w14:paraId="1AC64506"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352BA2A"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c>
          <w:tcPr>
            <w:tcW w:w="612" w:type="dxa"/>
            <w:tcBorders>
              <w:top w:val="nil"/>
              <w:left w:val="nil"/>
              <w:bottom w:val="single" w:sz="4" w:space="0" w:color="auto"/>
              <w:right w:val="single" w:sz="4" w:space="0" w:color="auto"/>
            </w:tcBorders>
            <w:shd w:val="clear" w:color="auto" w:fill="auto"/>
            <w:noWrap/>
            <w:vAlign w:val="center"/>
          </w:tcPr>
          <w:p w14:paraId="57BCC5EE"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0023227"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c>
          <w:tcPr>
            <w:tcW w:w="586" w:type="dxa"/>
            <w:tcBorders>
              <w:top w:val="nil"/>
              <w:left w:val="nil"/>
              <w:bottom w:val="single" w:sz="4" w:space="0" w:color="auto"/>
              <w:right w:val="single" w:sz="4" w:space="0" w:color="auto"/>
            </w:tcBorders>
            <w:shd w:val="clear" w:color="auto" w:fill="auto"/>
            <w:noWrap/>
            <w:vAlign w:val="center"/>
          </w:tcPr>
          <w:p w14:paraId="6F4AAADA"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E895F3D" w14:textId="77777777" w:rsidR="002D2239" w:rsidRPr="002D2239" w:rsidRDefault="002D2239" w:rsidP="002D2239">
            <w:pPr>
              <w:ind w:left="0"/>
              <w:jc w:val="center"/>
              <w:rPr>
                <w:rFonts w:ascii="Bookman Old Style" w:hAnsi="Bookman Old Style"/>
                <w:b/>
                <w:bCs/>
                <w:color w:val="000000"/>
                <w:sz w:val="12"/>
                <w:szCs w:val="16"/>
              </w:rPr>
            </w:pPr>
            <w:r w:rsidRPr="002D2239">
              <w:rPr>
                <w:rFonts w:ascii="Bookman Old Style" w:hAnsi="Bookman Old Style"/>
                <w:b/>
                <w:bCs/>
                <w:color w:val="000000"/>
                <w:sz w:val="12"/>
                <w:szCs w:val="16"/>
              </w:rPr>
              <w:t>1,541</w:t>
            </w:r>
          </w:p>
        </w:tc>
      </w:tr>
    </w:tbl>
    <w:p w14:paraId="7AB43A91" w14:textId="77777777" w:rsidR="00584A2C" w:rsidRDefault="00584A2C" w:rsidP="00341E8F">
      <w:pPr>
        <w:widowControl w:val="0"/>
        <w:adjustRightInd w:val="0"/>
        <w:ind w:left="0"/>
        <w:jc w:val="center"/>
        <w:rPr>
          <w:rFonts w:ascii="Bookman Old Style" w:hAnsi="Bookman Old Style" w:cs="Arial"/>
          <w:b/>
        </w:rPr>
      </w:pPr>
    </w:p>
    <w:p w14:paraId="6F37C7EE" w14:textId="77777777" w:rsidR="003E048C" w:rsidRDefault="003E048C"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1844" w:rsidRPr="00205F5B" w14:paraId="6C6AA459"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9FDEE05"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DA119B2"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863A060"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10C4D21"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FF7C50E"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F4F6A4D"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4ADD900"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0E1844" w:rsidRPr="00205F5B" w14:paraId="79405269"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22FD1E2" w14:textId="77777777" w:rsidR="000E1844" w:rsidRPr="00205F5B" w:rsidRDefault="000E1844"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F93A625" w14:textId="77777777" w:rsidR="000E1844" w:rsidRPr="00205F5B" w:rsidRDefault="000E1844"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2E598128"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3ABC9959"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7053BF8C"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7E8645B"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095ED2B3"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15C5D620"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61B44CD5"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5CF484F5"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2B9D9554"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577687B0"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70039" w:rsidRPr="00205F5B" w14:paraId="497EA59B"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A6806E" w14:textId="77777777" w:rsidR="00C70039" w:rsidRPr="000E1844" w:rsidRDefault="00C70039" w:rsidP="00C70039">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599C039" w14:textId="77777777" w:rsidR="00C70039" w:rsidRPr="000E1844" w:rsidRDefault="00C70039" w:rsidP="00C7003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46701064" w14:textId="77777777" w:rsidR="00C70039" w:rsidRPr="00C70039" w:rsidRDefault="00C70039" w:rsidP="00C70039">
            <w:pPr>
              <w:ind w:left="0"/>
              <w:jc w:val="center"/>
              <w:rPr>
                <w:rFonts w:ascii="Bookman Old Style" w:hAnsi="Bookman Old Style"/>
                <w:color w:val="000000"/>
                <w:sz w:val="12"/>
                <w:szCs w:val="16"/>
                <w:lang w:val="es-CO" w:eastAsia="es-CO"/>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31A35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709" w:type="dxa"/>
            <w:tcBorders>
              <w:top w:val="nil"/>
              <w:left w:val="nil"/>
              <w:bottom w:val="single" w:sz="4" w:space="0" w:color="auto"/>
              <w:right w:val="single" w:sz="4" w:space="0" w:color="auto"/>
            </w:tcBorders>
            <w:shd w:val="clear" w:color="auto" w:fill="auto"/>
            <w:noWrap/>
            <w:vAlign w:val="center"/>
          </w:tcPr>
          <w:p w14:paraId="0F53563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1F0BC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677" w:type="dxa"/>
            <w:tcBorders>
              <w:top w:val="nil"/>
              <w:left w:val="nil"/>
              <w:bottom w:val="single" w:sz="4" w:space="0" w:color="auto"/>
              <w:right w:val="single" w:sz="4" w:space="0" w:color="auto"/>
            </w:tcBorders>
            <w:shd w:val="clear" w:color="auto" w:fill="auto"/>
            <w:noWrap/>
            <w:vAlign w:val="center"/>
          </w:tcPr>
          <w:p w14:paraId="41142AB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B84CC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center"/>
          </w:tcPr>
          <w:p w14:paraId="6266705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EF1AC9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center"/>
          </w:tcPr>
          <w:p w14:paraId="687668D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1A1712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r>
      <w:tr w:rsidR="00C70039" w:rsidRPr="00205F5B" w14:paraId="32264647"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A40D3E"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29CC683"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737851E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EADB3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709" w:type="dxa"/>
            <w:tcBorders>
              <w:top w:val="nil"/>
              <w:left w:val="nil"/>
              <w:bottom w:val="single" w:sz="4" w:space="0" w:color="auto"/>
              <w:right w:val="single" w:sz="4" w:space="0" w:color="auto"/>
            </w:tcBorders>
            <w:shd w:val="clear" w:color="auto" w:fill="auto"/>
            <w:noWrap/>
            <w:vAlign w:val="center"/>
          </w:tcPr>
          <w:p w14:paraId="71E9A89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F4DB1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677" w:type="dxa"/>
            <w:tcBorders>
              <w:top w:val="nil"/>
              <w:left w:val="nil"/>
              <w:bottom w:val="single" w:sz="4" w:space="0" w:color="auto"/>
              <w:right w:val="single" w:sz="4" w:space="0" w:color="auto"/>
            </w:tcBorders>
            <w:shd w:val="clear" w:color="auto" w:fill="auto"/>
            <w:noWrap/>
            <w:vAlign w:val="center"/>
          </w:tcPr>
          <w:p w14:paraId="6B8579C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A9E06F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center"/>
          </w:tcPr>
          <w:p w14:paraId="1B7DD76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5BE0BC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center"/>
          </w:tcPr>
          <w:p w14:paraId="26D7687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0CFE23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360</w:t>
            </w:r>
          </w:p>
        </w:tc>
      </w:tr>
      <w:tr w:rsidR="00C70039" w:rsidRPr="00205F5B" w14:paraId="68B01851"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62D3A9"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75EA0E8"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144FCC1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54305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CCF721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58B93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FC568A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34D0FE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E68226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BFDA61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D86DF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5FF280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368011B1"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A1D1F6"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900B1D8"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3AB37F6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32AE39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F69DD8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64CE2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544771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9A9D6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C955AA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8C3712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CD9309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32A3D5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1A81EDC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337A1B"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3E05099"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5F80E1E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6789C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1E555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7BDAD2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2A9496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371B4C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C31379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72F95D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7954E0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5DF16F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F2518CB"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8CE862"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9BBA456"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E9C3B9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A6696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D2700D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C572EB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7A6EAF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9917F3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DCB421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9B4558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641498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1AF5A3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3AAAD519"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D3506B9"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64FE575"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7222BC4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9CE21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29AED3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8B34C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375131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D6AD7F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6EBDA7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1283EB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FFA397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D7B34F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1DFB4F3"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BDE7DD"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E74E392"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654B538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CFFC5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7108C7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E8A80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8834B1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FE3B74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DFBC82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3B8A4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A35233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394788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3C5AEB4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2D77B6"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1566C1E"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B7E942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05E95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7D68F2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3E49A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99D0D0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90A5CB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D941D7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63B4C8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BF398E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B3DC92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07A3EB4"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701FF35"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2A84EFF"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DEB761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D1D0D2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8EFDC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AB200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5F95B4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A2E9FD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9B78D3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1B07B9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818A0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698D6E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4CCB548"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CC45BDB"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4049995"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3F84A55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C908D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16556C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BF0A5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6FCF46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139588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007157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ACEE34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DF1CFF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0C51BE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360D40C"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C533365"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EE771EC"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700A487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8B065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709" w:type="dxa"/>
            <w:tcBorders>
              <w:top w:val="nil"/>
              <w:left w:val="nil"/>
              <w:bottom w:val="single" w:sz="4" w:space="0" w:color="auto"/>
              <w:right w:val="single" w:sz="4" w:space="0" w:color="auto"/>
            </w:tcBorders>
            <w:shd w:val="clear" w:color="auto" w:fill="auto"/>
            <w:noWrap/>
            <w:vAlign w:val="center"/>
          </w:tcPr>
          <w:p w14:paraId="517F6DC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A274C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677" w:type="dxa"/>
            <w:tcBorders>
              <w:top w:val="nil"/>
              <w:left w:val="nil"/>
              <w:bottom w:val="single" w:sz="4" w:space="0" w:color="auto"/>
              <w:right w:val="single" w:sz="4" w:space="0" w:color="auto"/>
            </w:tcBorders>
            <w:shd w:val="clear" w:color="auto" w:fill="auto"/>
            <w:noWrap/>
            <w:vAlign w:val="center"/>
          </w:tcPr>
          <w:p w14:paraId="136602A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B819CA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center"/>
          </w:tcPr>
          <w:p w14:paraId="4662E15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A6CD04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center"/>
          </w:tcPr>
          <w:p w14:paraId="1B7F1AA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62EFB0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r>
      <w:tr w:rsidR="00C70039" w:rsidRPr="00205F5B" w14:paraId="6D4311C4"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4B3931F"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81FE008"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29E26F9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DFE82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709" w:type="dxa"/>
            <w:tcBorders>
              <w:top w:val="nil"/>
              <w:left w:val="nil"/>
              <w:bottom w:val="single" w:sz="4" w:space="0" w:color="auto"/>
              <w:right w:val="single" w:sz="4" w:space="0" w:color="auto"/>
            </w:tcBorders>
            <w:shd w:val="clear" w:color="auto" w:fill="auto"/>
            <w:noWrap/>
            <w:vAlign w:val="center"/>
          </w:tcPr>
          <w:p w14:paraId="1ED9A9B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F4F7B1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677" w:type="dxa"/>
            <w:tcBorders>
              <w:top w:val="nil"/>
              <w:left w:val="nil"/>
              <w:bottom w:val="single" w:sz="4" w:space="0" w:color="auto"/>
              <w:right w:val="single" w:sz="4" w:space="0" w:color="auto"/>
            </w:tcBorders>
            <w:shd w:val="clear" w:color="auto" w:fill="auto"/>
            <w:noWrap/>
            <w:vAlign w:val="center"/>
          </w:tcPr>
          <w:p w14:paraId="4732C78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21D3E2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center"/>
          </w:tcPr>
          <w:p w14:paraId="36E6ACF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A868C8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center"/>
          </w:tcPr>
          <w:p w14:paraId="26C9C6C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5DB687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351</w:t>
            </w:r>
          </w:p>
        </w:tc>
      </w:tr>
      <w:tr w:rsidR="00C70039" w:rsidRPr="00205F5B" w14:paraId="0E5E7F98"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10D6E0F"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B4417FB"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E58CC8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AC2B4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B05AF9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2D26E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33AC5A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0BDB86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9579F8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190F28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0B462F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345230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27B584BD"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A51A3D7"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90753BD"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79242AF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910D2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6B1D59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5C3F5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0F7215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3C6983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4CA43C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9631C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300AA5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B946A0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E6DF846"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B1FE7B"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C7C9AE3"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134EC70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35A20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49665A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C763F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4536E9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FC7ACD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A3DACB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B17936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27F266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2F1B9B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160AD863"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BDA4CA8"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0BB8E7D"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665639D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F68ED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1D32A8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13FF2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3310B4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B8BA4C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73C258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97791D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B22C62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0180F2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A01CBC9"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91C19CB"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61653B2"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1958A1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DE5CB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D975DD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F9373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DC7FA1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BD23EA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BB9DDD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48046C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8288A6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6515A4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B470B68"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F39E03"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A019135"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92CA05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0FB40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57A072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71F74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02845E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40E39A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0C5D4B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07E5AA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A68A14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AFF9D6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15A9EEDC"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F8D6015"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DABF485"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78D08BE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94D57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FCD41D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64B83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2FB01C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27FD7F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D8D83D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9087A4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548744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7A08F6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2CC684C"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3D273E"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C174DA4"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50A576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8C9026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26E3BC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F72B2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A3EB74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3092BC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1E1522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C1A5CD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69864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D51B65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7ACAEC5"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C9CC6D" w14:textId="7777777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6B460DF"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0F50B6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3C23CD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DA4CB3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14BEE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4ED113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5BA4EA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7678D2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A9F8F2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644820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D3DD1F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ECE5A54"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B9A4B0" w14:textId="311EF38E"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AEFEE11"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618D053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0E501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709" w:type="dxa"/>
            <w:tcBorders>
              <w:top w:val="nil"/>
              <w:left w:val="nil"/>
              <w:bottom w:val="single" w:sz="4" w:space="0" w:color="auto"/>
              <w:right w:val="single" w:sz="4" w:space="0" w:color="auto"/>
            </w:tcBorders>
            <w:shd w:val="clear" w:color="auto" w:fill="auto"/>
            <w:noWrap/>
            <w:vAlign w:val="center"/>
          </w:tcPr>
          <w:p w14:paraId="12229FC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57611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677" w:type="dxa"/>
            <w:tcBorders>
              <w:top w:val="nil"/>
              <w:left w:val="nil"/>
              <w:bottom w:val="single" w:sz="4" w:space="0" w:color="auto"/>
              <w:right w:val="single" w:sz="4" w:space="0" w:color="auto"/>
            </w:tcBorders>
            <w:shd w:val="clear" w:color="auto" w:fill="auto"/>
            <w:noWrap/>
            <w:vAlign w:val="center"/>
          </w:tcPr>
          <w:p w14:paraId="14348F1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F632A9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center"/>
          </w:tcPr>
          <w:p w14:paraId="5A66DC7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725B99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center"/>
          </w:tcPr>
          <w:p w14:paraId="3D4DE4A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04A55E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r>
      <w:tr w:rsidR="00C70039" w:rsidRPr="00205F5B" w14:paraId="5921D52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D6C396E" w14:textId="0B724A28"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BE426F9"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3AB7FB9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3BC79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709" w:type="dxa"/>
            <w:tcBorders>
              <w:top w:val="nil"/>
              <w:left w:val="nil"/>
              <w:bottom w:val="single" w:sz="4" w:space="0" w:color="auto"/>
              <w:right w:val="single" w:sz="4" w:space="0" w:color="auto"/>
            </w:tcBorders>
            <w:shd w:val="clear" w:color="auto" w:fill="auto"/>
            <w:noWrap/>
            <w:vAlign w:val="center"/>
          </w:tcPr>
          <w:p w14:paraId="7364CFB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823E0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677" w:type="dxa"/>
            <w:tcBorders>
              <w:top w:val="nil"/>
              <w:left w:val="nil"/>
              <w:bottom w:val="single" w:sz="4" w:space="0" w:color="auto"/>
              <w:right w:val="single" w:sz="4" w:space="0" w:color="auto"/>
            </w:tcBorders>
            <w:shd w:val="clear" w:color="auto" w:fill="auto"/>
            <w:noWrap/>
            <w:vAlign w:val="center"/>
          </w:tcPr>
          <w:p w14:paraId="08919CF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40235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center"/>
          </w:tcPr>
          <w:p w14:paraId="1897EE5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79F222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center"/>
          </w:tcPr>
          <w:p w14:paraId="4EEDDB8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60BAE1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477</w:t>
            </w:r>
          </w:p>
        </w:tc>
      </w:tr>
      <w:tr w:rsidR="00C70039" w:rsidRPr="00205F5B" w14:paraId="27D60E3C"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FC5474" w14:textId="3A93A385"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8409A97"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177726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6C478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0036B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3F16C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95A323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444C12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CB37C0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CA986C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EA4A50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D5D1AB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2E6BB1F9"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9ECD91B" w14:textId="4CF4E7A1"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E51BB52"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508C22D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20604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1B428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D4766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5D0530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40EBB3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4310E3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8FC0B4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84AA4C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29F256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1A426481"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4975C19" w14:textId="6A66DBCF"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DB5163A"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5722A5A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3AF2B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B7EC6B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99A7E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6CB31D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C43042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203353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01D722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4B0D65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1B02A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79429D5"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0165842" w14:textId="070B899E"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4449E53"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077ABD2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AB6FC0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8EE516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B4FE1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F84518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38A97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C9487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EEC79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6BC01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5B4790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CB4F46A"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15A8DF" w14:textId="60AB17B6"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BFC3A58"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65718D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5FAB0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31A9C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4AF69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9E384C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86AAD4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F86397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B5828D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023449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0B9DE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77856B02"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511765F" w14:textId="1EB98C7E"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9F7220F"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58E2638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120AB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31D6E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60F817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BE6964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1F4EA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418122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A7CA38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A9A519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D3864F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7062165C"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4671680" w14:textId="4F4F7C6A"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1D70033"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002F53E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B1D72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97A2A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488ED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19D307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65914F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285B8A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0A704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E81A9B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F58E55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5775A81C"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00C1A0" w14:textId="3764C2A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E112137"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7234323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765B5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29AF4D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AFCCF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C564F0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622CE0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047DB5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FB71DF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F05090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39621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1600A55D"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7BF0F37" w14:textId="2F8C59D5"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7B7910A"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3844013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EFEAA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0B028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6CF5C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21D62A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C5E839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0EA6F4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CBADAB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76590F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E7768E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2A965E87"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1D497C9" w14:textId="365F2010"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3CFB9EF"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131CDD5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64327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center"/>
          </w:tcPr>
          <w:p w14:paraId="7FEFD8B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5AB3A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677" w:type="dxa"/>
            <w:tcBorders>
              <w:top w:val="nil"/>
              <w:left w:val="nil"/>
              <w:bottom w:val="single" w:sz="4" w:space="0" w:color="auto"/>
              <w:right w:val="single" w:sz="4" w:space="0" w:color="auto"/>
            </w:tcBorders>
            <w:shd w:val="clear" w:color="auto" w:fill="auto"/>
            <w:noWrap/>
            <w:vAlign w:val="center"/>
          </w:tcPr>
          <w:p w14:paraId="45AA3A1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E84A32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center"/>
          </w:tcPr>
          <w:p w14:paraId="317424F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FBA5BF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center"/>
          </w:tcPr>
          <w:p w14:paraId="3B65E1F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E9AFAD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r>
      <w:tr w:rsidR="00C70039" w:rsidRPr="00205F5B" w14:paraId="443FCB58"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5B53902" w14:textId="7A5DDDED"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458E501"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1564B0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8A1CF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center"/>
          </w:tcPr>
          <w:p w14:paraId="6B8546F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00E79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677" w:type="dxa"/>
            <w:tcBorders>
              <w:top w:val="nil"/>
              <w:left w:val="nil"/>
              <w:bottom w:val="single" w:sz="4" w:space="0" w:color="auto"/>
              <w:right w:val="single" w:sz="4" w:space="0" w:color="auto"/>
            </w:tcBorders>
            <w:shd w:val="clear" w:color="auto" w:fill="auto"/>
            <w:noWrap/>
            <w:vAlign w:val="center"/>
          </w:tcPr>
          <w:p w14:paraId="04C0A48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D74BCC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center"/>
          </w:tcPr>
          <w:p w14:paraId="327C556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6E4073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center"/>
          </w:tcPr>
          <w:p w14:paraId="54F66DF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CE4E55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202</w:t>
            </w:r>
          </w:p>
        </w:tc>
      </w:tr>
      <w:tr w:rsidR="00C70039" w:rsidRPr="00205F5B" w14:paraId="2B2AF13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68CF66" w14:textId="7E17BE50"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5E9737D"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180070C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F3718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D58710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F54A4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130324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04CFF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0ABF7B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04B53B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4D86A3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D6F1FF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A7171C1"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975CA8A" w14:textId="6FECEE95"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E7E301"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28FC732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DA9E8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901329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FF44B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4FCFE1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ACCD1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844B43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EC15E3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B4765F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D1F078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73DE2DA5"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D25E887" w14:textId="6F89BD24"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2568711"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3C88731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B4F48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E14D1F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C7565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D48BD4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A92D71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E5255F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B8989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FC25A4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E0E40F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853BF6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D8A19D0" w14:textId="122A0764"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0D189B"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F75B63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1DB655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8CCB2C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F21CE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64CC49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A1F48B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D36AA7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5358FD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2DBD5F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6AC3AA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593C0FDA"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FE3F531" w14:textId="716A3DCC"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74239E9"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62B462B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3B830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F1EBC7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313D6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10CA0C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C80093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6EF766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B9E1B6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B8EB51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CC5BEF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4AD714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038FD47" w14:textId="13D1BD56"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55979E3"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64A5E54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5A09F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83D50E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547CC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B441BF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EF095C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EAE2FF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B71B25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3D3E7F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37683D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72E15A86"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CE083C6" w14:textId="70595A64"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C2BEC84"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C1D568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8D32F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FE8F0D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6D44E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8F8F3B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1AA63E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0C6BBF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3264EB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FA6CE1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D3C71A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093385D8"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A5AC9BB" w14:textId="2EED997A"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7F9D8F0"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6704260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33FF9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6E1E36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DED20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92CDD1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92AA72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45C51C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4BAE0E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052663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429231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10F762D"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A25F33" w14:textId="6C25AD91"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82AF60E"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32E385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34903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E8C63D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DE35C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9C2AA0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C019CF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4F09CE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C13C9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93E366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2BB288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33E2823E"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93564BB" w14:textId="7C80821E"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0661F3E"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48C9680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A90B4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709" w:type="dxa"/>
            <w:tcBorders>
              <w:top w:val="nil"/>
              <w:left w:val="nil"/>
              <w:bottom w:val="single" w:sz="4" w:space="0" w:color="auto"/>
              <w:right w:val="single" w:sz="4" w:space="0" w:color="auto"/>
            </w:tcBorders>
            <w:shd w:val="clear" w:color="auto" w:fill="auto"/>
            <w:noWrap/>
            <w:vAlign w:val="center"/>
          </w:tcPr>
          <w:p w14:paraId="7D2316E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632BA6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677" w:type="dxa"/>
            <w:tcBorders>
              <w:top w:val="nil"/>
              <w:left w:val="nil"/>
              <w:bottom w:val="single" w:sz="4" w:space="0" w:color="auto"/>
              <w:right w:val="single" w:sz="4" w:space="0" w:color="auto"/>
            </w:tcBorders>
            <w:shd w:val="clear" w:color="auto" w:fill="auto"/>
            <w:noWrap/>
            <w:vAlign w:val="center"/>
          </w:tcPr>
          <w:p w14:paraId="23256EC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E16FFE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center"/>
          </w:tcPr>
          <w:p w14:paraId="03647C0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0F66E5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center"/>
          </w:tcPr>
          <w:p w14:paraId="48F48F2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924627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r>
      <w:tr w:rsidR="00C70039" w:rsidRPr="00205F5B" w14:paraId="6A110A05"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3AB468A" w14:textId="690CAF35"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CBDD096"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08F7C3A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1A1AF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709" w:type="dxa"/>
            <w:tcBorders>
              <w:top w:val="nil"/>
              <w:left w:val="nil"/>
              <w:bottom w:val="single" w:sz="4" w:space="0" w:color="auto"/>
              <w:right w:val="single" w:sz="4" w:space="0" w:color="auto"/>
            </w:tcBorders>
            <w:shd w:val="clear" w:color="auto" w:fill="auto"/>
            <w:noWrap/>
            <w:vAlign w:val="center"/>
          </w:tcPr>
          <w:p w14:paraId="18883C4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7D80D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677" w:type="dxa"/>
            <w:tcBorders>
              <w:top w:val="nil"/>
              <w:left w:val="nil"/>
              <w:bottom w:val="single" w:sz="4" w:space="0" w:color="auto"/>
              <w:right w:val="single" w:sz="4" w:space="0" w:color="auto"/>
            </w:tcBorders>
            <w:shd w:val="clear" w:color="auto" w:fill="auto"/>
            <w:noWrap/>
            <w:vAlign w:val="center"/>
          </w:tcPr>
          <w:p w14:paraId="12C51E3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F24D07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center"/>
          </w:tcPr>
          <w:p w14:paraId="325F213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689A0E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center"/>
          </w:tcPr>
          <w:p w14:paraId="68EEB60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8CA0AE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151</w:t>
            </w:r>
          </w:p>
        </w:tc>
      </w:tr>
      <w:tr w:rsidR="00C70039" w:rsidRPr="00205F5B" w14:paraId="78285AB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ABA544F" w14:textId="26AA7D44"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9412328"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62EE81C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F6B89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14634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308BC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46E4E8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6C805D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294A65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BBDB83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850C55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DAF464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2C8D7C28"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F2E57E2" w14:textId="75945A97"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FEE54BC"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2535B61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9886A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7166E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86011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2E4A04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7E5A43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FDA162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C90519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797315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E4D0A3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2728DF6A"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AE0C965" w14:textId="5764383B"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C9B10BE"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53DE15D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F8207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021C6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090EA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9834DE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510DE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98E64F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6C3B3E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D9F89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12297D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5A0072DA"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0FAF16" w14:textId="3ACE267F"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2BCD293"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20E6F8A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DE727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BDB295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CE833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A8DACA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82649E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FED1F3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6D28E9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6B41C95"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6B933A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C44D9CE"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42EA76" w14:textId="11A7A1AB"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829A5D4"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0CBA49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F76D269"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72C28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9DF68C"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C0822D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F2DDA0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D11969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6CB995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BC6811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9521037"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98D37D1"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864AD26" w14:textId="66F1D431"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9534147"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49FC1CA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E4270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6BA3B1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7AC63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E13F1E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34A37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46F865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580777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74DAB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9F866D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457B98F2"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9A32950" w14:textId="6666490B"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374BA7B"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0022C10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54C45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EFC6B42"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ABB9A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AFE7DC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02D39E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21231B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F0B516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03E3D7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EC9241F"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3E7ED131"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1A75408" w14:textId="7D0D24C0"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B4F81C2"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431DAE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A87BDA"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A45E86"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CAE5C3"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BDD54B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506BE8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EC80BA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B749C0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3928A9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7DB98B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3AA9029F"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22C1281" w14:textId="7C47E051" w:rsidR="00C70039" w:rsidRPr="000E1844" w:rsidRDefault="00C70039" w:rsidP="00C70039">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078D0">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FCEA034" w14:textId="77777777" w:rsidR="00C70039" w:rsidRPr="000E1844" w:rsidRDefault="00C70039" w:rsidP="00C7003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4E4AD5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3DB33F4"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B6504D0"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D766BF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319AD3E"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B17DF5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DDEFE51"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ECF45BD"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0B3351B"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60937A8" w14:textId="77777777" w:rsidR="00C70039" w:rsidRPr="00C70039" w:rsidRDefault="00C70039" w:rsidP="00C70039">
            <w:pPr>
              <w:ind w:left="0"/>
              <w:jc w:val="center"/>
              <w:rPr>
                <w:rFonts w:ascii="Bookman Old Style" w:hAnsi="Bookman Old Style"/>
                <w:color w:val="000000"/>
                <w:sz w:val="12"/>
                <w:szCs w:val="16"/>
              </w:rPr>
            </w:pPr>
            <w:r w:rsidRPr="00C70039">
              <w:rPr>
                <w:rFonts w:ascii="Bookman Old Style" w:hAnsi="Bookman Old Style"/>
                <w:color w:val="000000"/>
                <w:sz w:val="12"/>
                <w:szCs w:val="16"/>
              </w:rPr>
              <w:t>-</w:t>
            </w:r>
          </w:p>
        </w:tc>
      </w:tr>
      <w:tr w:rsidR="00C70039" w:rsidRPr="00205F5B" w14:paraId="6613F54E" w14:textId="77777777" w:rsidTr="00C7003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D65865" w14:textId="77777777" w:rsidR="00C70039" w:rsidRPr="00205F5B" w:rsidRDefault="00C70039" w:rsidP="00C7003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3A09CADF" w14:textId="77777777" w:rsidR="00C70039" w:rsidRPr="00205F5B" w:rsidRDefault="00C70039" w:rsidP="00C7003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24B89EFD"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B803E9"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1,541</w:t>
            </w:r>
          </w:p>
        </w:tc>
        <w:tc>
          <w:tcPr>
            <w:tcW w:w="709" w:type="dxa"/>
            <w:tcBorders>
              <w:top w:val="nil"/>
              <w:left w:val="nil"/>
              <w:bottom w:val="single" w:sz="4" w:space="0" w:color="auto"/>
              <w:right w:val="single" w:sz="4" w:space="0" w:color="auto"/>
            </w:tcBorders>
            <w:shd w:val="clear" w:color="auto" w:fill="auto"/>
            <w:noWrap/>
            <w:vAlign w:val="center"/>
          </w:tcPr>
          <w:p w14:paraId="037ADDBC"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9931D7"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1,541</w:t>
            </w:r>
          </w:p>
        </w:tc>
        <w:tc>
          <w:tcPr>
            <w:tcW w:w="677" w:type="dxa"/>
            <w:tcBorders>
              <w:top w:val="nil"/>
              <w:left w:val="nil"/>
              <w:bottom w:val="single" w:sz="4" w:space="0" w:color="auto"/>
              <w:right w:val="single" w:sz="4" w:space="0" w:color="auto"/>
            </w:tcBorders>
            <w:shd w:val="clear" w:color="auto" w:fill="auto"/>
            <w:noWrap/>
            <w:vAlign w:val="center"/>
          </w:tcPr>
          <w:p w14:paraId="5F19D5F4"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31CB1A"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1,541</w:t>
            </w:r>
          </w:p>
        </w:tc>
        <w:tc>
          <w:tcPr>
            <w:tcW w:w="612" w:type="dxa"/>
            <w:tcBorders>
              <w:top w:val="nil"/>
              <w:left w:val="nil"/>
              <w:bottom w:val="single" w:sz="4" w:space="0" w:color="auto"/>
              <w:right w:val="single" w:sz="4" w:space="0" w:color="auto"/>
            </w:tcBorders>
            <w:shd w:val="clear" w:color="auto" w:fill="auto"/>
            <w:noWrap/>
            <w:vAlign w:val="center"/>
          </w:tcPr>
          <w:p w14:paraId="7A49A000"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58C0E11"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1,541</w:t>
            </w:r>
          </w:p>
        </w:tc>
        <w:tc>
          <w:tcPr>
            <w:tcW w:w="586" w:type="dxa"/>
            <w:tcBorders>
              <w:top w:val="nil"/>
              <w:left w:val="nil"/>
              <w:bottom w:val="single" w:sz="4" w:space="0" w:color="auto"/>
              <w:right w:val="single" w:sz="4" w:space="0" w:color="auto"/>
            </w:tcBorders>
            <w:shd w:val="clear" w:color="auto" w:fill="auto"/>
            <w:noWrap/>
            <w:vAlign w:val="center"/>
          </w:tcPr>
          <w:p w14:paraId="19049BF0"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0DF001B" w14:textId="77777777" w:rsidR="00C70039" w:rsidRPr="00C70039" w:rsidRDefault="00C70039" w:rsidP="00C70039">
            <w:pPr>
              <w:ind w:left="0"/>
              <w:jc w:val="center"/>
              <w:rPr>
                <w:rFonts w:ascii="Bookman Old Style" w:hAnsi="Bookman Old Style"/>
                <w:b/>
                <w:bCs/>
                <w:color w:val="000000"/>
                <w:sz w:val="12"/>
                <w:szCs w:val="16"/>
              </w:rPr>
            </w:pPr>
            <w:r w:rsidRPr="00C70039">
              <w:rPr>
                <w:rFonts w:ascii="Bookman Old Style" w:hAnsi="Bookman Old Style"/>
                <w:b/>
                <w:bCs/>
                <w:color w:val="000000"/>
                <w:sz w:val="12"/>
                <w:szCs w:val="16"/>
              </w:rPr>
              <w:t>1,541</w:t>
            </w:r>
          </w:p>
        </w:tc>
      </w:tr>
    </w:tbl>
    <w:p w14:paraId="26B6A7F3" w14:textId="77777777" w:rsidR="000E1844" w:rsidRDefault="000E1844" w:rsidP="00341E8F">
      <w:pPr>
        <w:widowControl w:val="0"/>
        <w:adjustRightInd w:val="0"/>
        <w:ind w:left="0"/>
        <w:jc w:val="center"/>
        <w:rPr>
          <w:rFonts w:ascii="Bookman Old Style" w:hAnsi="Bookman Old Style" w:cs="Arial"/>
          <w:b/>
          <w:sz w:val="20"/>
        </w:rPr>
      </w:pPr>
    </w:p>
    <w:p w14:paraId="4855DD5C" w14:textId="77777777" w:rsidR="000E1844" w:rsidRDefault="000E1844"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1844" w:rsidRPr="00205F5B" w14:paraId="29E58F94"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119E239"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9086957"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2BE1721" w14:textId="77777777" w:rsidR="000E1844" w:rsidRPr="00205F5B" w:rsidRDefault="000E1844"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18A35D0"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E3F4AD3"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D264776"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090464C"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0E1844" w:rsidRPr="00205F5B" w14:paraId="7FEDA4DF"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C1DC8E" w14:textId="77777777" w:rsidR="000E1844" w:rsidRPr="00205F5B" w:rsidRDefault="000E1844"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63731D7" w14:textId="77777777" w:rsidR="000E1844" w:rsidRPr="00205F5B" w:rsidRDefault="000E1844"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7E7FE16A"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0AF79752"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5774E959"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3B28DCE4"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29AEDD56"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346E0329"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7B7C0A57"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60A5B2A0"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4FC28A40"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753EA931" w14:textId="77777777" w:rsidR="000E1844" w:rsidRPr="00A83C4B" w:rsidRDefault="000E1844"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E74055" w:rsidRPr="00205F5B" w14:paraId="15831551"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ADB0AC0" w14:textId="77777777" w:rsidR="00E74055" w:rsidRPr="000E1844" w:rsidRDefault="00E74055" w:rsidP="00E74055">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0385ED0" w14:textId="77777777" w:rsidR="00E74055" w:rsidRPr="000E1844" w:rsidRDefault="00E74055" w:rsidP="00E74055">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D9A1D17" w14:textId="77777777" w:rsidR="00E74055" w:rsidRPr="00E74055" w:rsidRDefault="00E74055" w:rsidP="00E74055">
            <w:pPr>
              <w:ind w:left="0"/>
              <w:jc w:val="center"/>
              <w:rPr>
                <w:rFonts w:ascii="Bookman Old Style" w:hAnsi="Bookman Old Style"/>
                <w:color w:val="000000"/>
                <w:sz w:val="12"/>
                <w:szCs w:val="16"/>
                <w:lang w:val="es-CO" w:eastAsia="es-CO"/>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C5AD8C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709" w:type="dxa"/>
            <w:tcBorders>
              <w:top w:val="nil"/>
              <w:left w:val="nil"/>
              <w:bottom w:val="single" w:sz="4" w:space="0" w:color="auto"/>
              <w:right w:val="single" w:sz="4" w:space="0" w:color="auto"/>
            </w:tcBorders>
            <w:shd w:val="clear" w:color="auto" w:fill="auto"/>
            <w:noWrap/>
            <w:vAlign w:val="center"/>
          </w:tcPr>
          <w:p w14:paraId="143BAA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0DB5E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677" w:type="dxa"/>
            <w:tcBorders>
              <w:top w:val="nil"/>
              <w:left w:val="nil"/>
              <w:bottom w:val="single" w:sz="4" w:space="0" w:color="auto"/>
              <w:right w:val="single" w:sz="4" w:space="0" w:color="auto"/>
            </w:tcBorders>
            <w:shd w:val="clear" w:color="auto" w:fill="auto"/>
            <w:noWrap/>
            <w:vAlign w:val="center"/>
          </w:tcPr>
          <w:p w14:paraId="39077F4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FABDC3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center"/>
          </w:tcPr>
          <w:p w14:paraId="2F2C97C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CC881B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center"/>
          </w:tcPr>
          <w:p w14:paraId="1324449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166F2F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r>
      <w:tr w:rsidR="00E74055" w:rsidRPr="00205F5B" w14:paraId="5152C999"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0D59160"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C36FE9E"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4D2DF1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C4902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709" w:type="dxa"/>
            <w:tcBorders>
              <w:top w:val="nil"/>
              <w:left w:val="nil"/>
              <w:bottom w:val="single" w:sz="4" w:space="0" w:color="auto"/>
              <w:right w:val="single" w:sz="4" w:space="0" w:color="auto"/>
            </w:tcBorders>
            <w:shd w:val="clear" w:color="auto" w:fill="auto"/>
            <w:noWrap/>
            <w:vAlign w:val="center"/>
          </w:tcPr>
          <w:p w14:paraId="77DA0C9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22DFF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677" w:type="dxa"/>
            <w:tcBorders>
              <w:top w:val="nil"/>
              <w:left w:val="nil"/>
              <w:bottom w:val="single" w:sz="4" w:space="0" w:color="auto"/>
              <w:right w:val="single" w:sz="4" w:space="0" w:color="auto"/>
            </w:tcBorders>
            <w:shd w:val="clear" w:color="auto" w:fill="auto"/>
            <w:noWrap/>
            <w:vAlign w:val="center"/>
          </w:tcPr>
          <w:p w14:paraId="6BF5F29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68AD7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612" w:type="dxa"/>
            <w:tcBorders>
              <w:top w:val="nil"/>
              <w:left w:val="nil"/>
              <w:bottom w:val="single" w:sz="4" w:space="0" w:color="auto"/>
              <w:right w:val="single" w:sz="4" w:space="0" w:color="auto"/>
            </w:tcBorders>
            <w:shd w:val="clear" w:color="auto" w:fill="auto"/>
            <w:noWrap/>
            <w:vAlign w:val="center"/>
          </w:tcPr>
          <w:p w14:paraId="2BD30BD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A7A02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c>
          <w:tcPr>
            <w:tcW w:w="586" w:type="dxa"/>
            <w:tcBorders>
              <w:top w:val="nil"/>
              <w:left w:val="nil"/>
              <w:bottom w:val="single" w:sz="4" w:space="0" w:color="auto"/>
              <w:right w:val="single" w:sz="4" w:space="0" w:color="auto"/>
            </w:tcBorders>
            <w:shd w:val="clear" w:color="auto" w:fill="auto"/>
            <w:noWrap/>
            <w:vAlign w:val="center"/>
          </w:tcPr>
          <w:p w14:paraId="15C3DE4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63383C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360</w:t>
            </w:r>
          </w:p>
        </w:tc>
      </w:tr>
      <w:tr w:rsidR="00E74055" w:rsidRPr="00205F5B" w14:paraId="7E7E1EE8"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00CD2CA"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6FF71EA"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00C1F27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7F1AD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34932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FD17B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D849F6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3E401E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D2A637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E37D1C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E77CCF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FFA58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2BF896B3"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7749594"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E9B2CCD"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02128CB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AE077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B60A9F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6605E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2FD7B8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179F47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EA4590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1F9A0D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09D276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7FDBAE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39E8B4C5"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BA15E2"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FE67C88"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584449F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D588E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0F1E46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AD41F2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6BB1B6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31796F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B0732F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3AC7C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0100BC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2A047A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A1C237B"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F6BB5C5"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22915FD"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0D3D796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A6847B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D94917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9CAB5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065014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EF5CE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2CD09A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F7200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993C14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469638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7FB77E1F"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48A2609"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2E206E1"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42EB6E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2AF17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D7D40C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2A41F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531ABB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D95AFD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288EBC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9CA357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D71FFF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9752FC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2CCB8305"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D6E635F"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EE713F2"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1F4FBF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73E0E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E88603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DF73A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764691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22083A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4667D0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AD7183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8C9937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82ACB7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04292963"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6E2FE9"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C30B00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2DCA5E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D44CD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95362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4BC37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C96C71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F61420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12F03F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3B843F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F154DA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4FD19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0FE686D7"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A257B07"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AEDA0FF"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19462E3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4684DD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08045F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0817E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589BB3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FE096D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6073F7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1AD37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32FFD4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315A1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3B500D45"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9CFA86B"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E7CE132"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7D80A3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0CABA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22376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B44F6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657B66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FC807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AD9AEF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C1A5A7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A0CDF5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AE2011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037A013A"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919E1F7"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0FE88A9"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7FCDA39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0AD7A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709" w:type="dxa"/>
            <w:tcBorders>
              <w:top w:val="nil"/>
              <w:left w:val="nil"/>
              <w:bottom w:val="single" w:sz="4" w:space="0" w:color="auto"/>
              <w:right w:val="single" w:sz="4" w:space="0" w:color="auto"/>
            </w:tcBorders>
            <w:shd w:val="clear" w:color="auto" w:fill="auto"/>
            <w:noWrap/>
            <w:vAlign w:val="center"/>
          </w:tcPr>
          <w:p w14:paraId="2DFF702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7DEC7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677" w:type="dxa"/>
            <w:tcBorders>
              <w:top w:val="nil"/>
              <w:left w:val="nil"/>
              <w:bottom w:val="single" w:sz="4" w:space="0" w:color="auto"/>
              <w:right w:val="single" w:sz="4" w:space="0" w:color="auto"/>
            </w:tcBorders>
            <w:shd w:val="clear" w:color="auto" w:fill="auto"/>
            <w:noWrap/>
            <w:vAlign w:val="center"/>
          </w:tcPr>
          <w:p w14:paraId="68E4A34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59FBF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center"/>
          </w:tcPr>
          <w:p w14:paraId="6525277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D69266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center"/>
          </w:tcPr>
          <w:p w14:paraId="25F218A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3A8881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r>
      <w:tr w:rsidR="00E74055" w:rsidRPr="00205F5B" w14:paraId="63795E5E"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8DAEE3"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87B29BC"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7FCE11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B5440B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709" w:type="dxa"/>
            <w:tcBorders>
              <w:top w:val="nil"/>
              <w:left w:val="nil"/>
              <w:bottom w:val="single" w:sz="4" w:space="0" w:color="auto"/>
              <w:right w:val="single" w:sz="4" w:space="0" w:color="auto"/>
            </w:tcBorders>
            <w:shd w:val="clear" w:color="auto" w:fill="auto"/>
            <w:noWrap/>
            <w:vAlign w:val="center"/>
          </w:tcPr>
          <w:p w14:paraId="4A43950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B8301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677" w:type="dxa"/>
            <w:tcBorders>
              <w:top w:val="nil"/>
              <w:left w:val="nil"/>
              <w:bottom w:val="single" w:sz="4" w:space="0" w:color="auto"/>
              <w:right w:val="single" w:sz="4" w:space="0" w:color="auto"/>
            </w:tcBorders>
            <w:shd w:val="clear" w:color="auto" w:fill="auto"/>
            <w:noWrap/>
            <w:vAlign w:val="center"/>
          </w:tcPr>
          <w:p w14:paraId="3E1A9FD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E7252F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612" w:type="dxa"/>
            <w:tcBorders>
              <w:top w:val="nil"/>
              <w:left w:val="nil"/>
              <w:bottom w:val="single" w:sz="4" w:space="0" w:color="auto"/>
              <w:right w:val="single" w:sz="4" w:space="0" w:color="auto"/>
            </w:tcBorders>
            <w:shd w:val="clear" w:color="auto" w:fill="auto"/>
            <w:noWrap/>
            <w:vAlign w:val="center"/>
          </w:tcPr>
          <w:p w14:paraId="22E4D9F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08AC09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c>
          <w:tcPr>
            <w:tcW w:w="586" w:type="dxa"/>
            <w:tcBorders>
              <w:top w:val="nil"/>
              <w:left w:val="nil"/>
              <w:bottom w:val="single" w:sz="4" w:space="0" w:color="auto"/>
              <w:right w:val="single" w:sz="4" w:space="0" w:color="auto"/>
            </w:tcBorders>
            <w:shd w:val="clear" w:color="auto" w:fill="auto"/>
            <w:noWrap/>
            <w:vAlign w:val="center"/>
          </w:tcPr>
          <w:p w14:paraId="260AE48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AEDE51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351</w:t>
            </w:r>
          </w:p>
        </w:tc>
      </w:tr>
      <w:tr w:rsidR="00E74055" w:rsidRPr="00205F5B" w14:paraId="32499AB7"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22627E5"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CD55DAC"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077756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DF320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8E1E7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32930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43EE29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B88528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7D43AA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3D9DD9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81614E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22C230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06FFA080"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C13506"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B1BF927"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B321C1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6B9C4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757436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C1D11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B80015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BFCB8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0F0F0D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6540AF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134D18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256622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7F98A33C"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7BD026E"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912E4B7"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74DD278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4176B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1738E2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21B2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CCEAE5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0042AD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AED042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1C60C7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5D9DEA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24015F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3A27EE3"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DBB3F91"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382607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2BBA7C7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C45713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F1432B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EADFD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1990B1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74BA46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BF014C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45B306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5BB14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DAD124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29430773"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BEAAF8A"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55D429C"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5D12FB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205F8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5FE05B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2E8D2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DEB0B0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130C5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ECD6F1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A2BF7D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3CF99D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E4DC9C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8AE4FB1"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B81A20B"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7323C9E"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D4C2AD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14C28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D77FDB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4CA68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A9C5A9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B4CF1E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1E925F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861BF0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8E9808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0F3812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2A7D023B"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2341EAF"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489C9D6"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510DB4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BA118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3F723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0D595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32A03C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DE0A01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D6AA3A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14AC2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71C815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B9BFE7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15A297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CB4882"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9A96A1C"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0358879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55A5E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EC9B1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B0684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C9DFA4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39791B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8BE197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FE380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5CAAC9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B4C836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6392E82"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AF5774C"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5EE79E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8C642F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04E21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B6261B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4AE59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C56E2D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C493E2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0E2352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11E3B6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FD9287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8F265D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1C085E23"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ABA2FC8"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3C7DD7B"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758878A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893E4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709" w:type="dxa"/>
            <w:tcBorders>
              <w:top w:val="nil"/>
              <w:left w:val="nil"/>
              <w:bottom w:val="single" w:sz="4" w:space="0" w:color="auto"/>
              <w:right w:val="single" w:sz="4" w:space="0" w:color="auto"/>
            </w:tcBorders>
            <w:shd w:val="clear" w:color="auto" w:fill="auto"/>
            <w:noWrap/>
            <w:vAlign w:val="center"/>
          </w:tcPr>
          <w:p w14:paraId="1F27698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6087FA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677" w:type="dxa"/>
            <w:tcBorders>
              <w:top w:val="nil"/>
              <w:left w:val="nil"/>
              <w:bottom w:val="single" w:sz="4" w:space="0" w:color="auto"/>
              <w:right w:val="single" w:sz="4" w:space="0" w:color="auto"/>
            </w:tcBorders>
            <w:shd w:val="clear" w:color="auto" w:fill="auto"/>
            <w:noWrap/>
            <w:vAlign w:val="center"/>
          </w:tcPr>
          <w:p w14:paraId="4F158C5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8B6F18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center"/>
          </w:tcPr>
          <w:p w14:paraId="6D5C99C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484BAB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center"/>
          </w:tcPr>
          <w:p w14:paraId="42FCD54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88EDED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r>
      <w:tr w:rsidR="00E74055" w:rsidRPr="00205F5B" w14:paraId="5EFE3251"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81031D2"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053F53E"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5FF42EF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BA21F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709" w:type="dxa"/>
            <w:tcBorders>
              <w:top w:val="nil"/>
              <w:left w:val="nil"/>
              <w:bottom w:val="single" w:sz="4" w:space="0" w:color="auto"/>
              <w:right w:val="single" w:sz="4" w:space="0" w:color="auto"/>
            </w:tcBorders>
            <w:shd w:val="clear" w:color="auto" w:fill="auto"/>
            <w:noWrap/>
            <w:vAlign w:val="center"/>
          </w:tcPr>
          <w:p w14:paraId="40B65DC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38224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677" w:type="dxa"/>
            <w:tcBorders>
              <w:top w:val="nil"/>
              <w:left w:val="nil"/>
              <w:bottom w:val="single" w:sz="4" w:space="0" w:color="auto"/>
              <w:right w:val="single" w:sz="4" w:space="0" w:color="auto"/>
            </w:tcBorders>
            <w:shd w:val="clear" w:color="auto" w:fill="auto"/>
            <w:noWrap/>
            <w:vAlign w:val="center"/>
          </w:tcPr>
          <w:p w14:paraId="17873A1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9CB237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612" w:type="dxa"/>
            <w:tcBorders>
              <w:top w:val="nil"/>
              <w:left w:val="nil"/>
              <w:bottom w:val="single" w:sz="4" w:space="0" w:color="auto"/>
              <w:right w:val="single" w:sz="4" w:space="0" w:color="auto"/>
            </w:tcBorders>
            <w:shd w:val="clear" w:color="auto" w:fill="auto"/>
            <w:noWrap/>
            <w:vAlign w:val="center"/>
          </w:tcPr>
          <w:p w14:paraId="411D950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6EA275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c>
          <w:tcPr>
            <w:tcW w:w="586" w:type="dxa"/>
            <w:tcBorders>
              <w:top w:val="nil"/>
              <w:left w:val="nil"/>
              <w:bottom w:val="single" w:sz="4" w:space="0" w:color="auto"/>
              <w:right w:val="single" w:sz="4" w:space="0" w:color="auto"/>
            </w:tcBorders>
            <w:shd w:val="clear" w:color="auto" w:fill="auto"/>
            <w:noWrap/>
            <w:vAlign w:val="center"/>
          </w:tcPr>
          <w:p w14:paraId="7FF44EF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A85EDB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477</w:t>
            </w:r>
          </w:p>
        </w:tc>
      </w:tr>
      <w:tr w:rsidR="00E74055" w:rsidRPr="00205F5B" w14:paraId="5D14D984"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8DD3247"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8DEBA5D"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3A0633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0A2DB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089647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DFAA3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C91749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332ADA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A3DCA7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F8D4AC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A7A24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ADC361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4B8EFA58"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3E974C6"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E317EE9"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3BDE863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CFB01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4A3407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ECF47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E6B4DE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98542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FE0858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3704CF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64551E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C650C1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7AF2FF2"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726F030"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BD942B2"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18E077A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5B75C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DC2E01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1A8E4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DD0B95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B633B5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8E922D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2E9A96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15C45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3192BB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43C51AC9"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CF4BA7"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9961F5C"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2F3DD02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67702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846C8B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8FA73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80FD24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2030F6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A7327A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EC4285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64BEB0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983E3C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5B2DFC73"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BA16948"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A50EE4E"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DD32FF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E47D9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DB2AF5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FCAFB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AEE9C0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EE5C05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F10C21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0F2C93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D1D38B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5167FB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4F587CD0"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E3A9C60"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98DC51F"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4ED0239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F1E59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800CEB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07BAB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D92F61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9F6C01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A3525E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3FCC59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3344F0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8C8830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7C823DF8"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0B91168"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DD6E17"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7D541B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480A9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5CBF4C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7AB57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A8F4B2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643CDB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238EE6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1ED35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29E75F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4214C8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099BECB"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B904C41"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9CA2883"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B810DB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F732E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6691F4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E1288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DDC9F0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3CEB80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C76932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BF7F1E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207B6E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D00BE8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728A0D19"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3960B8"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54026B3"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91948D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0B3EB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C719C3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82CA7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D9EF57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63B271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657E09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450F50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0D4C90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E3140A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5003BCFF"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5256E65"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808EB56"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939297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F9AC4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center"/>
          </w:tcPr>
          <w:p w14:paraId="3553E48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73183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677" w:type="dxa"/>
            <w:tcBorders>
              <w:top w:val="nil"/>
              <w:left w:val="nil"/>
              <w:bottom w:val="single" w:sz="4" w:space="0" w:color="auto"/>
              <w:right w:val="single" w:sz="4" w:space="0" w:color="auto"/>
            </w:tcBorders>
            <w:shd w:val="clear" w:color="auto" w:fill="auto"/>
            <w:noWrap/>
            <w:vAlign w:val="center"/>
          </w:tcPr>
          <w:p w14:paraId="5075A60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C6FAB5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center"/>
          </w:tcPr>
          <w:p w14:paraId="730E17E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EB7E23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center"/>
          </w:tcPr>
          <w:p w14:paraId="6F6D539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2C569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r>
      <w:tr w:rsidR="00E74055" w:rsidRPr="00205F5B" w14:paraId="5AE21A51"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A76550F"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8A9F2CB"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5AD4477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C755E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center"/>
          </w:tcPr>
          <w:p w14:paraId="26379AC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394A3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677" w:type="dxa"/>
            <w:tcBorders>
              <w:top w:val="nil"/>
              <w:left w:val="nil"/>
              <w:bottom w:val="single" w:sz="4" w:space="0" w:color="auto"/>
              <w:right w:val="single" w:sz="4" w:space="0" w:color="auto"/>
            </w:tcBorders>
            <w:shd w:val="clear" w:color="auto" w:fill="auto"/>
            <w:noWrap/>
            <w:vAlign w:val="center"/>
          </w:tcPr>
          <w:p w14:paraId="36E0E0D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C1F8A0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612" w:type="dxa"/>
            <w:tcBorders>
              <w:top w:val="nil"/>
              <w:left w:val="nil"/>
              <w:bottom w:val="single" w:sz="4" w:space="0" w:color="auto"/>
              <w:right w:val="single" w:sz="4" w:space="0" w:color="auto"/>
            </w:tcBorders>
            <w:shd w:val="clear" w:color="auto" w:fill="auto"/>
            <w:noWrap/>
            <w:vAlign w:val="center"/>
          </w:tcPr>
          <w:p w14:paraId="10FEFF2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18FD92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c>
          <w:tcPr>
            <w:tcW w:w="586" w:type="dxa"/>
            <w:tcBorders>
              <w:top w:val="nil"/>
              <w:left w:val="nil"/>
              <w:bottom w:val="single" w:sz="4" w:space="0" w:color="auto"/>
              <w:right w:val="single" w:sz="4" w:space="0" w:color="auto"/>
            </w:tcBorders>
            <w:shd w:val="clear" w:color="auto" w:fill="auto"/>
            <w:noWrap/>
            <w:vAlign w:val="center"/>
          </w:tcPr>
          <w:p w14:paraId="268B9B4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4D06C9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202</w:t>
            </w:r>
          </w:p>
        </w:tc>
      </w:tr>
      <w:tr w:rsidR="00E74055" w:rsidRPr="00205F5B" w14:paraId="6F90FB17"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F188A3E"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B7C26D1"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44EA05E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F150E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4BA5E0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B6FD4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31F5D7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52764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791456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B20940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BDBA3F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2D0E7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0C2AE20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7FD97F8"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6BBCD4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2DBDE70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546B5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6A65E6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80EDB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82D2E5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857D92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D31CE2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ABEC87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41C972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7E08A6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579C535F"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42DA7AA"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6861A65"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21AF754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32DD7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165F7D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E0D68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F91FAF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E54AE7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1B6E16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FF301B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895B1A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1CC59C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1C07FEAA"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3752EF"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C75522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BDC4B0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37F8C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74EE57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C51E6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D2B528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20985A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258CFC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428C28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ABC048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A063AB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3020858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C1745B"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D99B488"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5CAF876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EAEEA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3D38F1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25EF5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85C22C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1AF8A2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653F42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DCA4AE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4A8EF9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FD367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1DE58FC"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AF21FF"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BB815F1"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402EA46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864F14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38A35E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84275F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8B58F6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4A4A9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51D42B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E959D4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C09AF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405E99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28D5D59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A08984F"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C7E398"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D73105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46B67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DD1E8E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E1270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0A254F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EA1538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E0E41C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3FF401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4AC4C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96B6A3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5B1600C1"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E6F91AB"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9340D1D"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2CE7C9A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3300DB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58C187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A92D93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EA4842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86F80B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8AA12E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FA3C54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8D4898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CAC5A6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00ED20DC"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27E14C"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2FB241B"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7A5179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87F35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18E725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C586D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4D2BD0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3AA5DA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9D6CA2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015D36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05C91E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A552EB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5AE6FD1D"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4124242"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B84A981"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5B67A2C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DD681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709" w:type="dxa"/>
            <w:tcBorders>
              <w:top w:val="nil"/>
              <w:left w:val="nil"/>
              <w:bottom w:val="single" w:sz="4" w:space="0" w:color="auto"/>
              <w:right w:val="single" w:sz="4" w:space="0" w:color="auto"/>
            </w:tcBorders>
            <w:shd w:val="clear" w:color="auto" w:fill="auto"/>
            <w:noWrap/>
            <w:vAlign w:val="center"/>
          </w:tcPr>
          <w:p w14:paraId="15F011F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EE7DC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677" w:type="dxa"/>
            <w:tcBorders>
              <w:top w:val="nil"/>
              <w:left w:val="nil"/>
              <w:bottom w:val="single" w:sz="4" w:space="0" w:color="auto"/>
              <w:right w:val="single" w:sz="4" w:space="0" w:color="auto"/>
            </w:tcBorders>
            <w:shd w:val="clear" w:color="auto" w:fill="auto"/>
            <w:noWrap/>
            <w:vAlign w:val="center"/>
          </w:tcPr>
          <w:p w14:paraId="195D4DC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B7ECF5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center"/>
          </w:tcPr>
          <w:p w14:paraId="3AE5584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B79936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center"/>
          </w:tcPr>
          <w:p w14:paraId="5218EC4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12D1E1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r>
      <w:tr w:rsidR="00E74055" w:rsidRPr="00205F5B" w14:paraId="066677E0"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892F4E"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BE8A126"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67AF22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A91A6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709" w:type="dxa"/>
            <w:tcBorders>
              <w:top w:val="nil"/>
              <w:left w:val="nil"/>
              <w:bottom w:val="single" w:sz="4" w:space="0" w:color="auto"/>
              <w:right w:val="single" w:sz="4" w:space="0" w:color="auto"/>
            </w:tcBorders>
            <w:shd w:val="clear" w:color="auto" w:fill="auto"/>
            <w:noWrap/>
            <w:vAlign w:val="center"/>
          </w:tcPr>
          <w:p w14:paraId="4367103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E651F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677" w:type="dxa"/>
            <w:tcBorders>
              <w:top w:val="nil"/>
              <w:left w:val="nil"/>
              <w:bottom w:val="single" w:sz="4" w:space="0" w:color="auto"/>
              <w:right w:val="single" w:sz="4" w:space="0" w:color="auto"/>
            </w:tcBorders>
            <w:shd w:val="clear" w:color="auto" w:fill="auto"/>
            <w:noWrap/>
            <w:vAlign w:val="center"/>
          </w:tcPr>
          <w:p w14:paraId="15E45DB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4EBB9D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612" w:type="dxa"/>
            <w:tcBorders>
              <w:top w:val="nil"/>
              <w:left w:val="nil"/>
              <w:bottom w:val="single" w:sz="4" w:space="0" w:color="auto"/>
              <w:right w:val="single" w:sz="4" w:space="0" w:color="auto"/>
            </w:tcBorders>
            <w:shd w:val="clear" w:color="auto" w:fill="auto"/>
            <w:noWrap/>
            <w:vAlign w:val="center"/>
          </w:tcPr>
          <w:p w14:paraId="1244C20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2D4291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c>
          <w:tcPr>
            <w:tcW w:w="586" w:type="dxa"/>
            <w:tcBorders>
              <w:top w:val="nil"/>
              <w:left w:val="nil"/>
              <w:bottom w:val="single" w:sz="4" w:space="0" w:color="auto"/>
              <w:right w:val="single" w:sz="4" w:space="0" w:color="auto"/>
            </w:tcBorders>
            <w:shd w:val="clear" w:color="auto" w:fill="auto"/>
            <w:noWrap/>
            <w:vAlign w:val="center"/>
          </w:tcPr>
          <w:p w14:paraId="503900B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5DD508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151</w:t>
            </w:r>
          </w:p>
        </w:tc>
      </w:tr>
      <w:tr w:rsidR="00E74055" w:rsidRPr="00205F5B" w14:paraId="2CEF0574"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4118E64"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09046C7"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49F81FD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E9D23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B319B4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1E1DA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365428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EB4FB5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01C414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02266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888FC5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A44654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AA15A1A"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8B0FBE5"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8BC6857"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1EFBBDE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AB0264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2B9147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53B6B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395198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A01B08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DDE0C6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A8D96D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4E0996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769384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3D70981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B0A94E0"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FFE31C2"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5C7DE4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A64A5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97EC69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94962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250F1B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656D9D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CF0FD4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432632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C1232B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12FAF9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46BE2BC7"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876879"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CBFB3B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015D369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03F58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2F012F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15678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33163E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8D3A30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A21861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3226F6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B17D79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CB5D52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732D870B"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8A25480"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69078DB"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7F7958E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D546C9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AD77CA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D606B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8CD1BA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FA9FEA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79C111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94925F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642DAA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DCC56E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222CB1B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4A2AFA0"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0386610"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6EB064F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1DC92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1B9741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A686C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98E010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7CB43EA"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BF9657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9B77DF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F6976B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BFBB3C8"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5BB6077A"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7AA537B"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C5170A5"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6B5B5769"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353F7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7CFCC4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DBE3A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3B887A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9390EA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CF3CF3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626EA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B3C543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47871E4"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46C52D47"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149B061"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3006A02"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1EF907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84FDF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F10C2E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12ED25"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E205F4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AF3575E"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46B9CA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663F22"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090F49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03F47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67042F36"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566C64D" w14:textId="77777777" w:rsidR="00E74055" w:rsidRPr="000E1844" w:rsidRDefault="00E74055" w:rsidP="00E74055">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2D232B8" w14:textId="77777777" w:rsidR="00E74055" w:rsidRPr="000E1844" w:rsidRDefault="00E74055" w:rsidP="00E74055">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4F07FE7"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67B090"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9ED50AB"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3C671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84CD02C"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DB25DD"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3486F1F"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CDBB7F3"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42CCE41"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5F15986" w14:textId="77777777" w:rsidR="00E74055" w:rsidRPr="00E74055" w:rsidRDefault="00E74055" w:rsidP="00E74055">
            <w:pPr>
              <w:ind w:left="0"/>
              <w:jc w:val="center"/>
              <w:rPr>
                <w:rFonts w:ascii="Bookman Old Style" w:hAnsi="Bookman Old Style"/>
                <w:color w:val="000000"/>
                <w:sz w:val="12"/>
                <w:szCs w:val="16"/>
              </w:rPr>
            </w:pPr>
            <w:r w:rsidRPr="00E74055">
              <w:rPr>
                <w:rFonts w:ascii="Bookman Old Style" w:hAnsi="Bookman Old Style"/>
                <w:color w:val="000000"/>
                <w:sz w:val="12"/>
                <w:szCs w:val="16"/>
              </w:rPr>
              <w:t>-</w:t>
            </w:r>
          </w:p>
        </w:tc>
      </w:tr>
      <w:tr w:rsidR="00E74055" w:rsidRPr="00205F5B" w14:paraId="40F73A7C" w14:textId="77777777" w:rsidTr="00E7405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941A0A" w14:textId="77777777" w:rsidR="00E74055" w:rsidRPr="00205F5B" w:rsidRDefault="00E74055" w:rsidP="00E74055">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1AB7A8EF" w14:textId="77777777" w:rsidR="00E74055" w:rsidRPr="00205F5B" w:rsidRDefault="00E74055" w:rsidP="00E74055">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12D88E40"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D5F449"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1,541</w:t>
            </w:r>
          </w:p>
        </w:tc>
        <w:tc>
          <w:tcPr>
            <w:tcW w:w="709" w:type="dxa"/>
            <w:tcBorders>
              <w:top w:val="nil"/>
              <w:left w:val="nil"/>
              <w:bottom w:val="single" w:sz="4" w:space="0" w:color="auto"/>
              <w:right w:val="single" w:sz="4" w:space="0" w:color="auto"/>
            </w:tcBorders>
            <w:shd w:val="clear" w:color="auto" w:fill="auto"/>
            <w:noWrap/>
            <w:vAlign w:val="center"/>
          </w:tcPr>
          <w:p w14:paraId="63094F7C"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3B465F"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1,541</w:t>
            </w:r>
          </w:p>
        </w:tc>
        <w:tc>
          <w:tcPr>
            <w:tcW w:w="677" w:type="dxa"/>
            <w:tcBorders>
              <w:top w:val="nil"/>
              <w:left w:val="nil"/>
              <w:bottom w:val="single" w:sz="4" w:space="0" w:color="auto"/>
              <w:right w:val="single" w:sz="4" w:space="0" w:color="auto"/>
            </w:tcBorders>
            <w:shd w:val="clear" w:color="auto" w:fill="auto"/>
            <w:noWrap/>
            <w:vAlign w:val="center"/>
          </w:tcPr>
          <w:p w14:paraId="3807B428"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A972FEF"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1,541</w:t>
            </w:r>
          </w:p>
        </w:tc>
        <w:tc>
          <w:tcPr>
            <w:tcW w:w="612" w:type="dxa"/>
            <w:tcBorders>
              <w:top w:val="nil"/>
              <w:left w:val="nil"/>
              <w:bottom w:val="single" w:sz="4" w:space="0" w:color="auto"/>
              <w:right w:val="single" w:sz="4" w:space="0" w:color="auto"/>
            </w:tcBorders>
            <w:shd w:val="clear" w:color="auto" w:fill="auto"/>
            <w:noWrap/>
            <w:vAlign w:val="center"/>
          </w:tcPr>
          <w:p w14:paraId="3516AFA7"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25D6C9D"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1,541</w:t>
            </w:r>
          </w:p>
        </w:tc>
        <w:tc>
          <w:tcPr>
            <w:tcW w:w="586" w:type="dxa"/>
            <w:tcBorders>
              <w:top w:val="nil"/>
              <w:left w:val="nil"/>
              <w:bottom w:val="single" w:sz="4" w:space="0" w:color="auto"/>
              <w:right w:val="single" w:sz="4" w:space="0" w:color="auto"/>
            </w:tcBorders>
            <w:shd w:val="clear" w:color="auto" w:fill="auto"/>
            <w:noWrap/>
            <w:vAlign w:val="center"/>
          </w:tcPr>
          <w:p w14:paraId="151C9FCD"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62B2A02" w14:textId="77777777" w:rsidR="00E74055" w:rsidRPr="00E74055" w:rsidRDefault="00E74055" w:rsidP="00E74055">
            <w:pPr>
              <w:ind w:left="0"/>
              <w:jc w:val="center"/>
              <w:rPr>
                <w:rFonts w:ascii="Bookman Old Style" w:hAnsi="Bookman Old Style"/>
                <w:b/>
                <w:bCs/>
                <w:color w:val="000000"/>
                <w:sz w:val="12"/>
                <w:szCs w:val="16"/>
              </w:rPr>
            </w:pPr>
            <w:r w:rsidRPr="00E74055">
              <w:rPr>
                <w:rFonts w:ascii="Bookman Old Style" w:hAnsi="Bookman Old Style"/>
                <w:b/>
                <w:bCs/>
                <w:color w:val="000000"/>
                <w:sz w:val="12"/>
                <w:szCs w:val="16"/>
              </w:rPr>
              <w:t>1,541</w:t>
            </w:r>
          </w:p>
        </w:tc>
      </w:tr>
    </w:tbl>
    <w:p w14:paraId="678B83E2" w14:textId="77777777" w:rsidR="000E1844" w:rsidRDefault="000E1844" w:rsidP="00341E8F">
      <w:pPr>
        <w:widowControl w:val="0"/>
        <w:adjustRightInd w:val="0"/>
        <w:ind w:left="0"/>
        <w:jc w:val="center"/>
        <w:rPr>
          <w:rFonts w:ascii="Bookman Old Style" w:hAnsi="Bookman Old Style" w:cs="Arial"/>
          <w:b/>
          <w:sz w:val="20"/>
        </w:rPr>
      </w:pPr>
    </w:p>
    <w:p w14:paraId="6E4F50F6" w14:textId="77777777" w:rsidR="000E1844" w:rsidRDefault="000E1844" w:rsidP="00341E8F">
      <w:pPr>
        <w:widowControl w:val="0"/>
        <w:adjustRightInd w:val="0"/>
        <w:ind w:left="0"/>
        <w:jc w:val="center"/>
        <w:rPr>
          <w:rFonts w:ascii="Bookman Old Style" w:hAnsi="Bookman Old Style" w:cs="Arial"/>
          <w:b/>
          <w:sz w:val="20"/>
        </w:rPr>
      </w:pPr>
    </w:p>
    <w:p w14:paraId="73E1E1BA" w14:textId="77777777" w:rsidR="000E1844" w:rsidRDefault="000E1844" w:rsidP="00341E8F">
      <w:pPr>
        <w:widowControl w:val="0"/>
        <w:adjustRightInd w:val="0"/>
        <w:ind w:left="0"/>
        <w:jc w:val="center"/>
        <w:rPr>
          <w:rFonts w:ascii="Bookman Old Style" w:hAnsi="Bookman Old Style" w:cs="Arial"/>
          <w:b/>
          <w:sz w:val="20"/>
        </w:rPr>
      </w:pPr>
    </w:p>
    <w:p w14:paraId="3B9DA038"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(m3)</w:t>
      </w:r>
    </w:p>
    <w:p w14:paraId="291863BB" w14:textId="77777777" w:rsidR="000E6D97" w:rsidRDefault="000E6D97" w:rsidP="000E6D97">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6D97" w:rsidRPr="00205F5B" w14:paraId="5353654D"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7B6B92E"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7EACEB0"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607F985"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AFC5D60"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E9701AB"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227D622"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D4ECE75"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0E6D97" w:rsidRPr="00205F5B" w14:paraId="361FDD49"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1620C1F"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977D03C"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347C78DF"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635CC25"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78E565B4"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137BA86C"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09F8FECB"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30537722"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0D0E0E79"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6F4DF77E"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1D1C9E2D"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6DECF27F"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DC3636" w:rsidRPr="00205F5B" w14:paraId="156EF85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F7909C4" w14:textId="77777777" w:rsidR="00DC3636" w:rsidRPr="000E1844" w:rsidRDefault="00DC3636" w:rsidP="00DC3636">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17892A5" w14:textId="77777777" w:rsidR="00DC3636" w:rsidRPr="000E1844" w:rsidRDefault="00DC3636" w:rsidP="00DC3636">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699EBA40" w14:textId="77777777" w:rsidR="00DC3636" w:rsidRPr="00DC3636" w:rsidRDefault="00DC3636" w:rsidP="00DC3636">
            <w:pPr>
              <w:ind w:left="0"/>
              <w:jc w:val="center"/>
              <w:rPr>
                <w:rFonts w:ascii="Bookman Old Style" w:hAnsi="Bookman Old Style"/>
                <w:color w:val="000000"/>
                <w:sz w:val="12"/>
                <w:szCs w:val="16"/>
                <w:lang w:val="es-CO" w:eastAsia="es-CO"/>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5C223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23,184</w:t>
            </w:r>
          </w:p>
        </w:tc>
        <w:tc>
          <w:tcPr>
            <w:tcW w:w="709" w:type="dxa"/>
            <w:tcBorders>
              <w:top w:val="nil"/>
              <w:left w:val="nil"/>
              <w:bottom w:val="single" w:sz="4" w:space="0" w:color="auto"/>
              <w:right w:val="single" w:sz="4" w:space="0" w:color="auto"/>
            </w:tcBorders>
            <w:shd w:val="clear" w:color="auto" w:fill="auto"/>
            <w:noWrap/>
            <w:vAlign w:val="center"/>
          </w:tcPr>
          <w:p w14:paraId="2E9845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A99D8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26,496</w:t>
            </w:r>
          </w:p>
        </w:tc>
        <w:tc>
          <w:tcPr>
            <w:tcW w:w="677" w:type="dxa"/>
            <w:tcBorders>
              <w:top w:val="nil"/>
              <w:left w:val="nil"/>
              <w:bottom w:val="single" w:sz="4" w:space="0" w:color="auto"/>
              <w:right w:val="single" w:sz="4" w:space="0" w:color="auto"/>
            </w:tcBorders>
            <w:shd w:val="clear" w:color="auto" w:fill="auto"/>
            <w:noWrap/>
            <w:vAlign w:val="center"/>
          </w:tcPr>
          <w:p w14:paraId="600E473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ECE379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68382B7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DE8859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6C59DA6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E1BA3F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r>
      <w:tr w:rsidR="00DC3636" w:rsidRPr="00205F5B" w14:paraId="6DC50E1D"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D3A6D8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589F12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37F41AD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B759A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23,184</w:t>
            </w:r>
          </w:p>
        </w:tc>
        <w:tc>
          <w:tcPr>
            <w:tcW w:w="709" w:type="dxa"/>
            <w:tcBorders>
              <w:top w:val="nil"/>
              <w:left w:val="nil"/>
              <w:bottom w:val="single" w:sz="4" w:space="0" w:color="auto"/>
              <w:right w:val="single" w:sz="4" w:space="0" w:color="auto"/>
            </w:tcBorders>
            <w:shd w:val="clear" w:color="auto" w:fill="auto"/>
            <w:noWrap/>
            <w:vAlign w:val="center"/>
          </w:tcPr>
          <w:p w14:paraId="56F6BBB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28D80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26,496</w:t>
            </w:r>
          </w:p>
        </w:tc>
        <w:tc>
          <w:tcPr>
            <w:tcW w:w="677" w:type="dxa"/>
            <w:tcBorders>
              <w:top w:val="nil"/>
              <w:left w:val="nil"/>
              <w:bottom w:val="single" w:sz="4" w:space="0" w:color="auto"/>
              <w:right w:val="single" w:sz="4" w:space="0" w:color="auto"/>
            </w:tcBorders>
            <w:shd w:val="clear" w:color="auto" w:fill="auto"/>
            <w:noWrap/>
            <w:vAlign w:val="center"/>
          </w:tcPr>
          <w:p w14:paraId="1976619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D8BBDA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24F7353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C1438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2348E6B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EC6DAC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r>
      <w:tr w:rsidR="00DC3636" w:rsidRPr="00205F5B" w14:paraId="4FC61FD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BBB635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EDF2E11"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2F708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A17D8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D4323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A96437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1A5FE0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80EF9F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197F44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845F6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4CD1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FFCC9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D458577"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C095AE"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D3B29D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21C14A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56634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02AB8D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02C09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EA4281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AA205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4A6E6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1E204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6E541D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41B7AD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655561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F1E18F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0AFD94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52F38B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9F4F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DB0E9E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0A02A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615BD2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B0669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00054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7C312A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1B019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BC2417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3928C43"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2D428C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02D99F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0783E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F9B6F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9EDA23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74C21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646C95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4A6F87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49753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C67BCF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C9E1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5D1FAE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252E11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81BD03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E0F9AB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7AEEB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90F7E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082BF3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EE95A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5EFADA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6E61A9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497DA4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09E40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21371E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065E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E6E541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0928E1E"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162EF6A"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5B87902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B2B99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5865B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7302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D36666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B03E68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FAF596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504A8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EC683A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0B582F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39F051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99DA54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FDAF01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6D3A2F0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2BC72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68353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1C6C8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87C411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D93B0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5BBA17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A2E251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7522C3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677F92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7CDD1FF"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6934A1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B8DAB5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04F427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A1870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0C630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41414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8711E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B19D7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6F201D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D3D96B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ECC66E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294F6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F989A21"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DFDF93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34E2A5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8BC0FF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BD834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E62CB2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18A17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EF7F7E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9ED20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902879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1194F7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30AD31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14FDB3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435038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C5DA7B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FF845D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729C169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1B251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22,604</w:t>
            </w:r>
          </w:p>
        </w:tc>
        <w:tc>
          <w:tcPr>
            <w:tcW w:w="709" w:type="dxa"/>
            <w:tcBorders>
              <w:top w:val="nil"/>
              <w:left w:val="nil"/>
              <w:bottom w:val="single" w:sz="4" w:space="0" w:color="auto"/>
              <w:right w:val="single" w:sz="4" w:space="0" w:color="auto"/>
            </w:tcBorders>
            <w:shd w:val="clear" w:color="auto" w:fill="auto"/>
            <w:noWrap/>
            <w:vAlign w:val="center"/>
          </w:tcPr>
          <w:p w14:paraId="516A26B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5CFC8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25,834</w:t>
            </w:r>
          </w:p>
        </w:tc>
        <w:tc>
          <w:tcPr>
            <w:tcW w:w="677" w:type="dxa"/>
            <w:tcBorders>
              <w:top w:val="nil"/>
              <w:left w:val="nil"/>
              <w:bottom w:val="single" w:sz="4" w:space="0" w:color="auto"/>
              <w:right w:val="single" w:sz="4" w:space="0" w:color="auto"/>
            </w:tcBorders>
            <w:shd w:val="clear" w:color="auto" w:fill="auto"/>
            <w:noWrap/>
            <w:vAlign w:val="center"/>
          </w:tcPr>
          <w:p w14:paraId="3A506EA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AB2E67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7C41757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643720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147B3C4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6C37A3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r>
      <w:tr w:rsidR="00DC3636" w:rsidRPr="00205F5B" w14:paraId="4553279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0D405B7"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0EC0A83"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7A5BEC9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8FAAF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22,604</w:t>
            </w:r>
          </w:p>
        </w:tc>
        <w:tc>
          <w:tcPr>
            <w:tcW w:w="709" w:type="dxa"/>
            <w:tcBorders>
              <w:top w:val="nil"/>
              <w:left w:val="nil"/>
              <w:bottom w:val="single" w:sz="4" w:space="0" w:color="auto"/>
              <w:right w:val="single" w:sz="4" w:space="0" w:color="auto"/>
            </w:tcBorders>
            <w:shd w:val="clear" w:color="auto" w:fill="auto"/>
            <w:noWrap/>
            <w:vAlign w:val="center"/>
          </w:tcPr>
          <w:p w14:paraId="299E391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0026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25,834</w:t>
            </w:r>
          </w:p>
        </w:tc>
        <w:tc>
          <w:tcPr>
            <w:tcW w:w="677" w:type="dxa"/>
            <w:tcBorders>
              <w:top w:val="nil"/>
              <w:left w:val="nil"/>
              <w:bottom w:val="single" w:sz="4" w:space="0" w:color="auto"/>
              <w:right w:val="single" w:sz="4" w:space="0" w:color="auto"/>
            </w:tcBorders>
            <w:shd w:val="clear" w:color="auto" w:fill="auto"/>
            <w:noWrap/>
            <w:vAlign w:val="center"/>
          </w:tcPr>
          <w:p w14:paraId="3ED6C61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079D41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6CC9721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72B5F2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25EE6A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673035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r>
      <w:tr w:rsidR="00DC3636" w:rsidRPr="00205F5B" w14:paraId="0023A6B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222E50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FB8620F"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4F9695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E8436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6F15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A4EAB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8CE192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5A77B0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527AC8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E12DA5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44E010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8A85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79CC46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2BFFAD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A062E8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A34741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55AD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6F7AF6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7122BF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F2C5E4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4294CD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F76A54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5AFA3A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E2732F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0DADEA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48A06A4"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27501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337CCA2"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7EB2339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7353A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45BD42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E6AA6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923B0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934D16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A51CA3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EC74E2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F0D6A5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0B6168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734390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2D88C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3E469C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3CB9941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73DA3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86C32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DFA575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7F63F3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CE4C05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EB3470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B9DDB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B7AC8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057E68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D0DB4AD"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97D069B"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C73373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B19D0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5B26A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E778B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0FC5D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A25F1E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CBEA7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9241F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9DEB00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F146B3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D60FE6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9F877D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D92E3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3CE8D8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61871E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D761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C69F0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D08D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4D9EC4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749C26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3B47B4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DEA4F0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0E6792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C30DE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F3F9DC4"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C1A1ED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11D712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318A993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25C2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CA686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84A0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A0C0B5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B1C89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0C101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6705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6470A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E68A2E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410F9A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94344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EA5897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F976A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EE2788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135DAC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1716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2C34EE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9B6B37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10F6A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77249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0C2D9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E14190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FBB2DE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A469340"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08BC35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CD17FD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C229E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71CA3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C7F1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17F81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38CE7B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FA1E49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0CB786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8D67C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76DF0C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C0E0B7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DBE8ED"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183C45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1710C56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72D5C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30,719</w:t>
            </w:r>
          </w:p>
        </w:tc>
        <w:tc>
          <w:tcPr>
            <w:tcW w:w="709" w:type="dxa"/>
            <w:tcBorders>
              <w:top w:val="nil"/>
              <w:left w:val="nil"/>
              <w:bottom w:val="single" w:sz="4" w:space="0" w:color="auto"/>
              <w:right w:val="single" w:sz="4" w:space="0" w:color="auto"/>
            </w:tcBorders>
            <w:shd w:val="clear" w:color="auto" w:fill="auto"/>
            <w:noWrap/>
            <w:vAlign w:val="center"/>
          </w:tcPr>
          <w:p w14:paraId="4580958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F437B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35,107</w:t>
            </w:r>
          </w:p>
        </w:tc>
        <w:tc>
          <w:tcPr>
            <w:tcW w:w="677" w:type="dxa"/>
            <w:tcBorders>
              <w:top w:val="nil"/>
              <w:left w:val="nil"/>
              <w:bottom w:val="single" w:sz="4" w:space="0" w:color="auto"/>
              <w:right w:val="single" w:sz="4" w:space="0" w:color="auto"/>
            </w:tcBorders>
            <w:shd w:val="clear" w:color="auto" w:fill="auto"/>
            <w:noWrap/>
            <w:vAlign w:val="center"/>
          </w:tcPr>
          <w:p w14:paraId="640AA7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7C6A85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6B34E8F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7DA6A5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412EED1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0496E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r>
      <w:tr w:rsidR="00DC3636" w:rsidRPr="00205F5B" w14:paraId="51753BBF"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1DB55D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678B8A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050A43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B827F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30,719</w:t>
            </w:r>
          </w:p>
        </w:tc>
        <w:tc>
          <w:tcPr>
            <w:tcW w:w="709" w:type="dxa"/>
            <w:tcBorders>
              <w:top w:val="nil"/>
              <w:left w:val="nil"/>
              <w:bottom w:val="single" w:sz="4" w:space="0" w:color="auto"/>
              <w:right w:val="single" w:sz="4" w:space="0" w:color="auto"/>
            </w:tcBorders>
            <w:shd w:val="clear" w:color="auto" w:fill="auto"/>
            <w:noWrap/>
            <w:vAlign w:val="center"/>
          </w:tcPr>
          <w:p w14:paraId="33E14C9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437F3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35,107</w:t>
            </w:r>
          </w:p>
        </w:tc>
        <w:tc>
          <w:tcPr>
            <w:tcW w:w="677" w:type="dxa"/>
            <w:tcBorders>
              <w:top w:val="nil"/>
              <w:left w:val="nil"/>
              <w:bottom w:val="single" w:sz="4" w:space="0" w:color="auto"/>
              <w:right w:val="single" w:sz="4" w:space="0" w:color="auto"/>
            </w:tcBorders>
            <w:shd w:val="clear" w:color="auto" w:fill="auto"/>
            <w:noWrap/>
            <w:vAlign w:val="center"/>
          </w:tcPr>
          <w:p w14:paraId="69734D5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76AA5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216851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0642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1D2236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47ED9C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r>
      <w:tr w:rsidR="00DC3636" w:rsidRPr="00205F5B" w14:paraId="73F678E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981FEC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B1803D1"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357358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3AC61C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72F761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D3358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BB9C4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0B072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C12F2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DC94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22A3F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9D4CE2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2B793AD"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18906C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0D566BF"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5D3632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90EBF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7B8960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5F7E3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D7962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4C707B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7F529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991432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4C9FB2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3B49B5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76C015F"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7A90320"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9E9D413"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6A7981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25D25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A678E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C83C5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9BF6CF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FC4CCC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BF192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D88D4F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55F307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D3478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490D57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57D991E"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E67D43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6044096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2AB28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A10B32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B5902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968B9E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AFDB0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272AA2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3F5A7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21D43D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7C0A5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6B89EC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35A96DD"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55A8B8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DA8965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9B38B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8DC24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663A5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CD98FE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1713D8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052EE0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882C8B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5B72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B3B8DB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482E5C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3B0882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663C85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4D095D7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52757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5723A8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3BA86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DB8581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417B6E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CCFB7B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7C8E45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0ECC2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5E16F9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14FF4E8"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CB4ADD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A7D3E8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71D4E15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D4A83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45D3B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D710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99B51D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69F9CB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44B083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88197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94626D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34C4D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797A02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3730B3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F816FBC"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3A833F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DEA58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81369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617ECB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EE0E24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4548CD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AAAE0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862406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4E1FB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C2376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1DC5DC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EE7910B"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4B4388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0E94B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F845D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F9C2B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3A40F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6DB648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9AC61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51B44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318F7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259E35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D730D9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B92D0E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06568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4339FCA"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B85DB2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36428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13,000</w:t>
            </w:r>
          </w:p>
        </w:tc>
        <w:tc>
          <w:tcPr>
            <w:tcW w:w="709" w:type="dxa"/>
            <w:tcBorders>
              <w:top w:val="nil"/>
              <w:left w:val="nil"/>
              <w:bottom w:val="single" w:sz="4" w:space="0" w:color="auto"/>
              <w:right w:val="single" w:sz="4" w:space="0" w:color="auto"/>
            </w:tcBorders>
            <w:shd w:val="clear" w:color="auto" w:fill="auto"/>
            <w:noWrap/>
            <w:vAlign w:val="center"/>
          </w:tcPr>
          <w:p w14:paraId="51A35EE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7CBBA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14,821</w:t>
            </w:r>
          </w:p>
        </w:tc>
        <w:tc>
          <w:tcPr>
            <w:tcW w:w="677" w:type="dxa"/>
            <w:tcBorders>
              <w:top w:val="nil"/>
              <w:left w:val="nil"/>
              <w:bottom w:val="single" w:sz="4" w:space="0" w:color="auto"/>
              <w:right w:val="single" w:sz="4" w:space="0" w:color="auto"/>
            </w:tcBorders>
            <w:shd w:val="clear" w:color="auto" w:fill="auto"/>
            <w:noWrap/>
            <w:vAlign w:val="center"/>
          </w:tcPr>
          <w:p w14:paraId="6337D9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0A1AE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05B2E14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79D46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6ED5A12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493F7B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r>
      <w:tr w:rsidR="00DC3636" w:rsidRPr="00205F5B" w14:paraId="2074F47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658C0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4B8EAE3"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0517EF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40E8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13,000</w:t>
            </w:r>
          </w:p>
        </w:tc>
        <w:tc>
          <w:tcPr>
            <w:tcW w:w="709" w:type="dxa"/>
            <w:tcBorders>
              <w:top w:val="nil"/>
              <w:left w:val="nil"/>
              <w:bottom w:val="single" w:sz="4" w:space="0" w:color="auto"/>
              <w:right w:val="single" w:sz="4" w:space="0" w:color="auto"/>
            </w:tcBorders>
            <w:shd w:val="clear" w:color="auto" w:fill="auto"/>
            <w:noWrap/>
            <w:vAlign w:val="center"/>
          </w:tcPr>
          <w:p w14:paraId="0F1B90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7DE57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14,821</w:t>
            </w:r>
          </w:p>
        </w:tc>
        <w:tc>
          <w:tcPr>
            <w:tcW w:w="677" w:type="dxa"/>
            <w:tcBorders>
              <w:top w:val="nil"/>
              <w:left w:val="nil"/>
              <w:bottom w:val="single" w:sz="4" w:space="0" w:color="auto"/>
              <w:right w:val="single" w:sz="4" w:space="0" w:color="auto"/>
            </w:tcBorders>
            <w:shd w:val="clear" w:color="auto" w:fill="auto"/>
            <w:noWrap/>
            <w:vAlign w:val="center"/>
          </w:tcPr>
          <w:p w14:paraId="0BD951D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B245FE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2D7FAB0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5D13F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17878D8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64D59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r>
      <w:tr w:rsidR="00DC3636" w:rsidRPr="00205F5B" w14:paraId="2545F0D1"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1D37E27"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99B80D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0DAAE72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720F8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2CB1B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ED5C0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0F01D8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6AAC6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08BF8E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4D888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1FBE3A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758D08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4E7C2A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73446F0"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B9223D3"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3075502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F910E2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D815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AA9B5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216E3A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3283F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A0E91C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BFC375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5E4FF7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D287A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D06D39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A2401E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2699DF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28DEA6B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AD752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973062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C08CA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1E05FE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7CD28B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49FEC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6529C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A4D428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FE762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EE9E713"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9EF13A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3D1CD6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22C2ADA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8DD94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9D6712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BFF3F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8FFC5F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75A702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38D05F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42BD73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0EC08B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A16FCB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0CBC00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52A1A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30FCCF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30372F5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210AD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EAA480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991D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DFBD7D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193DFF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104F6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66DB32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97F6C1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8625E6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2C5A0B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91972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360236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4A3C2D9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AEED9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DCFED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28464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71E1F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9BA23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4F2BB3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F0491B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D56A21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F956E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6C4E95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2B3BA2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3F9B8C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E3148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C6DE1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F433B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505B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2C893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3BFBD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DC5C5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743A2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8C0903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E6A156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CD4671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B377F80"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B231861"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C6B3AF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8C328E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205A8D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2C434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31D297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0CDC3E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0E15BC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08B63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E7D760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E2642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A0DBBB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B8433A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9BE540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5AA598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3940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6675C6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5161E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B254C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0FE7B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DDD72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38AE3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2538B1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A0CD9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846A287"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BE70E3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A18E00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5757E9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9D161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9,770</w:t>
            </w:r>
          </w:p>
        </w:tc>
        <w:tc>
          <w:tcPr>
            <w:tcW w:w="709" w:type="dxa"/>
            <w:tcBorders>
              <w:top w:val="nil"/>
              <w:left w:val="nil"/>
              <w:bottom w:val="single" w:sz="4" w:space="0" w:color="auto"/>
              <w:right w:val="single" w:sz="4" w:space="0" w:color="auto"/>
            </w:tcBorders>
            <w:shd w:val="clear" w:color="auto" w:fill="auto"/>
            <w:noWrap/>
            <w:vAlign w:val="center"/>
          </w:tcPr>
          <w:p w14:paraId="3F66681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B5445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11,095</w:t>
            </w:r>
          </w:p>
        </w:tc>
        <w:tc>
          <w:tcPr>
            <w:tcW w:w="677" w:type="dxa"/>
            <w:tcBorders>
              <w:top w:val="nil"/>
              <w:left w:val="nil"/>
              <w:bottom w:val="single" w:sz="4" w:space="0" w:color="auto"/>
              <w:right w:val="single" w:sz="4" w:space="0" w:color="auto"/>
            </w:tcBorders>
            <w:shd w:val="clear" w:color="auto" w:fill="auto"/>
            <w:noWrap/>
            <w:vAlign w:val="center"/>
          </w:tcPr>
          <w:p w14:paraId="030B26E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DE0445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7FAA579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4EFC7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3DBCAC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A42306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r>
      <w:tr w:rsidR="00DC3636" w:rsidRPr="00205F5B" w14:paraId="2BB4D017"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8D5CBBE"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CF6026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04C7F79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7286E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9,770</w:t>
            </w:r>
          </w:p>
        </w:tc>
        <w:tc>
          <w:tcPr>
            <w:tcW w:w="709" w:type="dxa"/>
            <w:tcBorders>
              <w:top w:val="nil"/>
              <w:left w:val="nil"/>
              <w:bottom w:val="single" w:sz="4" w:space="0" w:color="auto"/>
              <w:right w:val="single" w:sz="4" w:space="0" w:color="auto"/>
            </w:tcBorders>
            <w:shd w:val="clear" w:color="auto" w:fill="auto"/>
            <w:noWrap/>
            <w:vAlign w:val="center"/>
          </w:tcPr>
          <w:p w14:paraId="72AEB32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1B811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11,095</w:t>
            </w:r>
          </w:p>
        </w:tc>
        <w:tc>
          <w:tcPr>
            <w:tcW w:w="677" w:type="dxa"/>
            <w:tcBorders>
              <w:top w:val="nil"/>
              <w:left w:val="nil"/>
              <w:bottom w:val="single" w:sz="4" w:space="0" w:color="auto"/>
              <w:right w:val="single" w:sz="4" w:space="0" w:color="auto"/>
            </w:tcBorders>
            <w:shd w:val="clear" w:color="auto" w:fill="auto"/>
            <w:noWrap/>
            <w:vAlign w:val="center"/>
          </w:tcPr>
          <w:p w14:paraId="4134F3F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77F96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64CC1B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53EDE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57E193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3D2092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r>
      <w:tr w:rsidR="00DC3636" w:rsidRPr="00205F5B" w14:paraId="6E6B2E94"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29FD66D"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8F1E5C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30980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E9578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4E6A1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49677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9145D3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49A86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DCF517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57408A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F7C0B9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4D65AE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67FFA6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0E6E6F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5376DA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4A770E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6461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9FB2B2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B26D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F1514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6C22DD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264F8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693BD9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DCE8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1C7BBE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229A19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B66D3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F89372A"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2E16321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8C11B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907B4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D594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5B87AA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46C1B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2819F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1DAA40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BD27B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4DD8AF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13D4A1F"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227FE2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34F2812"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EC0E9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CE48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C9FA7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9A85B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708993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FE9D3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8593D8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29A15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2EDED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D28CC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73C3DD7"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751408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3248C5F"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5C2A195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1B65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402038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C4F8DD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3016B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895BEA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3C10EC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609B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53C06A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AD70DE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CA6574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D1D376D"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4E40DA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3BED0E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3FB8C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7A141E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6AF6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27D22B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A8D1B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8834B8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FF4CE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DB19C5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1C70F6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BFE18FD"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6E2FFB"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233823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D17E74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1154F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8F508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58E93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CF7F64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FB052C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A6419E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D42473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2B3383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81509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E25A9B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E114AB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86D5B0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648F22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7DC1B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7E632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1AD990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BD418D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2CA3A5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32CD89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A7E39E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77F2D7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50078C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C2A5C1E"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5EC489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4A8A4E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4CB6E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55B90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2A83A2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ACCBB1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B3367F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27F7B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E57464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52F017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758ABA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FBE8CB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8548BE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1CD7D8" w14:textId="77777777" w:rsidR="00DC3636" w:rsidRPr="00205F5B" w:rsidRDefault="00DC3636" w:rsidP="00DC363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4D91575A" w14:textId="77777777" w:rsidR="00DC3636" w:rsidRPr="00205F5B" w:rsidRDefault="00DC3636" w:rsidP="00DC3636">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5BD10863"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3B9EFE"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99,277</w:t>
            </w:r>
          </w:p>
        </w:tc>
        <w:tc>
          <w:tcPr>
            <w:tcW w:w="709" w:type="dxa"/>
            <w:tcBorders>
              <w:top w:val="nil"/>
              <w:left w:val="nil"/>
              <w:bottom w:val="single" w:sz="4" w:space="0" w:color="auto"/>
              <w:right w:val="single" w:sz="4" w:space="0" w:color="auto"/>
            </w:tcBorders>
            <w:shd w:val="clear" w:color="auto" w:fill="auto"/>
            <w:noWrap/>
            <w:vAlign w:val="center"/>
          </w:tcPr>
          <w:p w14:paraId="734F7F17"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CB8945"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113,353</w:t>
            </w:r>
          </w:p>
        </w:tc>
        <w:tc>
          <w:tcPr>
            <w:tcW w:w="677" w:type="dxa"/>
            <w:tcBorders>
              <w:top w:val="nil"/>
              <w:left w:val="nil"/>
              <w:bottom w:val="single" w:sz="4" w:space="0" w:color="auto"/>
              <w:right w:val="single" w:sz="4" w:space="0" w:color="auto"/>
            </w:tcBorders>
            <w:shd w:val="clear" w:color="auto" w:fill="auto"/>
            <w:noWrap/>
            <w:vAlign w:val="center"/>
          </w:tcPr>
          <w:p w14:paraId="5A5DF5E7"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1AF96F4"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c>
          <w:tcPr>
            <w:tcW w:w="612" w:type="dxa"/>
            <w:tcBorders>
              <w:top w:val="nil"/>
              <w:left w:val="nil"/>
              <w:bottom w:val="single" w:sz="4" w:space="0" w:color="auto"/>
              <w:right w:val="single" w:sz="4" w:space="0" w:color="auto"/>
            </w:tcBorders>
            <w:shd w:val="clear" w:color="auto" w:fill="auto"/>
            <w:noWrap/>
            <w:vAlign w:val="center"/>
          </w:tcPr>
          <w:p w14:paraId="283EE808"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584922"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c>
          <w:tcPr>
            <w:tcW w:w="586" w:type="dxa"/>
            <w:tcBorders>
              <w:top w:val="nil"/>
              <w:left w:val="nil"/>
              <w:bottom w:val="single" w:sz="4" w:space="0" w:color="auto"/>
              <w:right w:val="single" w:sz="4" w:space="0" w:color="auto"/>
            </w:tcBorders>
            <w:shd w:val="clear" w:color="auto" w:fill="auto"/>
            <w:noWrap/>
            <w:vAlign w:val="center"/>
          </w:tcPr>
          <w:p w14:paraId="25FA691B"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29EFCCA"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r>
    </w:tbl>
    <w:p w14:paraId="5E87F16F" w14:textId="77777777" w:rsidR="000E6D97" w:rsidRDefault="000E6D97" w:rsidP="000E6D97">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6D97" w:rsidRPr="00205F5B" w14:paraId="1F6EE8CA"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0462B55"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EF926F5"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7585EFD"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44115E3"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FF15040"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7A0763A"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1E453C8"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0E6D97" w:rsidRPr="00205F5B" w14:paraId="531223E7"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CE54BA5"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393F6FA"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5E767603"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019A3CD7"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151CBF3A"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0AE0D39D"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6E22EE35"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4D196A57"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6311703B"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2F0B8577"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680BEDA3"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2CA86407"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DC3636" w:rsidRPr="00205F5B" w14:paraId="09CAF47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F83A11" w14:textId="77777777" w:rsidR="00DC3636" w:rsidRPr="000E1844" w:rsidRDefault="00DC3636" w:rsidP="00DC3636">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2D8A69F" w14:textId="77777777" w:rsidR="00DC3636" w:rsidRPr="000E1844" w:rsidRDefault="00DC3636" w:rsidP="00DC3636">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C7CF2C3" w14:textId="77777777" w:rsidR="00DC3636" w:rsidRPr="00DC3636" w:rsidRDefault="00DC3636" w:rsidP="00DC3636">
            <w:pPr>
              <w:ind w:left="0"/>
              <w:jc w:val="center"/>
              <w:rPr>
                <w:rFonts w:ascii="Bookman Old Style" w:hAnsi="Bookman Old Style"/>
                <w:color w:val="000000"/>
                <w:sz w:val="12"/>
                <w:szCs w:val="16"/>
                <w:lang w:val="es-CO" w:eastAsia="es-CO"/>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79E3E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709" w:type="dxa"/>
            <w:tcBorders>
              <w:top w:val="nil"/>
              <w:left w:val="nil"/>
              <w:bottom w:val="single" w:sz="4" w:space="0" w:color="auto"/>
              <w:right w:val="single" w:sz="4" w:space="0" w:color="auto"/>
            </w:tcBorders>
            <w:shd w:val="clear" w:color="auto" w:fill="auto"/>
            <w:noWrap/>
            <w:vAlign w:val="center"/>
          </w:tcPr>
          <w:p w14:paraId="4F27FBB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EF7DA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677" w:type="dxa"/>
            <w:tcBorders>
              <w:top w:val="nil"/>
              <w:left w:val="nil"/>
              <w:bottom w:val="single" w:sz="4" w:space="0" w:color="auto"/>
              <w:right w:val="single" w:sz="4" w:space="0" w:color="auto"/>
            </w:tcBorders>
            <w:shd w:val="clear" w:color="auto" w:fill="auto"/>
            <w:noWrap/>
            <w:vAlign w:val="center"/>
          </w:tcPr>
          <w:p w14:paraId="3DB567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35F239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23E6281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F9BA23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20A9E40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09CC8A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r>
      <w:tr w:rsidR="00DC3636" w:rsidRPr="00205F5B" w14:paraId="2598851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A11DA8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9F9C164"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D7CEA5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3659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709" w:type="dxa"/>
            <w:tcBorders>
              <w:top w:val="nil"/>
              <w:left w:val="nil"/>
              <w:bottom w:val="single" w:sz="4" w:space="0" w:color="auto"/>
              <w:right w:val="single" w:sz="4" w:space="0" w:color="auto"/>
            </w:tcBorders>
            <w:shd w:val="clear" w:color="auto" w:fill="auto"/>
            <w:noWrap/>
            <w:vAlign w:val="center"/>
          </w:tcPr>
          <w:p w14:paraId="7C16698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DB9B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677" w:type="dxa"/>
            <w:tcBorders>
              <w:top w:val="nil"/>
              <w:left w:val="nil"/>
              <w:bottom w:val="single" w:sz="4" w:space="0" w:color="auto"/>
              <w:right w:val="single" w:sz="4" w:space="0" w:color="auto"/>
            </w:tcBorders>
            <w:shd w:val="clear" w:color="auto" w:fill="auto"/>
            <w:noWrap/>
            <w:vAlign w:val="center"/>
          </w:tcPr>
          <w:p w14:paraId="3DECBC3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FD1A9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31F2F65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0E04FE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4865250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B4A89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29,808</w:t>
            </w:r>
          </w:p>
        </w:tc>
      </w:tr>
      <w:tr w:rsidR="00DC3636" w:rsidRPr="00205F5B" w14:paraId="3C9D4BE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7374D20"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F96A92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61E51A6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32F9A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7A118E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A45DC9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52D6CC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AB387F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4737E2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DBC325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7E494C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72BF68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66C7F9E"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765D0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CDB832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1C4420A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A56F3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1A7CAC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1AE0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B1ACF4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E8D7A5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49BC01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623F8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D10C6F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7AE57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9B5D75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B687FD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2FCC108"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458621A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C5E40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3C9AA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A46E6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12D60C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4E6A5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F551B1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EFD014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B268BA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C892D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097B2C1"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011DB0D"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80D440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4FF7DD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FCDF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A0E25B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CAD5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F6F286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66F1C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FA8A6D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4158C1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9ABAC6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A022D7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A9661AF"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6B1859C"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35F6FF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F5621D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5D95F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F4F028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2151D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A4E23C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BFBF1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111E25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62504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527240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99F2D3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E81CB1D"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62E541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A5C9DD8"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5E2036B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E0F79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87D45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E90D8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5B9CA2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38D955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9A6C32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9AAB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1BAED9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B3A815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329B27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459FAF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AFDB0F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17BE34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CA0C6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4BAD4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445EE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DF9AE6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A4107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71777E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606D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051EC0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1D77E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6EE77B2"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1B0F14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C24098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D8F56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EC51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AF6F8F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B921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C53613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5C4377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391BA6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8AA101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F38EF9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64B6F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669141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72A49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A20B57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3DE0E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D9DCD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8FA73B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36B34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C88D6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886C01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4837F5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3B89F0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CBA47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157F54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49716B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834566D"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AE4638C"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6CBC46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23B90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709" w:type="dxa"/>
            <w:tcBorders>
              <w:top w:val="nil"/>
              <w:left w:val="nil"/>
              <w:bottom w:val="single" w:sz="4" w:space="0" w:color="auto"/>
              <w:right w:val="single" w:sz="4" w:space="0" w:color="auto"/>
            </w:tcBorders>
            <w:shd w:val="clear" w:color="auto" w:fill="auto"/>
            <w:noWrap/>
            <w:vAlign w:val="center"/>
          </w:tcPr>
          <w:p w14:paraId="0219840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EAAA6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677" w:type="dxa"/>
            <w:tcBorders>
              <w:top w:val="nil"/>
              <w:left w:val="nil"/>
              <w:bottom w:val="single" w:sz="4" w:space="0" w:color="auto"/>
              <w:right w:val="single" w:sz="4" w:space="0" w:color="auto"/>
            </w:tcBorders>
            <w:shd w:val="clear" w:color="auto" w:fill="auto"/>
            <w:noWrap/>
            <w:vAlign w:val="center"/>
          </w:tcPr>
          <w:p w14:paraId="709906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989BAC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73D0060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E8496F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0FA104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F239EF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r>
      <w:tr w:rsidR="00DC3636" w:rsidRPr="00205F5B" w14:paraId="4544102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4F5D4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6BA046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294778D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F3F4B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709" w:type="dxa"/>
            <w:tcBorders>
              <w:top w:val="nil"/>
              <w:left w:val="nil"/>
              <w:bottom w:val="single" w:sz="4" w:space="0" w:color="auto"/>
              <w:right w:val="single" w:sz="4" w:space="0" w:color="auto"/>
            </w:tcBorders>
            <w:shd w:val="clear" w:color="auto" w:fill="auto"/>
            <w:noWrap/>
            <w:vAlign w:val="center"/>
          </w:tcPr>
          <w:p w14:paraId="6B00398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AB74C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677" w:type="dxa"/>
            <w:tcBorders>
              <w:top w:val="nil"/>
              <w:left w:val="nil"/>
              <w:bottom w:val="single" w:sz="4" w:space="0" w:color="auto"/>
              <w:right w:val="single" w:sz="4" w:space="0" w:color="auto"/>
            </w:tcBorders>
            <w:shd w:val="clear" w:color="auto" w:fill="auto"/>
            <w:noWrap/>
            <w:vAlign w:val="center"/>
          </w:tcPr>
          <w:p w14:paraId="06AB47C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3ECE56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6229578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710C7A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09C89FE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0AA03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29,063</w:t>
            </w:r>
          </w:p>
        </w:tc>
      </w:tr>
      <w:tr w:rsidR="00DC3636" w:rsidRPr="00205F5B" w14:paraId="49A06CE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2C302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D41659F"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10E469D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BD38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722916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430630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F53B1C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8D7D58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B27FC7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80CC88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D74D8F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6B3C52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4BB826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A7F733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67340B8"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3E86C0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2A0C47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C9D99D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2499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82400E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84384B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14768C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B8B5D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C86557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889ACE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004759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88734E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605BA0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24BE107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8A2CA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1DFB57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419C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61527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4A8E08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DB953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9C8671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828207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672752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190AE9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61FEC5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1BA67D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72ECA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09FC8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28F26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E71CF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D4F5CF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AE47C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1043AE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A540D0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583A0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5B5FBF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61C9B0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685B730"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2D15CF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4E94AB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E47BD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C70B3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99F35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F19674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C9C401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152E99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4D8848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161D34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0F29A7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73C316F"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2732BB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75FCCD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5143108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DDFE8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379978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AB792E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F8C695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8B2D16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F18343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98B72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3B6B5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36365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3E4AD12"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B414D4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33EBAD1"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2891C0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9FB49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BDF354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0BE8E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CF255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7CA1E6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FFD373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03B7AF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4E83A1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C09ED6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847387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D03E6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DF74F2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03A4AC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68D4C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3B875C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68BC4D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B0C1D2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AC6B3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3D417D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AA46FA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15CF30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5E4095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6E7F39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4E9ED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631C94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F034A5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4893A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755142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F4107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F2954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FA8963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198B61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A8D997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5447A3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F11549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312967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B779DB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6E9B352"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E911BC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E40DC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709" w:type="dxa"/>
            <w:tcBorders>
              <w:top w:val="nil"/>
              <w:left w:val="nil"/>
              <w:bottom w:val="single" w:sz="4" w:space="0" w:color="auto"/>
              <w:right w:val="single" w:sz="4" w:space="0" w:color="auto"/>
            </w:tcBorders>
            <w:shd w:val="clear" w:color="auto" w:fill="auto"/>
            <w:noWrap/>
            <w:vAlign w:val="center"/>
          </w:tcPr>
          <w:p w14:paraId="4AF0FBE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FDD09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677" w:type="dxa"/>
            <w:tcBorders>
              <w:top w:val="nil"/>
              <w:left w:val="nil"/>
              <w:bottom w:val="single" w:sz="4" w:space="0" w:color="auto"/>
              <w:right w:val="single" w:sz="4" w:space="0" w:color="auto"/>
            </w:tcBorders>
            <w:shd w:val="clear" w:color="auto" w:fill="auto"/>
            <w:noWrap/>
            <w:vAlign w:val="center"/>
          </w:tcPr>
          <w:p w14:paraId="3938501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064E8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7A3B636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3609CD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3C6DAFD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70056E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r>
      <w:tr w:rsidR="00DC3636" w:rsidRPr="00205F5B" w14:paraId="74061CF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B221B3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7A95E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7D563A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5C17D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709" w:type="dxa"/>
            <w:tcBorders>
              <w:top w:val="nil"/>
              <w:left w:val="nil"/>
              <w:bottom w:val="single" w:sz="4" w:space="0" w:color="auto"/>
              <w:right w:val="single" w:sz="4" w:space="0" w:color="auto"/>
            </w:tcBorders>
            <w:shd w:val="clear" w:color="auto" w:fill="auto"/>
            <w:noWrap/>
            <w:vAlign w:val="center"/>
          </w:tcPr>
          <w:p w14:paraId="480B72B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3CA7A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677" w:type="dxa"/>
            <w:tcBorders>
              <w:top w:val="nil"/>
              <w:left w:val="nil"/>
              <w:bottom w:val="single" w:sz="4" w:space="0" w:color="auto"/>
              <w:right w:val="single" w:sz="4" w:space="0" w:color="auto"/>
            </w:tcBorders>
            <w:shd w:val="clear" w:color="auto" w:fill="auto"/>
            <w:noWrap/>
            <w:vAlign w:val="center"/>
          </w:tcPr>
          <w:p w14:paraId="03F79A7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CED8C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5024256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5BC7CA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7B05B82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5777D1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39,496</w:t>
            </w:r>
          </w:p>
        </w:tc>
      </w:tr>
      <w:tr w:rsidR="00DC3636" w:rsidRPr="00205F5B" w14:paraId="26CBFA78"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99117A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E443974"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A5CF94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D4B08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83FAC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39CF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FC76A9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05063F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718D1E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E39617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A5CBDD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2EBB0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02A360E"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549AD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AC54BBA"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1DF6F0C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7F730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56BEB7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83528F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A718BC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10C61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30F0AB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31C0ED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673073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5E93F3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3FAD673"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E68AF9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12450E1"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93F7D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B45B2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91A111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0F112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511BE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4C8796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9E604C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8527ED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FD8E6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F1497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31C5A8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01EB1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9A3DD9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E78D1C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14BD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2A461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732C40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1968E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7D4057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BE3E09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2C83B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6C68C9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A0BD5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1FB3DD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1C9687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6B9C0B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7F23601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29EE8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2B0964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81BE1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B6751B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B620D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7167F4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51E3A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3A44FC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195FC4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19E12BB"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E7FBD4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58DA07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551D45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4AEE2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89F605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40453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DAC5E2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A575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EA825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3C3281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0E51ED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0DE0CC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C59EE94"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841517E"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CE04C8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43E3C2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3B93A9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40973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9EA5E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650097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78876B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94046A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1E3DA5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D3B719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C8102E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48B6B4D"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1226B5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07C148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632CAD4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FF563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59BD11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B0B63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74B66E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2B7564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E74C72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1088D8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029DED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156A88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CC8BB35"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A04E47"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7E7C373"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141DB7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8CF8A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92D41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84897B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3F1326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7277AF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0A58F7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7E202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3A5248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1783CF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6076DA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BC2BF6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936133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A8BC00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52BC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709" w:type="dxa"/>
            <w:tcBorders>
              <w:top w:val="nil"/>
              <w:left w:val="nil"/>
              <w:bottom w:val="single" w:sz="4" w:space="0" w:color="auto"/>
              <w:right w:val="single" w:sz="4" w:space="0" w:color="auto"/>
            </w:tcBorders>
            <w:shd w:val="clear" w:color="auto" w:fill="auto"/>
            <w:noWrap/>
            <w:vAlign w:val="center"/>
          </w:tcPr>
          <w:p w14:paraId="5712E94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8B25A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677" w:type="dxa"/>
            <w:tcBorders>
              <w:top w:val="nil"/>
              <w:left w:val="nil"/>
              <w:bottom w:val="single" w:sz="4" w:space="0" w:color="auto"/>
              <w:right w:val="single" w:sz="4" w:space="0" w:color="auto"/>
            </w:tcBorders>
            <w:shd w:val="clear" w:color="auto" w:fill="auto"/>
            <w:noWrap/>
            <w:vAlign w:val="center"/>
          </w:tcPr>
          <w:p w14:paraId="7431272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CB6E93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301CCC4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BD6751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4D5712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07650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r>
      <w:tr w:rsidR="00DC3636" w:rsidRPr="00205F5B" w14:paraId="167F338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0709B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70DA8F3"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52172D7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38417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709" w:type="dxa"/>
            <w:tcBorders>
              <w:top w:val="nil"/>
              <w:left w:val="nil"/>
              <w:bottom w:val="single" w:sz="4" w:space="0" w:color="auto"/>
              <w:right w:val="single" w:sz="4" w:space="0" w:color="auto"/>
            </w:tcBorders>
            <w:shd w:val="clear" w:color="auto" w:fill="auto"/>
            <w:noWrap/>
            <w:vAlign w:val="center"/>
          </w:tcPr>
          <w:p w14:paraId="2F34492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E7054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677" w:type="dxa"/>
            <w:tcBorders>
              <w:top w:val="nil"/>
              <w:left w:val="nil"/>
              <w:bottom w:val="single" w:sz="4" w:space="0" w:color="auto"/>
              <w:right w:val="single" w:sz="4" w:space="0" w:color="auto"/>
            </w:tcBorders>
            <w:shd w:val="clear" w:color="auto" w:fill="auto"/>
            <w:noWrap/>
            <w:vAlign w:val="center"/>
          </w:tcPr>
          <w:p w14:paraId="50C16F4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7D6900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6D60D80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74B685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62EDD0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85380C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16,726</w:t>
            </w:r>
          </w:p>
        </w:tc>
      </w:tr>
      <w:tr w:rsidR="00DC3636" w:rsidRPr="00205F5B" w14:paraId="79BCE72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8E8532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3C9DC59"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217277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D52A2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6285CA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774B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C856B7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79532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A77062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3341F5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1A2711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DA6E0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74EF56C"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FBA0F2"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65A5A8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034FB52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E45C9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AC045F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D4958B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1DE517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8E7C69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EB9E3C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63EB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058609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97E8F5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FCD9378"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B29F5C4"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3C64FA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9E9646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BE5F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750303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5668F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0050A5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C69AFA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D85490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50635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FFF145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7BBEF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03057802"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C9F37B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329282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CF5E3F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3844D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B6CEF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2EBD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D1BA92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935468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BDEE7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160562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7D4DF3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C8345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4CD087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3D995A9"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D4F18F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6E7D78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814A0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100FDE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1A46B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117974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1231A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2072DA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870428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5B5187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F78B53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AB04FD4"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CAEFB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C5AE638"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063EC8A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A4DED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D051FE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8A636F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B985FB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F9D37E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D76E19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4B8AEE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19A57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EEE654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6FB57B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8F3353B"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54E01A2"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0CA17E9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823F6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1C7E08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FDBA7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FE83B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B4470B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BA6206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F35371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78ECE2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C88CBB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35C04D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360B84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0899F55"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2AB2542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54031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0073A6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598D3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68A549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3DCCD4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8BBBFC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5B9553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06041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BD8485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A1401A7"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C32F17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9664D00"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4A4F2F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0A7C4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84F45C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34B8C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5A1DA8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4928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AB3518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C4A9A0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504DC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69B979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D9A73A7"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90568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8548AB4"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E59F96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C2A2D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709" w:type="dxa"/>
            <w:tcBorders>
              <w:top w:val="nil"/>
              <w:left w:val="nil"/>
              <w:bottom w:val="single" w:sz="4" w:space="0" w:color="auto"/>
              <w:right w:val="single" w:sz="4" w:space="0" w:color="auto"/>
            </w:tcBorders>
            <w:shd w:val="clear" w:color="auto" w:fill="auto"/>
            <w:noWrap/>
            <w:vAlign w:val="center"/>
          </w:tcPr>
          <w:p w14:paraId="71EED11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D7A91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677" w:type="dxa"/>
            <w:tcBorders>
              <w:top w:val="nil"/>
              <w:left w:val="nil"/>
              <w:bottom w:val="single" w:sz="4" w:space="0" w:color="auto"/>
              <w:right w:val="single" w:sz="4" w:space="0" w:color="auto"/>
            </w:tcBorders>
            <w:shd w:val="clear" w:color="auto" w:fill="auto"/>
            <w:noWrap/>
            <w:vAlign w:val="center"/>
          </w:tcPr>
          <w:p w14:paraId="797F5D8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33F37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320FD39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4359DB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37EFC54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470FCA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r>
      <w:tr w:rsidR="00DC3636" w:rsidRPr="00205F5B" w14:paraId="51CCBDD9"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953C2B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D61691B"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D09F1F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959E8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709" w:type="dxa"/>
            <w:tcBorders>
              <w:top w:val="nil"/>
              <w:left w:val="nil"/>
              <w:bottom w:val="single" w:sz="4" w:space="0" w:color="auto"/>
              <w:right w:val="single" w:sz="4" w:space="0" w:color="auto"/>
            </w:tcBorders>
            <w:shd w:val="clear" w:color="auto" w:fill="auto"/>
            <w:noWrap/>
            <w:vAlign w:val="center"/>
          </w:tcPr>
          <w:p w14:paraId="53EF614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72EE0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677" w:type="dxa"/>
            <w:tcBorders>
              <w:top w:val="nil"/>
              <w:left w:val="nil"/>
              <w:bottom w:val="single" w:sz="4" w:space="0" w:color="auto"/>
              <w:right w:val="single" w:sz="4" w:space="0" w:color="auto"/>
            </w:tcBorders>
            <w:shd w:val="clear" w:color="auto" w:fill="auto"/>
            <w:noWrap/>
            <w:vAlign w:val="center"/>
          </w:tcPr>
          <w:p w14:paraId="51216BB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A2E0CA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23A8D70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F4D4E3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73BEF37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8FFC3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12,503</w:t>
            </w:r>
          </w:p>
        </w:tc>
      </w:tr>
      <w:tr w:rsidR="00DC3636" w:rsidRPr="00205F5B" w14:paraId="35F74D2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69C1A41"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DA8031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18B23C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E9743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41D69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6A300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FC1AE5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44A6773"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56F557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B2E499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C8EDE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C5BB9E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C4DA001"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B57852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79C9EB6"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E8168B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9BCC1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4F249E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09126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D1304C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DAA411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78F2B0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A727D1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534C0A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3CEB6F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2487B84E"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9003FD3"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99D45FE"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7192C78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FEB22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068B0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0FFF6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2C6024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1528BA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6C3628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A884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BF2F4F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2AB667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592C38FA"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B65B96"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FE43567"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30E174D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4BBCA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89087F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BBCE4E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8A6213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546C9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9D7507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43612F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982306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2887CE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F1C7A6E"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092BC38"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84B6B4F"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3060B408"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E753D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D8792F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1E6C0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B23B91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47F773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90CB7F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F97F4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994A1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60E569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3C744B48"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291A1CF"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7F93F7D"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30058E9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3B9A7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A15A6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165B2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AB43F1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FE601E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5E3772C"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5FA9A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FD31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E6AA62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47D13C56"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478D655"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AC3582A"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731A229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ACF050"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18C0C9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CC13C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41EF2EF"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5AA58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A8CD25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76DD9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47708A"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BB55D84"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765FA168"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1048F9A"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705D10C"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6531ABD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9A92A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DF8DCF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41064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C9BC8CE"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F738B6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EB714E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0A8D355"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7C0245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13E195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66DC08E0"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DBFFB9B" w14:textId="77777777" w:rsidR="00DC3636" w:rsidRPr="000E1844" w:rsidRDefault="00DC3636" w:rsidP="00DC3636">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92447A4" w14:textId="77777777" w:rsidR="00DC3636" w:rsidRPr="000E1844" w:rsidRDefault="00DC3636" w:rsidP="00DC3636">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5FDD52B7"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BB2526"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E8D078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365E4DD"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709B592"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A87803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B4EF0E9"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E7CEB3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579AC1"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0D8C3CB" w14:textId="77777777" w:rsidR="00DC3636" w:rsidRPr="00DC3636" w:rsidRDefault="00DC3636" w:rsidP="00DC3636">
            <w:pPr>
              <w:ind w:left="0"/>
              <w:jc w:val="center"/>
              <w:rPr>
                <w:rFonts w:ascii="Bookman Old Style" w:hAnsi="Bookman Old Style"/>
                <w:color w:val="000000"/>
                <w:sz w:val="12"/>
                <w:szCs w:val="16"/>
              </w:rPr>
            </w:pPr>
            <w:r w:rsidRPr="00DC3636">
              <w:rPr>
                <w:rFonts w:ascii="Bookman Old Style" w:hAnsi="Bookman Old Style"/>
                <w:color w:val="000000"/>
                <w:sz w:val="12"/>
                <w:szCs w:val="16"/>
              </w:rPr>
              <w:t>-</w:t>
            </w:r>
          </w:p>
        </w:tc>
      </w:tr>
      <w:tr w:rsidR="00DC3636" w:rsidRPr="00205F5B" w14:paraId="1DC14514" w14:textId="77777777" w:rsidTr="00DC363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4D7A2E" w14:textId="77777777" w:rsidR="00DC3636" w:rsidRPr="00205F5B" w:rsidRDefault="00DC3636" w:rsidP="00DC363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1154F368" w14:textId="77777777" w:rsidR="00DC3636" w:rsidRPr="00205F5B" w:rsidRDefault="00DC3636" w:rsidP="00DC3636">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030A9535"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0ABD1D"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c>
          <w:tcPr>
            <w:tcW w:w="709" w:type="dxa"/>
            <w:tcBorders>
              <w:top w:val="nil"/>
              <w:left w:val="nil"/>
              <w:bottom w:val="single" w:sz="4" w:space="0" w:color="auto"/>
              <w:right w:val="single" w:sz="4" w:space="0" w:color="auto"/>
            </w:tcBorders>
            <w:shd w:val="clear" w:color="auto" w:fill="auto"/>
            <w:noWrap/>
            <w:vAlign w:val="center"/>
          </w:tcPr>
          <w:p w14:paraId="5F05D77B"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286145"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c>
          <w:tcPr>
            <w:tcW w:w="677" w:type="dxa"/>
            <w:tcBorders>
              <w:top w:val="nil"/>
              <w:left w:val="nil"/>
              <w:bottom w:val="single" w:sz="4" w:space="0" w:color="auto"/>
              <w:right w:val="single" w:sz="4" w:space="0" w:color="auto"/>
            </w:tcBorders>
            <w:shd w:val="clear" w:color="auto" w:fill="auto"/>
            <w:noWrap/>
            <w:vAlign w:val="center"/>
          </w:tcPr>
          <w:p w14:paraId="6E28A13B"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7BE365E"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c>
          <w:tcPr>
            <w:tcW w:w="612" w:type="dxa"/>
            <w:tcBorders>
              <w:top w:val="nil"/>
              <w:left w:val="nil"/>
              <w:bottom w:val="single" w:sz="4" w:space="0" w:color="auto"/>
              <w:right w:val="single" w:sz="4" w:space="0" w:color="auto"/>
            </w:tcBorders>
            <w:shd w:val="clear" w:color="auto" w:fill="auto"/>
            <w:noWrap/>
            <w:vAlign w:val="center"/>
          </w:tcPr>
          <w:p w14:paraId="47387736"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C421BE5"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c>
          <w:tcPr>
            <w:tcW w:w="586" w:type="dxa"/>
            <w:tcBorders>
              <w:top w:val="nil"/>
              <w:left w:val="nil"/>
              <w:bottom w:val="single" w:sz="4" w:space="0" w:color="auto"/>
              <w:right w:val="single" w:sz="4" w:space="0" w:color="auto"/>
            </w:tcBorders>
            <w:shd w:val="clear" w:color="auto" w:fill="auto"/>
            <w:noWrap/>
            <w:vAlign w:val="center"/>
          </w:tcPr>
          <w:p w14:paraId="6F3512C1"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21D6BE6" w14:textId="77777777" w:rsidR="00DC3636" w:rsidRPr="00DC3636" w:rsidRDefault="00DC3636" w:rsidP="00DC3636">
            <w:pPr>
              <w:ind w:left="0"/>
              <w:jc w:val="center"/>
              <w:rPr>
                <w:rFonts w:ascii="Bookman Old Style" w:hAnsi="Bookman Old Style"/>
                <w:b/>
                <w:bCs/>
                <w:color w:val="000000"/>
                <w:sz w:val="12"/>
                <w:szCs w:val="16"/>
              </w:rPr>
            </w:pPr>
            <w:r w:rsidRPr="00DC3636">
              <w:rPr>
                <w:rFonts w:ascii="Bookman Old Style" w:hAnsi="Bookman Old Style"/>
                <w:b/>
                <w:bCs/>
                <w:color w:val="000000"/>
                <w:sz w:val="12"/>
                <w:szCs w:val="16"/>
              </w:rPr>
              <w:t>127,596</w:t>
            </w:r>
          </w:p>
        </w:tc>
      </w:tr>
    </w:tbl>
    <w:p w14:paraId="1A83C0AC" w14:textId="77777777" w:rsidR="000E6D97" w:rsidRDefault="000E6D97" w:rsidP="000E6D97">
      <w:pPr>
        <w:widowControl w:val="0"/>
        <w:adjustRightInd w:val="0"/>
        <w:ind w:left="0"/>
        <w:jc w:val="center"/>
        <w:rPr>
          <w:rFonts w:ascii="Bookman Old Style" w:hAnsi="Bookman Old Style" w:cs="Arial"/>
          <w:b/>
        </w:rPr>
      </w:pPr>
    </w:p>
    <w:p w14:paraId="4B8346FF" w14:textId="77777777" w:rsidR="000E6D97" w:rsidRDefault="000E6D97" w:rsidP="000E6D97">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6D97" w:rsidRPr="00205F5B" w14:paraId="18A82749"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6478D8A"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20DA600"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0A610AF"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DDAFCBD"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51ED679"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B16A470"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EAF5DA4"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0E6D97" w:rsidRPr="00205F5B" w14:paraId="17AE1AF1"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5F7D2AC"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F59B7FA"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7FF39ABA"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3F83D884"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40161F0A"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BB1895E"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54EFA09B"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07F142C3"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4D9AEE42"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4BB33564"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351407E2"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5C7F38AD"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7901D1" w:rsidRPr="00205F5B" w14:paraId="0165D331"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D4C5E14" w14:textId="77777777" w:rsidR="007901D1" w:rsidRPr="000E1844" w:rsidRDefault="007901D1" w:rsidP="007901D1">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5C1E687" w14:textId="77777777" w:rsidR="007901D1" w:rsidRPr="000E1844" w:rsidRDefault="007901D1" w:rsidP="007901D1">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AB5AAE6" w14:textId="77777777" w:rsidR="007901D1" w:rsidRPr="007901D1" w:rsidRDefault="007901D1" w:rsidP="007901D1">
            <w:pPr>
              <w:ind w:left="0"/>
              <w:jc w:val="center"/>
              <w:rPr>
                <w:rFonts w:ascii="Bookman Old Style" w:hAnsi="Bookman Old Style"/>
                <w:color w:val="000000"/>
                <w:sz w:val="12"/>
                <w:szCs w:val="16"/>
                <w:lang w:val="es-CO" w:eastAsia="es-CO"/>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66A1BE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709" w:type="dxa"/>
            <w:tcBorders>
              <w:top w:val="nil"/>
              <w:left w:val="nil"/>
              <w:bottom w:val="single" w:sz="4" w:space="0" w:color="auto"/>
              <w:right w:val="single" w:sz="4" w:space="0" w:color="auto"/>
            </w:tcBorders>
            <w:shd w:val="clear" w:color="auto" w:fill="auto"/>
            <w:noWrap/>
            <w:vAlign w:val="center"/>
          </w:tcPr>
          <w:p w14:paraId="0FBE8CA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257FB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677" w:type="dxa"/>
            <w:tcBorders>
              <w:top w:val="nil"/>
              <w:left w:val="nil"/>
              <w:bottom w:val="single" w:sz="4" w:space="0" w:color="auto"/>
              <w:right w:val="single" w:sz="4" w:space="0" w:color="auto"/>
            </w:tcBorders>
            <w:shd w:val="clear" w:color="auto" w:fill="auto"/>
            <w:noWrap/>
            <w:vAlign w:val="center"/>
          </w:tcPr>
          <w:p w14:paraId="65A13BB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57BAF3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24FDE0D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A78EB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491AF0E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99983E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r>
      <w:tr w:rsidR="007901D1" w:rsidRPr="00205F5B" w14:paraId="0232953F"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A63C0F7"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FEE861F"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C9C0FA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1162F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709" w:type="dxa"/>
            <w:tcBorders>
              <w:top w:val="nil"/>
              <w:left w:val="nil"/>
              <w:bottom w:val="single" w:sz="4" w:space="0" w:color="auto"/>
              <w:right w:val="single" w:sz="4" w:space="0" w:color="auto"/>
            </w:tcBorders>
            <w:shd w:val="clear" w:color="auto" w:fill="auto"/>
            <w:noWrap/>
            <w:vAlign w:val="center"/>
          </w:tcPr>
          <w:p w14:paraId="780D994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BD4D6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677" w:type="dxa"/>
            <w:tcBorders>
              <w:top w:val="nil"/>
              <w:left w:val="nil"/>
              <w:bottom w:val="single" w:sz="4" w:space="0" w:color="auto"/>
              <w:right w:val="single" w:sz="4" w:space="0" w:color="auto"/>
            </w:tcBorders>
            <w:shd w:val="clear" w:color="auto" w:fill="auto"/>
            <w:noWrap/>
            <w:vAlign w:val="center"/>
          </w:tcPr>
          <w:p w14:paraId="454FF6F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7C2F7B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7DA5FCF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3E6BFF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265F229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ABF267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29,808</w:t>
            </w:r>
          </w:p>
        </w:tc>
      </w:tr>
      <w:tr w:rsidR="007901D1" w:rsidRPr="00205F5B" w14:paraId="7D01A6E7"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9943D58"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702404B"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C69809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677311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5A3327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D3194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D7CA44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B75DE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29A81E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C7513C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84122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BA66A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2E55B014"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36CE4A1"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38BBFF1"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34F570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CA25D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719BC4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5A066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5B57AB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E3250C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B52550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0960E1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7A6986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D31E61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52ABF90"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850C0B7"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CFDF0F7"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75120E5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BC2A6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DB4216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72B17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50F8A9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0445A3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9467D0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038199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33B776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B5F617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2660B308"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403CD07"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0DD7DF5"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4C35CF8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7668E3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46A86B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BEA67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E0525D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68926D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6A48E8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1FCAB4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542D12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F5DA3C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509C893"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C0F40C"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35F6EC4"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F29191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B4508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83698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74F36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BAAA4A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C7AE27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14F0CF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0B0D40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AC376F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7B710B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7AD44AA"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36085CB"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8F9A725"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7C8E0D9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ABF07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35997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4E458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3CDFBD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043895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9F818A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D6C74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3A7343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8A60B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229700DF"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D301515"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8A5B2FA"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47CFED7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D60DD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4DD53C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E5053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205E0B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68B200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257976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5596BB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285549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00A34C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2005C72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09314C"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9B50041"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2FD7C10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15673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7246C0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50852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B12419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66B8F9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7700A6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04C62B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D73068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0CD536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D625369"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B6CFA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8483BDD"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62D681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FF669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F10859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E151D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A0E4F9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211536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DB9DC7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E4B2AE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4B9B4D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35A61B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9DFB82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026BF0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97A7DBB"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B3625C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54420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709" w:type="dxa"/>
            <w:tcBorders>
              <w:top w:val="nil"/>
              <w:left w:val="nil"/>
              <w:bottom w:val="single" w:sz="4" w:space="0" w:color="auto"/>
              <w:right w:val="single" w:sz="4" w:space="0" w:color="auto"/>
            </w:tcBorders>
            <w:shd w:val="clear" w:color="auto" w:fill="auto"/>
            <w:noWrap/>
            <w:vAlign w:val="center"/>
          </w:tcPr>
          <w:p w14:paraId="6674B36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1308C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677" w:type="dxa"/>
            <w:tcBorders>
              <w:top w:val="nil"/>
              <w:left w:val="nil"/>
              <w:bottom w:val="single" w:sz="4" w:space="0" w:color="auto"/>
              <w:right w:val="single" w:sz="4" w:space="0" w:color="auto"/>
            </w:tcBorders>
            <w:shd w:val="clear" w:color="auto" w:fill="auto"/>
            <w:noWrap/>
            <w:vAlign w:val="center"/>
          </w:tcPr>
          <w:p w14:paraId="4344810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616AF0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1F447B7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140CC9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4DF4655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3E16B5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r>
      <w:tr w:rsidR="007901D1" w:rsidRPr="00205F5B" w14:paraId="06A912E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A992CE"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271B75C"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0F942C0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26AAA4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709" w:type="dxa"/>
            <w:tcBorders>
              <w:top w:val="nil"/>
              <w:left w:val="nil"/>
              <w:bottom w:val="single" w:sz="4" w:space="0" w:color="auto"/>
              <w:right w:val="single" w:sz="4" w:space="0" w:color="auto"/>
            </w:tcBorders>
            <w:shd w:val="clear" w:color="auto" w:fill="auto"/>
            <w:noWrap/>
            <w:vAlign w:val="center"/>
          </w:tcPr>
          <w:p w14:paraId="1113C23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0F3A1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677" w:type="dxa"/>
            <w:tcBorders>
              <w:top w:val="nil"/>
              <w:left w:val="nil"/>
              <w:bottom w:val="single" w:sz="4" w:space="0" w:color="auto"/>
              <w:right w:val="single" w:sz="4" w:space="0" w:color="auto"/>
            </w:tcBorders>
            <w:shd w:val="clear" w:color="auto" w:fill="auto"/>
            <w:noWrap/>
            <w:vAlign w:val="center"/>
          </w:tcPr>
          <w:p w14:paraId="6935147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4601B3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65FFCC1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1465FE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23DA2C4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3E1C0A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29,063</w:t>
            </w:r>
          </w:p>
        </w:tc>
      </w:tr>
      <w:tr w:rsidR="007901D1" w:rsidRPr="00205F5B" w14:paraId="03A02F49"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F47C76C"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FBA2BFD"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443653C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384B4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1AD1B7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0480D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CD0CB8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11C855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E34DE4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D4145E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239A8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CEB8D7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241FA5B"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42B77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1846589"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F37F96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68E7C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0915A3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3FF44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78A6BD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4588F4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47D145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8167D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879FCC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AE304F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B2B53B7"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82E363F"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FE3E9C7"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458C4E6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A9DBA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95D768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9819F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328F02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492A0D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8318F0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04801F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5802A1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DB612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75DEF830"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374396"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B289C7F"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0008872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35ED4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9DBF41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30DCA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B8E67A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2C7D1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C6BC9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D3D7DF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B1549E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AC154C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9020290"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E440BA"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093D9A4"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631139A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DD83A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B114CA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B777F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68226E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A1A720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394B9A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BA2158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421A7A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A2A6F7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53BAA53"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D293736"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137F7D8"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0B2C028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69754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2C4A07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4C211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F9E238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0C4F5E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F19E02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EB8239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93A03F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1B7DA3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78BB1648"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D022864"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6D44FEF"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6A0B41D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EAA46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0B223E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18A4B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5730E9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A038D1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548D48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60EB7E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DB1155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D8CAC4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9034981"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C52C237"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DF18DC6"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6D8BDF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FBBEA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CE39C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8A6B3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6400F8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2A13D4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EB8E1A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5B6809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570EE1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869AC4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3C60A570"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E27C3AA"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68A1685"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A8EA3E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33194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C5EA24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832DB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47DB5B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B157C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F81DB9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3D114D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718E9F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1D4D0F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3A3565A"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2B78523"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57B8C8C"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5FCBA1D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0D6E4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709" w:type="dxa"/>
            <w:tcBorders>
              <w:top w:val="nil"/>
              <w:left w:val="nil"/>
              <w:bottom w:val="single" w:sz="4" w:space="0" w:color="auto"/>
              <w:right w:val="single" w:sz="4" w:space="0" w:color="auto"/>
            </w:tcBorders>
            <w:shd w:val="clear" w:color="auto" w:fill="auto"/>
            <w:noWrap/>
            <w:vAlign w:val="center"/>
          </w:tcPr>
          <w:p w14:paraId="784D8A1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B67EF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677" w:type="dxa"/>
            <w:tcBorders>
              <w:top w:val="nil"/>
              <w:left w:val="nil"/>
              <w:bottom w:val="single" w:sz="4" w:space="0" w:color="auto"/>
              <w:right w:val="single" w:sz="4" w:space="0" w:color="auto"/>
            </w:tcBorders>
            <w:shd w:val="clear" w:color="auto" w:fill="auto"/>
            <w:noWrap/>
            <w:vAlign w:val="center"/>
          </w:tcPr>
          <w:p w14:paraId="613102E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049FEF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21C7EEE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E25CAB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5ADEDFC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33B43C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r>
      <w:tr w:rsidR="007901D1" w:rsidRPr="00205F5B" w14:paraId="1E4F9E1F"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C346B40"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20344B2"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026F67B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E98AB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709" w:type="dxa"/>
            <w:tcBorders>
              <w:top w:val="nil"/>
              <w:left w:val="nil"/>
              <w:bottom w:val="single" w:sz="4" w:space="0" w:color="auto"/>
              <w:right w:val="single" w:sz="4" w:space="0" w:color="auto"/>
            </w:tcBorders>
            <w:shd w:val="clear" w:color="auto" w:fill="auto"/>
            <w:noWrap/>
            <w:vAlign w:val="center"/>
          </w:tcPr>
          <w:p w14:paraId="487AE4F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AEFD2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677" w:type="dxa"/>
            <w:tcBorders>
              <w:top w:val="nil"/>
              <w:left w:val="nil"/>
              <w:bottom w:val="single" w:sz="4" w:space="0" w:color="auto"/>
              <w:right w:val="single" w:sz="4" w:space="0" w:color="auto"/>
            </w:tcBorders>
            <w:shd w:val="clear" w:color="auto" w:fill="auto"/>
            <w:noWrap/>
            <w:vAlign w:val="center"/>
          </w:tcPr>
          <w:p w14:paraId="2D33013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C23D0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6EAAEE4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E85273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453E2CA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D436A3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39,496</w:t>
            </w:r>
          </w:p>
        </w:tc>
      </w:tr>
      <w:tr w:rsidR="007901D1" w:rsidRPr="00205F5B" w14:paraId="338A4E50"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F71DDC1"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E5534CA"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5D7170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79A515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62E3CA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D8F32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BF448D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59BA37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EDA147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F511BE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5A98AD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3F82D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30DD4242"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BEB2A5A"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7C4AFFC"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7FA048F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1BED3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1684DE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8107C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614695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819CE5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10F135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A64C73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73A888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B957CA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4EAB041"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439B0B"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39FD042"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650556F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E5CCD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2EF69A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B4416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F3E905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E345E2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A0CE45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BA1E10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C43E07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30794F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4E67E4F6"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A78965D"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F2D5C15"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A32537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B9D5A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46291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A2D41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EAE1D9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8B1F10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D78D58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FA4DED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3065B9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5F4763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290A1783"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2C78810"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BBB875C"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4449B1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FE4A1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6E6AC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02C36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410582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13DB6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ED5514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89B7CC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00F181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E1CFC5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7C1F72EB"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334B803"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8840024"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B062FA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5E406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5DA88F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C6214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AF6C88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877BDE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4BE39F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0C27EC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086DED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120385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1D1DB03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D889C7A"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CE7DEF1"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4660AF9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3D579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A5577D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E28FD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DB4781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F6F7CB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310769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9A226D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B9EC5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3AC895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8D7FE59"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FEE1A4"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B22FD03"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18512AE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E8302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28BCCD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83D2B9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DBE2C9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3C0F2D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C303FF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212291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DBE384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5820A7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36FAB9C"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1457FFC"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24BD6B8"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279012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2ED4E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AAA1BD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FB4FB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62CF67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5F72F4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6DDBC0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382BDA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B234C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9F042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D1EC227"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E1725CF"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9126180"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133232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1D9274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709" w:type="dxa"/>
            <w:tcBorders>
              <w:top w:val="nil"/>
              <w:left w:val="nil"/>
              <w:bottom w:val="single" w:sz="4" w:space="0" w:color="auto"/>
              <w:right w:val="single" w:sz="4" w:space="0" w:color="auto"/>
            </w:tcBorders>
            <w:shd w:val="clear" w:color="auto" w:fill="auto"/>
            <w:noWrap/>
            <w:vAlign w:val="center"/>
          </w:tcPr>
          <w:p w14:paraId="42C39B0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1FB1D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677" w:type="dxa"/>
            <w:tcBorders>
              <w:top w:val="nil"/>
              <w:left w:val="nil"/>
              <w:bottom w:val="single" w:sz="4" w:space="0" w:color="auto"/>
              <w:right w:val="single" w:sz="4" w:space="0" w:color="auto"/>
            </w:tcBorders>
            <w:shd w:val="clear" w:color="auto" w:fill="auto"/>
            <w:noWrap/>
            <w:vAlign w:val="center"/>
          </w:tcPr>
          <w:p w14:paraId="0BF64B7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2B9DD3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2F68375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1EB19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50908B5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43E17A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r>
      <w:tr w:rsidR="007901D1" w:rsidRPr="00205F5B" w14:paraId="3E24F050"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00B3380"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8C38D8A"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119D16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8265C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709" w:type="dxa"/>
            <w:tcBorders>
              <w:top w:val="nil"/>
              <w:left w:val="nil"/>
              <w:bottom w:val="single" w:sz="4" w:space="0" w:color="auto"/>
              <w:right w:val="single" w:sz="4" w:space="0" w:color="auto"/>
            </w:tcBorders>
            <w:shd w:val="clear" w:color="auto" w:fill="auto"/>
            <w:noWrap/>
            <w:vAlign w:val="center"/>
          </w:tcPr>
          <w:p w14:paraId="43887B6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F424D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677" w:type="dxa"/>
            <w:tcBorders>
              <w:top w:val="nil"/>
              <w:left w:val="nil"/>
              <w:bottom w:val="single" w:sz="4" w:space="0" w:color="auto"/>
              <w:right w:val="single" w:sz="4" w:space="0" w:color="auto"/>
            </w:tcBorders>
            <w:shd w:val="clear" w:color="auto" w:fill="auto"/>
            <w:noWrap/>
            <w:vAlign w:val="center"/>
          </w:tcPr>
          <w:p w14:paraId="623746C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A3B40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0C3E926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782C6F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4F18CEB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5C0526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16,726</w:t>
            </w:r>
          </w:p>
        </w:tc>
      </w:tr>
      <w:tr w:rsidR="007901D1" w:rsidRPr="00205F5B" w14:paraId="23671F92"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A23F2D3"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0274040"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CD8A88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C6DFC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E836B6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BBF1E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F3D3B6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B1CFFF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9471E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3E1CC1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85E36F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16E66B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74E46F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32FA8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CC1183B"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06CB627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8CDFD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E753EC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2F6778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453DC4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0360A5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436E20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889F22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F1B59D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7529C9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131C9C84"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1063498"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61C9F83"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6320147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BE1C0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847247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4EF23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BAE69D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D202D3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6742A7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18EF97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50628D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858D62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5008DBE"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BAD4194"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0B9AB7F"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DF5141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10478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1945D5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CE541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D7BA1C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AFA69C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3B97F6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E59EA3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A7AF84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A9298E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147D150F"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4A71DE"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FFEFBD6"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40FFE5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9CF40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44BB83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E78A3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8AF726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DC5637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8868C7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C7E48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B9728C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104E97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299332D4"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D9D94FA"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168FAF6"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7370756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55AA1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D6A358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E935BD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637605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577882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5B0046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A4FBF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0622C4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14AB1C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5F0278E"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F11BB7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650CDE2"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4F7218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CEA9C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E5376A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FAE1B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DB1300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18C1F2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7943E9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D31E06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D7A961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2DC3BD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BC3AF74"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92A4FDF"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746FD51"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79710E6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434B2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DA6219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64116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EFB5B9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BF58B9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5F8201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AF46AE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DB5D12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3255F3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6F39E10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D2EDE7D"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A1A4A3D"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D9EBE0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EE0C4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0590C7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408F9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ED27E6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C49409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13FB9A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4C1D23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AAAA20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F16F82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2EEB1FE"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7BB27A"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67AA473"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7A03971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C8E40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709" w:type="dxa"/>
            <w:tcBorders>
              <w:top w:val="nil"/>
              <w:left w:val="nil"/>
              <w:bottom w:val="single" w:sz="4" w:space="0" w:color="auto"/>
              <w:right w:val="single" w:sz="4" w:space="0" w:color="auto"/>
            </w:tcBorders>
            <w:shd w:val="clear" w:color="auto" w:fill="auto"/>
            <w:noWrap/>
            <w:vAlign w:val="center"/>
          </w:tcPr>
          <w:p w14:paraId="13E0350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5E798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677" w:type="dxa"/>
            <w:tcBorders>
              <w:top w:val="nil"/>
              <w:left w:val="nil"/>
              <w:bottom w:val="single" w:sz="4" w:space="0" w:color="auto"/>
              <w:right w:val="single" w:sz="4" w:space="0" w:color="auto"/>
            </w:tcBorders>
            <w:shd w:val="clear" w:color="auto" w:fill="auto"/>
            <w:noWrap/>
            <w:vAlign w:val="center"/>
          </w:tcPr>
          <w:p w14:paraId="1269D85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19C307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5FFCBA1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7C1BA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1D3D174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BB1E6C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r>
      <w:tr w:rsidR="007901D1" w:rsidRPr="00205F5B" w14:paraId="423EF83E"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A2F0703"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92CB83D"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3A4C4D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204D4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709" w:type="dxa"/>
            <w:tcBorders>
              <w:top w:val="nil"/>
              <w:left w:val="nil"/>
              <w:bottom w:val="single" w:sz="4" w:space="0" w:color="auto"/>
              <w:right w:val="single" w:sz="4" w:space="0" w:color="auto"/>
            </w:tcBorders>
            <w:shd w:val="clear" w:color="auto" w:fill="auto"/>
            <w:noWrap/>
            <w:vAlign w:val="center"/>
          </w:tcPr>
          <w:p w14:paraId="4941D9E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51AB2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677" w:type="dxa"/>
            <w:tcBorders>
              <w:top w:val="nil"/>
              <w:left w:val="nil"/>
              <w:bottom w:val="single" w:sz="4" w:space="0" w:color="auto"/>
              <w:right w:val="single" w:sz="4" w:space="0" w:color="auto"/>
            </w:tcBorders>
            <w:shd w:val="clear" w:color="auto" w:fill="auto"/>
            <w:noWrap/>
            <w:vAlign w:val="center"/>
          </w:tcPr>
          <w:p w14:paraId="1E205D3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AA4399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6941CA9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C06DFC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4EC46B2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04E988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12,503</w:t>
            </w:r>
          </w:p>
        </w:tc>
      </w:tr>
      <w:tr w:rsidR="007901D1" w:rsidRPr="00205F5B" w14:paraId="6D68DF18"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4C6440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52BC044"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A7BCBB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A44061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EAAD14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2ACB8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6D00D1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692BA3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5FDC24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3137E9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DEBCA9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9C88A2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3A40F37D"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B438F42"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9DBB46A"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1CA50D7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02689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E736B4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E8723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C739C5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A42DF6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282164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39CF51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7722FD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2A3354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3581C4C6"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8C9C971"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041D563"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18A3E89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1DE5F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D0BB55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3842B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A6523B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51872F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5FEF96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1B3649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A271C8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97EEE1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9629F56"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E66AB88"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3CF64CF"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65B425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0C3DE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EB0636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E2F42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0BD9F2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8EDE4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4F123A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1F2894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08A269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EF6493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55FB632"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78796EF"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7B62FDB"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5356C70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1DB1D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53CEA62"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F8AAE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AC1896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DC12FD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75491B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66C7B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086DB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A6665E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DDCBFF5"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3DD51E3"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C9B545F"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0E00915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6D54FE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0668CA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2EF70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9C793E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81A40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07DEF8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A5B62E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EEE866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A7A7C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42459142"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8BCF03E"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3597D5A"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B2A9ED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1D74D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17BC1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9868DE"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4FBFFA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28BEFB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D77A92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A11211"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83EC1EF"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AA2CAA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5424B601"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E25EFB"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4627A07"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0F05D4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3630A7"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9F52653"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CC05B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A03DC8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12EFBFB"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285B21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E0DD10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318EDF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E6E9A5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011D7399"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F672480" w14:textId="77777777" w:rsidR="007901D1" w:rsidRPr="000E1844" w:rsidRDefault="007901D1" w:rsidP="007901D1">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2EFF7B3" w14:textId="77777777" w:rsidR="007901D1" w:rsidRPr="000E1844" w:rsidRDefault="007901D1" w:rsidP="007901D1">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5AFE6684"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AFC3A5"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DF18E26"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E70F5D"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945282C"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22DB1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D3C5A58"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F62E360"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FB981A9"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AB01B8A" w14:textId="77777777" w:rsidR="007901D1" w:rsidRPr="007901D1" w:rsidRDefault="007901D1" w:rsidP="007901D1">
            <w:pPr>
              <w:ind w:left="0"/>
              <w:jc w:val="center"/>
              <w:rPr>
                <w:rFonts w:ascii="Bookman Old Style" w:hAnsi="Bookman Old Style"/>
                <w:color w:val="000000"/>
                <w:sz w:val="12"/>
                <w:szCs w:val="16"/>
              </w:rPr>
            </w:pPr>
            <w:r w:rsidRPr="007901D1">
              <w:rPr>
                <w:rFonts w:ascii="Bookman Old Style" w:hAnsi="Bookman Old Style"/>
                <w:color w:val="000000"/>
                <w:sz w:val="12"/>
                <w:szCs w:val="16"/>
              </w:rPr>
              <w:t>-</w:t>
            </w:r>
          </w:p>
        </w:tc>
      </w:tr>
      <w:tr w:rsidR="007901D1" w:rsidRPr="00205F5B" w14:paraId="14BAA7C7" w14:textId="77777777" w:rsidTr="007901D1">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E86EBA" w14:textId="77777777" w:rsidR="007901D1" w:rsidRPr="00205F5B" w:rsidRDefault="007901D1" w:rsidP="007901D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2CECAD9D" w14:textId="77777777" w:rsidR="007901D1" w:rsidRPr="00205F5B" w:rsidRDefault="007901D1" w:rsidP="007901D1">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0ECD2F63"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9FAA26"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127,596</w:t>
            </w:r>
          </w:p>
        </w:tc>
        <w:tc>
          <w:tcPr>
            <w:tcW w:w="709" w:type="dxa"/>
            <w:tcBorders>
              <w:top w:val="nil"/>
              <w:left w:val="nil"/>
              <w:bottom w:val="single" w:sz="4" w:space="0" w:color="auto"/>
              <w:right w:val="single" w:sz="4" w:space="0" w:color="auto"/>
            </w:tcBorders>
            <w:shd w:val="clear" w:color="auto" w:fill="auto"/>
            <w:noWrap/>
            <w:vAlign w:val="center"/>
          </w:tcPr>
          <w:p w14:paraId="384F750F"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B4A80A9"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127,596</w:t>
            </w:r>
          </w:p>
        </w:tc>
        <w:tc>
          <w:tcPr>
            <w:tcW w:w="677" w:type="dxa"/>
            <w:tcBorders>
              <w:top w:val="nil"/>
              <w:left w:val="nil"/>
              <w:bottom w:val="single" w:sz="4" w:space="0" w:color="auto"/>
              <w:right w:val="single" w:sz="4" w:space="0" w:color="auto"/>
            </w:tcBorders>
            <w:shd w:val="clear" w:color="auto" w:fill="auto"/>
            <w:noWrap/>
            <w:vAlign w:val="center"/>
          </w:tcPr>
          <w:p w14:paraId="5436C6C8"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474DC5E"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127,596</w:t>
            </w:r>
          </w:p>
        </w:tc>
        <w:tc>
          <w:tcPr>
            <w:tcW w:w="612" w:type="dxa"/>
            <w:tcBorders>
              <w:top w:val="nil"/>
              <w:left w:val="nil"/>
              <w:bottom w:val="single" w:sz="4" w:space="0" w:color="auto"/>
              <w:right w:val="single" w:sz="4" w:space="0" w:color="auto"/>
            </w:tcBorders>
            <w:shd w:val="clear" w:color="auto" w:fill="auto"/>
            <w:noWrap/>
            <w:vAlign w:val="center"/>
          </w:tcPr>
          <w:p w14:paraId="2236E9B4"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FB052EB"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127,596</w:t>
            </w:r>
          </w:p>
        </w:tc>
        <w:tc>
          <w:tcPr>
            <w:tcW w:w="586" w:type="dxa"/>
            <w:tcBorders>
              <w:top w:val="nil"/>
              <w:left w:val="nil"/>
              <w:bottom w:val="single" w:sz="4" w:space="0" w:color="auto"/>
              <w:right w:val="single" w:sz="4" w:space="0" w:color="auto"/>
            </w:tcBorders>
            <w:shd w:val="clear" w:color="auto" w:fill="auto"/>
            <w:noWrap/>
            <w:vAlign w:val="center"/>
          </w:tcPr>
          <w:p w14:paraId="1A69C183"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63184A5" w14:textId="77777777" w:rsidR="007901D1" w:rsidRPr="007901D1" w:rsidRDefault="007901D1" w:rsidP="007901D1">
            <w:pPr>
              <w:ind w:left="0"/>
              <w:jc w:val="center"/>
              <w:rPr>
                <w:rFonts w:ascii="Bookman Old Style" w:hAnsi="Bookman Old Style"/>
                <w:b/>
                <w:bCs/>
                <w:color w:val="000000"/>
                <w:sz w:val="12"/>
                <w:szCs w:val="16"/>
              </w:rPr>
            </w:pPr>
            <w:r w:rsidRPr="007901D1">
              <w:rPr>
                <w:rFonts w:ascii="Bookman Old Style" w:hAnsi="Bookman Old Style"/>
                <w:b/>
                <w:bCs/>
                <w:color w:val="000000"/>
                <w:sz w:val="12"/>
                <w:szCs w:val="16"/>
              </w:rPr>
              <w:t>127,596</w:t>
            </w:r>
          </w:p>
        </w:tc>
      </w:tr>
    </w:tbl>
    <w:p w14:paraId="57C33E1B" w14:textId="77777777" w:rsidR="000E6D97" w:rsidRDefault="000E6D97" w:rsidP="000E6D97">
      <w:pPr>
        <w:widowControl w:val="0"/>
        <w:adjustRightInd w:val="0"/>
        <w:ind w:left="0"/>
        <w:jc w:val="center"/>
        <w:rPr>
          <w:rFonts w:ascii="Bookman Old Style" w:hAnsi="Bookman Old Style" w:cs="Arial"/>
          <w:b/>
          <w:sz w:val="20"/>
        </w:rPr>
      </w:pPr>
    </w:p>
    <w:p w14:paraId="78327037" w14:textId="77777777" w:rsidR="000E6D97" w:rsidRDefault="000E6D97" w:rsidP="000E6D97">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6D97" w:rsidRPr="00205F5B" w14:paraId="608209CB" w14:textId="77777777" w:rsidTr="00803CE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207E916"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485DB9D"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E470215"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527B69E"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F95C72E"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0070C3F"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96DB33D" w14:textId="77777777" w:rsidR="000E6D97" w:rsidRPr="00205F5B" w:rsidRDefault="000E6D97" w:rsidP="00803CE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0E6D97" w:rsidRPr="00205F5B" w14:paraId="43833A3D" w14:textId="77777777" w:rsidTr="00803CE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7BE9A64"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635F2E0" w14:textId="77777777" w:rsidR="000E6D97" w:rsidRPr="00205F5B" w:rsidRDefault="000E6D97" w:rsidP="00803CE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3EB361A7"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02B61B30"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1F3DB9E9"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1E11DF57"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2EB1BFDC"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741A17B0"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280BA0B1"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6120738D"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34FDCC7A"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079A3F83" w14:textId="77777777" w:rsidR="000E6D97" w:rsidRPr="00A83C4B" w:rsidRDefault="000E6D97" w:rsidP="00803CE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A7EF0" w:rsidRPr="00205F5B" w14:paraId="2F47F093"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C5E121A" w14:textId="77777777" w:rsidR="00FA7EF0" w:rsidRPr="000E1844" w:rsidRDefault="00FA7EF0" w:rsidP="00FA7EF0">
            <w:pPr>
              <w:ind w:left="0"/>
              <w:jc w:val="center"/>
              <w:rPr>
                <w:rFonts w:ascii="Bookman Old Style" w:hAnsi="Bookman Old Style"/>
                <w:color w:val="000000"/>
                <w:sz w:val="12"/>
                <w:szCs w:val="16"/>
                <w:lang w:val="es-CO" w:eastAsia="es-CO"/>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5FE91E0D" w14:textId="77777777" w:rsidR="00FA7EF0" w:rsidRPr="000E1844" w:rsidRDefault="00FA7EF0" w:rsidP="00FA7EF0">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D32B1D1" w14:textId="77777777" w:rsidR="00FA7EF0" w:rsidRPr="00FA7EF0" w:rsidRDefault="00FA7EF0" w:rsidP="00FA7EF0">
            <w:pPr>
              <w:ind w:left="-32"/>
              <w:jc w:val="center"/>
              <w:rPr>
                <w:rFonts w:ascii="Bookman Old Style" w:hAnsi="Bookman Old Style"/>
                <w:color w:val="000000"/>
                <w:sz w:val="12"/>
                <w:szCs w:val="16"/>
                <w:lang w:val="es-CO" w:eastAsia="es-CO"/>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DC514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709" w:type="dxa"/>
            <w:tcBorders>
              <w:top w:val="nil"/>
              <w:left w:val="nil"/>
              <w:bottom w:val="single" w:sz="4" w:space="0" w:color="auto"/>
              <w:right w:val="single" w:sz="4" w:space="0" w:color="auto"/>
            </w:tcBorders>
            <w:shd w:val="clear" w:color="auto" w:fill="auto"/>
            <w:noWrap/>
            <w:vAlign w:val="center"/>
          </w:tcPr>
          <w:p w14:paraId="5B26ED0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F60167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677" w:type="dxa"/>
            <w:tcBorders>
              <w:top w:val="nil"/>
              <w:left w:val="nil"/>
              <w:bottom w:val="single" w:sz="4" w:space="0" w:color="auto"/>
              <w:right w:val="single" w:sz="4" w:space="0" w:color="auto"/>
            </w:tcBorders>
            <w:shd w:val="clear" w:color="auto" w:fill="auto"/>
            <w:noWrap/>
            <w:vAlign w:val="center"/>
          </w:tcPr>
          <w:p w14:paraId="244A7C7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894D14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602E06B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0C42D2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61047A5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3D5772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r>
      <w:tr w:rsidR="00FA7EF0" w:rsidRPr="00205F5B" w14:paraId="25996028"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5E50B18"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EE793CC"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51DF18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C7514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709" w:type="dxa"/>
            <w:tcBorders>
              <w:top w:val="nil"/>
              <w:left w:val="nil"/>
              <w:bottom w:val="single" w:sz="4" w:space="0" w:color="auto"/>
              <w:right w:val="single" w:sz="4" w:space="0" w:color="auto"/>
            </w:tcBorders>
            <w:shd w:val="clear" w:color="auto" w:fill="auto"/>
            <w:noWrap/>
            <w:vAlign w:val="center"/>
          </w:tcPr>
          <w:p w14:paraId="018537E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BF6EF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677" w:type="dxa"/>
            <w:tcBorders>
              <w:top w:val="nil"/>
              <w:left w:val="nil"/>
              <w:bottom w:val="single" w:sz="4" w:space="0" w:color="auto"/>
              <w:right w:val="single" w:sz="4" w:space="0" w:color="auto"/>
            </w:tcBorders>
            <w:shd w:val="clear" w:color="auto" w:fill="auto"/>
            <w:noWrap/>
            <w:vAlign w:val="center"/>
          </w:tcPr>
          <w:p w14:paraId="4110DAD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EA838B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612" w:type="dxa"/>
            <w:tcBorders>
              <w:top w:val="nil"/>
              <w:left w:val="nil"/>
              <w:bottom w:val="single" w:sz="4" w:space="0" w:color="auto"/>
              <w:right w:val="single" w:sz="4" w:space="0" w:color="auto"/>
            </w:tcBorders>
            <w:shd w:val="clear" w:color="auto" w:fill="auto"/>
            <w:noWrap/>
            <w:vAlign w:val="center"/>
          </w:tcPr>
          <w:p w14:paraId="56943FF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67844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c>
          <w:tcPr>
            <w:tcW w:w="586" w:type="dxa"/>
            <w:tcBorders>
              <w:top w:val="nil"/>
              <w:left w:val="nil"/>
              <w:bottom w:val="single" w:sz="4" w:space="0" w:color="auto"/>
              <w:right w:val="single" w:sz="4" w:space="0" w:color="auto"/>
            </w:tcBorders>
            <w:shd w:val="clear" w:color="auto" w:fill="auto"/>
            <w:noWrap/>
            <w:vAlign w:val="center"/>
          </w:tcPr>
          <w:p w14:paraId="6E4AA0E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00BF3E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29,808</w:t>
            </w:r>
          </w:p>
        </w:tc>
      </w:tr>
      <w:tr w:rsidR="00FA7EF0" w:rsidRPr="00205F5B" w14:paraId="3D2CC959"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80A939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8CC85AF"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9315A2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5C39E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E25FB2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220F5D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583F78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2BB8EE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066B2E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EEA00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2133B3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6D38F4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79746188"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352F6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568549D"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E82EEE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1465B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98F0E1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1CAF2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778050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2655DD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5CDF6D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982977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1F9FE3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E9A1DC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6A79A3E8"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0CE9852"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0B62349"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3674626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F0590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493717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742CC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EE7C77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CDCA21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741F44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8448DE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903948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966DEA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7B2FAD3"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791EE4C"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46FAC7C"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1B38C07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3CE15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99D71F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2AD75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E941C0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3049A0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294E13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49003E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3F34D8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7F1F0E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A1AF19C"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4D39A3"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65A8D28B"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8A1FE6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A9A27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BC9878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61A5B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61ECBC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7D300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BA8F52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BD1CD3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ABB382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B65592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8954924"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B3B47B"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71F9F1B"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327D98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CFE5B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AD15C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29E51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5465CC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76110D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1CFA87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67F15C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4735BD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89649A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7C49C1E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223B503"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EE3D9C8"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76268F2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04E65D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A5DC6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805E39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4F9E9B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2879F4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7F5DDB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E48033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BB0E66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C8383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34734CED"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49FC67B"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708E2C54"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194795F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A50091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B7A206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73925B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667EC3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BDCD50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1E6A8A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8E18AA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F90FD0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848305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12CE0D9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5AF95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Jaraquiel-</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B1C3EE5"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5A5AB2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A51BA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2330A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0F810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6D54F5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050C09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4F9962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603526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87E192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896F8A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4310DBC0"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EB2090"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84CE039"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842AF1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44E58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709" w:type="dxa"/>
            <w:tcBorders>
              <w:top w:val="nil"/>
              <w:left w:val="nil"/>
              <w:bottom w:val="single" w:sz="4" w:space="0" w:color="auto"/>
              <w:right w:val="single" w:sz="4" w:space="0" w:color="auto"/>
            </w:tcBorders>
            <w:shd w:val="clear" w:color="auto" w:fill="auto"/>
            <w:noWrap/>
            <w:vAlign w:val="center"/>
          </w:tcPr>
          <w:p w14:paraId="6B25EE1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2AD85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677" w:type="dxa"/>
            <w:tcBorders>
              <w:top w:val="nil"/>
              <w:left w:val="nil"/>
              <w:bottom w:val="single" w:sz="4" w:space="0" w:color="auto"/>
              <w:right w:val="single" w:sz="4" w:space="0" w:color="auto"/>
            </w:tcBorders>
            <w:shd w:val="clear" w:color="auto" w:fill="auto"/>
            <w:noWrap/>
            <w:vAlign w:val="center"/>
          </w:tcPr>
          <w:p w14:paraId="6BBA7D9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C71BB1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622421A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F2CB11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109328A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88C8D2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r>
      <w:tr w:rsidR="00FA7EF0" w:rsidRPr="00205F5B" w14:paraId="634B9B9D"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8CB3DDF"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28118E26"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486FE4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D5C5A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709" w:type="dxa"/>
            <w:tcBorders>
              <w:top w:val="nil"/>
              <w:left w:val="nil"/>
              <w:bottom w:val="single" w:sz="4" w:space="0" w:color="auto"/>
              <w:right w:val="single" w:sz="4" w:space="0" w:color="auto"/>
            </w:tcBorders>
            <w:shd w:val="clear" w:color="auto" w:fill="auto"/>
            <w:noWrap/>
            <w:vAlign w:val="center"/>
          </w:tcPr>
          <w:p w14:paraId="690C8C0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64EC1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677" w:type="dxa"/>
            <w:tcBorders>
              <w:top w:val="nil"/>
              <w:left w:val="nil"/>
              <w:bottom w:val="single" w:sz="4" w:space="0" w:color="auto"/>
              <w:right w:val="single" w:sz="4" w:space="0" w:color="auto"/>
            </w:tcBorders>
            <w:shd w:val="clear" w:color="auto" w:fill="auto"/>
            <w:noWrap/>
            <w:vAlign w:val="center"/>
          </w:tcPr>
          <w:p w14:paraId="37C3133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1C5EAE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612" w:type="dxa"/>
            <w:tcBorders>
              <w:top w:val="nil"/>
              <w:left w:val="nil"/>
              <w:bottom w:val="single" w:sz="4" w:space="0" w:color="auto"/>
              <w:right w:val="single" w:sz="4" w:space="0" w:color="auto"/>
            </w:tcBorders>
            <w:shd w:val="clear" w:color="auto" w:fill="auto"/>
            <w:noWrap/>
            <w:vAlign w:val="center"/>
          </w:tcPr>
          <w:p w14:paraId="30D2187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701073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c>
          <w:tcPr>
            <w:tcW w:w="586" w:type="dxa"/>
            <w:tcBorders>
              <w:top w:val="nil"/>
              <w:left w:val="nil"/>
              <w:bottom w:val="single" w:sz="4" w:space="0" w:color="auto"/>
              <w:right w:val="single" w:sz="4" w:space="0" w:color="auto"/>
            </w:tcBorders>
            <w:shd w:val="clear" w:color="auto" w:fill="auto"/>
            <w:noWrap/>
            <w:vAlign w:val="center"/>
          </w:tcPr>
          <w:p w14:paraId="4D7F749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DA9B9D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29,063</w:t>
            </w:r>
          </w:p>
        </w:tc>
      </w:tr>
      <w:tr w:rsidR="00FA7EF0" w:rsidRPr="00205F5B" w14:paraId="705DE72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9DB172"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AAD5355"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662B37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8B3F3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005AF6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26A44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679624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9BB3A5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EBB116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9983DF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08D1AF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051776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73225DE"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D78D8D8"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023BA0D"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75A5478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0B713B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A7B2DF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9F2D3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F9600E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AC7B2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BFE331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1FB70C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62206D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26E294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714D55C7"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9E37B69"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70222BF"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47FBA45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DBBAB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79647D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4F8CC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5D9720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1F97E4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B6DE83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2728D4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FA39E7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302E66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4BA0905D"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EE0B020"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CD186C7"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1D2C614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9BAFB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1B1B72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CD518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4BD7E8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4AB329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6C0C43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353BE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1476A9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BD1687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40443023"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9CF2D67"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C0DBEA8"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657FEA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8D0714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F95B3B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1D2D6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364B1A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8FFFB3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F55DCA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BFFB54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BDB771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D74433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70F1A79C"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2F7724E"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39E8C7AB"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3240C0D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32CA2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82100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AE096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3AB8FF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7BF68A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51F7C4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3EEA76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599C3F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6FF732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CBF92A7"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1B802F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0B565171"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097F06C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3345D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F0B1FF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D688B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947DF0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543BD6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2C5D23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A1D570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29F737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A1E701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6449962A"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69D82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13960E96"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7EBA4FB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919E7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978F38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225F2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1A912F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E4A5A1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56FE97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15C7FC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49DDCD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72CFF4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9F36AC2"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12A784"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Sierra Chiquita-</w:t>
            </w:r>
            <w:r w:rsidR="00F55F4D">
              <w:rPr>
                <w:rFonts w:ascii="Bookman Old Style" w:hAnsi="Bookman Old Style"/>
                <w:color w:val="000000"/>
                <w:sz w:val="12"/>
                <w:szCs w:val="16"/>
              </w:rPr>
              <w:t>Montería-Córdoba</w:t>
            </w:r>
          </w:p>
        </w:tc>
        <w:tc>
          <w:tcPr>
            <w:tcW w:w="851" w:type="dxa"/>
            <w:tcBorders>
              <w:top w:val="nil"/>
              <w:left w:val="nil"/>
              <w:bottom w:val="single" w:sz="4" w:space="0" w:color="auto"/>
              <w:right w:val="single" w:sz="4" w:space="0" w:color="auto"/>
            </w:tcBorders>
            <w:shd w:val="clear" w:color="auto" w:fill="auto"/>
            <w:noWrap/>
            <w:vAlign w:val="bottom"/>
          </w:tcPr>
          <w:p w14:paraId="44B16020"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63C1782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2A4EE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22291C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3F0AD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48F662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C4F62D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C8F256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A999CE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226341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EAA650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8EED8D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A534F72"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91BA061"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43E48C8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EF97A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709" w:type="dxa"/>
            <w:tcBorders>
              <w:top w:val="nil"/>
              <w:left w:val="nil"/>
              <w:bottom w:val="single" w:sz="4" w:space="0" w:color="auto"/>
              <w:right w:val="single" w:sz="4" w:space="0" w:color="auto"/>
            </w:tcBorders>
            <w:shd w:val="clear" w:color="auto" w:fill="auto"/>
            <w:noWrap/>
            <w:vAlign w:val="center"/>
          </w:tcPr>
          <w:p w14:paraId="4F9959C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16E48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677" w:type="dxa"/>
            <w:tcBorders>
              <w:top w:val="nil"/>
              <w:left w:val="nil"/>
              <w:bottom w:val="single" w:sz="4" w:space="0" w:color="auto"/>
              <w:right w:val="single" w:sz="4" w:space="0" w:color="auto"/>
            </w:tcBorders>
            <w:shd w:val="clear" w:color="auto" w:fill="auto"/>
            <w:noWrap/>
            <w:vAlign w:val="center"/>
          </w:tcPr>
          <w:p w14:paraId="0E4A5E8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618ECB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153EA8A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FD9365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6B072E8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D90D95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r>
      <w:tr w:rsidR="00FA7EF0" w:rsidRPr="00205F5B" w14:paraId="3EEDE08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E008737"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5503927"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71AD3D6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1A312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709" w:type="dxa"/>
            <w:tcBorders>
              <w:top w:val="nil"/>
              <w:left w:val="nil"/>
              <w:bottom w:val="single" w:sz="4" w:space="0" w:color="auto"/>
              <w:right w:val="single" w:sz="4" w:space="0" w:color="auto"/>
            </w:tcBorders>
            <w:shd w:val="clear" w:color="auto" w:fill="auto"/>
            <w:noWrap/>
            <w:vAlign w:val="center"/>
          </w:tcPr>
          <w:p w14:paraId="6DDD563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40CDF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677" w:type="dxa"/>
            <w:tcBorders>
              <w:top w:val="nil"/>
              <w:left w:val="nil"/>
              <w:bottom w:val="single" w:sz="4" w:space="0" w:color="auto"/>
              <w:right w:val="single" w:sz="4" w:space="0" w:color="auto"/>
            </w:tcBorders>
            <w:shd w:val="clear" w:color="auto" w:fill="auto"/>
            <w:noWrap/>
            <w:vAlign w:val="center"/>
          </w:tcPr>
          <w:p w14:paraId="542AB59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584CCB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612" w:type="dxa"/>
            <w:tcBorders>
              <w:top w:val="nil"/>
              <w:left w:val="nil"/>
              <w:bottom w:val="single" w:sz="4" w:space="0" w:color="auto"/>
              <w:right w:val="single" w:sz="4" w:space="0" w:color="auto"/>
            </w:tcBorders>
            <w:shd w:val="clear" w:color="auto" w:fill="auto"/>
            <w:noWrap/>
            <w:vAlign w:val="center"/>
          </w:tcPr>
          <w:p w14:paraId="52AECCD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6F63D9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c>
          <w:tcPr>
            <w:tcW w:w="586" w:type="dxa"/>
            <w:tcBorders>
              <w:top w:val="nil"/>
              <w:left w:val="nil"/>
              <w:bottom w:val="single" w:sz="4" w:space="0" w:color="auto"/>
              <w:right w:val="single" w:sz="4" w:space="0" w:color="auto"/>
            </w:tcBorders>
            <w:shd w:val="clear" w:color="auto" w:fill="auto"/>
            <w:noWrap/>
            <w:vAlign w:val="center"/>
          </w:tcPr>
          <w:p w14:paraId="7FA479C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3E0B78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39,496</w:t>
            </w:r>
          </w:p>
        </w:tc>
      </w:tr>
      <w:tr w:rsidR="00FA7EF0" w:rsidRPr="00205F5B" w14:paraId="6E6CF296"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CA979E"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52771AC"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3540B53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E73ED4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061589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8F5B8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3B68A3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CE0D00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799413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D667B1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F8D2B7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5C8ABA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CAD6F4F"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4A3600C"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AA89A6D"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139414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8A406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ED5495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6B89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377F6B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C4010B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0CDEE3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7393EA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2551C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4BE1EB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38F5D029"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493E3D7"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898AD82"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44453E8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7D776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B5A452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1C568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730D6C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7AB962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CAC79E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FCCCEE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F2990A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89EA39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6468B0A"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93F909B"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9B70BD"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3440C1C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55BA5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ADA826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C9B1B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3B37C8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7BDA9C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22703A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DC3AE4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702A64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BB0BCC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61C89558"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B50BE52"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3A238C3"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61687D1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94871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D0E869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4E52E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4CE68F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9E974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81EC28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F18B9C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29C359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DC0354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8B1D994"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71645C8"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C7FEA50"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324CE50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FB92A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035678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D1B0F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67E9E1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282BDB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CB47FD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398AEE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37A80F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DB1CA7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4327BB3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9F4D73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0F1014B"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48CB697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99140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1A233A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A5333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AAB784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F3178A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7EEA87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9C1923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212BED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43011C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490E844"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4518D8"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3D712B4"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6CF53D0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3269B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40E723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406E9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7DE683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A5036D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255509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E01934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D7D317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6DF6E2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B30DBDC"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2B5157"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Rabolargo-Cerete-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6DC723D"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72175CC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4E6D1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BB294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2B453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E0A055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17C090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E73991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3C4630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017669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CC8B76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3F407159"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C6F60EA"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7E5AA41"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0C150C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4417D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709" w:type="dxa"/>
            <w:tcBorders>
              <w:top w:val="nil"/>
              <w:left w:val="nil"/>
              <w:bottom w:val="single" w:sz="4" w:space="0" w:color="auto"/>
              <w:right w:val="single" w:sz="4" w:space="0" w:color="auto"/>
            </w:tcBorders>
            <w:shd w:val="clear" w:color="auto" w:fill="auto"/>
            <w:noWrap/>
            <w:vAlign w:val="center"/>
          </w:tcPr>
          <w:p w14:paraId="665271A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DE435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677" w:type="dxa"/>
            <w:tcBorders>
              <w:top w:val="nil"/>
              <w:left w:val="nil"/>
              <w:bottom w:val="single" w:sz="4" w:space="0" w:color="auto"/>
              <w:right w:val="single" w:sz="4" w:space="0" w:color="auto"/>
            </w:tcBorders>
            <w:shd w:val="clear" w:color="auto" w:fill="auto"/>
            <w:noWrap/>
            <w:vAlign w:val="center"/>
          </w:tcPr>
          <w:p w14:paraId="00CA829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4011C8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69B0EF1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3D12EA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4AF6B83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6052A9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r>
      <w:tr w:rsidR="00FA7EF0" w:rsidRPr="00205F5B" w14:paraId="71F2B494"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64932AF"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612A24C3"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28D127B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EDF11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709" w:type="dxa"/>
            <w:tcBorders>
              <w:top w:val="nil"/>
              <w:left w:val="nil"/>
              <w:bottom w:val="single" w:sz="4" w:space="0" w:color="auto"/>
              <w:right w:val="single" w:sz="4" w:space="0" w:color="auto"/>
            </w:tcBorders>
            <w:shd w:val="clear" w:color="auto" w:fill="auto"/>
            <w:noWrap/>
            <w:vAlign w:val="center"/>
          </w:tcPr>
          <w:p w14:paraId="15462BF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0114FE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677" w:type="dxa"/>
            <w:tcBorders>
              <w:top w:val="nil"/>
              <w:left w:val="nil"/>
              <w:bottom w:val="single" w:sz="4" w:space="0" w:color="auto"/>
              <w:right w:val="single" w:sz="4" w:space="0" w:color="auto"/>
            </w:tcBorders>
            <w:shd w:val="clear" w:color="auto" w:fill="auto"/>
            <w:noWrap/>
            <w:vAlign w:val="center"/>
          </w:tcPr>
          <w:p w14:paraId="73338BC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B869EA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612" w:type="dxa"/>
            <w:tcBorders>
              <w:top w:val="nil"/>
              <w:left w:val="nil"/>
              <w:bottom w:val="single" w:sz="4" w:space="0" w:color="auto"/>
              <w:right w:val="single" w:sz="4" w:space="0" w:color="auto"/>
            </w:tcBorders>
            <w:shd w:val="clear" w:color="auto" w:fill="auto"/>
            <w:noWrap/>
            <w:vAlign w:val="center"/>
          </w:tcPr>
          <w:p w14:paraId="168201A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48737D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c>
          <w:tcPr>
            <w:tcW w:w="586" w:type="dxa"/>
            <w:tcBorders>
              <w:top w:val="nil"/>
              <w:left w:val="nil"/>
              <w:bottom w:val="single" w:sz="4" w:space="0" w:color="auto"/>
              <w:right w:val="single" w:sz="4" w:space="0" w:color="auto"/>
            </w:tcBorders>
            <w:shd w:val="clear" w:color="auto" w:fill="auto"/>
            <w:noWrap/>
            <w:vAlign w:val="center"/>
          </w:tcPr>
          <w:p w14:paraId="227625D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995C6A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16,726</w:t>
            </w:r>
          </w:p>
        </w:tc>
      </w:tr>
      <w:tr w:rsidR="00FA7EF0" w:rsidRPr="00205F5B" w14:paraId="11550FA4"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7068FA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21C18CC7"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19426DF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821F2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F22DB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D11D8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06584A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19FBE2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84DFDA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309180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EEBCA5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6BF3B5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79095568"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745CA8B"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B77E04F"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0E4F7C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03BA7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15EB4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F0FB6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FE8B59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8B5DA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69412C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9A0361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4861E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DE1C32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40141049"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1E8298"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B84FF54"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843E19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32B19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D446E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8B1ADB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3631BF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C352A5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EA7759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956540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FE18EC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B2EDE5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1E567FB5"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CC19D34"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AB8C82F"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6DE462F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DB5071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4DE4FF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AF1A6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B9614C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7A6F07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A64534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5DBDEA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EF8886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96917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53971B12"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76E0C8E"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53E4A091"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4F0B39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277F2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346C5D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201FB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46EB20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5B0F75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10D5F9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918999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FC9143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018699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25788619"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F6663E"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15BD3729"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6F9E32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8D39E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3F2EC6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63AF3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0469B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FB98D3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C6B3D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9145BF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D19428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D197A6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3FFECF8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BBD4307"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6C12422"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7A93F5D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4BB3A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8386A3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4E565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353AD4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C2AB2D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D1BB13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A6AF71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495A18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B622A5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4546BAEB"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D6B4C6D"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85FACCB"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5974AE4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4DCA8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F5F91D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6B5F4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23386E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DCB30C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71AE22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D62511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FCF0E7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56BD7E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242A6C0"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57DA8E8"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San Antonio-Cerete-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0C59677"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3729FFF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4D6B1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211434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4F5F1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F002D9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4E25FE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B85535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4DC171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A6D997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9A4CC6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51BE6C59"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203B59E"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35B4C22"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1084AE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18487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709" w:type="dxa"/>
            <w:tcBorders>
              <w:top w:val="nil"/>
              <w:left w:val="nil"/>
              <w:bottom w:val="single" w:sz="4" w:space="0" w:color="auto"/>
              <w:right w:val="single" w:sz="4" w:space="0" w:color="auto"/>
            </w:tcBorders>
            <w:shd w:val="clear" w:color="auto" w:fill="auto"/>
            <w:noWrap/>
            <w:vAlign w:val="center"/>
          </w:tcPr>
          <w:p w14:paraId="37A073A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812AD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677" w:type="dxa"/>
            <w:tcBorders>
              <w:top w:val="nil"/>
              <w:left w:val="nil"/>
              <w:bottom w:val="single" w:sz="4" w:space="0" w:color="auto"/>
              <w:right w:val="single" w:sz="4" w:space="0" w:color="auto"/>
            </w:tcBorders>
            <w:shd w:val="clear" w:color="auto" w:fill="auto"/>
            <w:noWrap/>
            <w:vAlign w:val="center"/>
          </w:tcPr>
          <w:p w14:paraId="7354CF1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799C1E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00AFBFD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15E57B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4B5705E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48B5EB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r>
      <w:tr w:rsidR="00FA7EF0" w:rsidRPr="00205F5B" w14:paraId="62E6887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14F7D8F"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19087A7"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10B0EE0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A9678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709" w:type="dxa"/>
            <w:tcBorders>
              <w:top w:val="nil"/>
              <w:left w:val="nil"/>
              <w:bottom w:val="single" w:sz="4" w:space="0" w:color="auto"/>
              <w:right w:val="single" w:sz="4" w:space="0" w:color="auto"/>
            </w:tcBorders>
            <w:shd w:val="clear" w:color="auto" w:fill="auto"/>
            <w:noWrap/>
            <w:vAlign w:val="center"/>
          </w:tcPr>
          <w:p w14:paraId="73F4803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E80C1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677" w:type="dxa"/>
            <w:tcBorders>
              <w:top w:val="nil"/>
              <w:left w:val="nil"/>
              <w:bottom w:val="single" w:sz="4" w:space="0" w:color="auto"/>
              <w:right w:val="single" w:sz="4" w:space="0" w:color="auto"/>
            </w:tcBorders>
            <w:shd w:val="clear" w:color="auto" w:fill="auto"/>
            <w:noWrap/>
            <w:vAlign w:val="center"/>
          </w:tcPr>
          <w:p w14:paraId="32255C5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E53A0E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612" w:type="dxa"/>
            <w:tcBorders>
              <w:top w:val="nil"/>
              <w:left w:val="nil"/>
              <w:bottom w:val="single" w:sz="4" w:space="0" w:color="auto"/>
              <w:right w:val="single" w:sz="4" w:space="0" w:color="auto"/>
            </w:tcBorders>
            <w:shd w:val="clear" w:color="auto" w:fill="auto"/>
            <w:noWrap/>
            <w:vAlign w:val="center"/>
          </w:tcPr>
          <w:p w14:paraId="4951E74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622BC0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c>
          <w:tcPr>
            <w:tcW w:w="586" w:type="dxa"/>
            <w:tcBorders>
              <w:top w:val="nil"/>
              <w:left w:val="nil"/>
              <w:bottom w:val="single" w:sz="4" w:space="0" w:color="auto"/>
              <w:right w:val="single" w:sz="4" w:space="0" w:color="auto"/>
            </w:tcBorders>
            <w:shd w:val="clear" w:color="auto" w:fill="auto"/>
            <w:noWrap/>
            <w:vAlign w:val="center"/>
          </w:tcPr>
          <w:p w14:paraId="5D94309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918AE6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12,503</w:t>
            </w:r>
          </w:p>
        </w:tc>
      </w:tr>
      <w:tr w:rsidR="00FA7EF0" w:rsidRPr="00205F5B" w14:paraId="7F8E22DB"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10D42A6"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4C2ADDA"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B944BF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33901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C2C574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1D98E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67FF31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59EA30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1E161A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E6BB47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4F6CB3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ADEC73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05B1DC94"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ADC38A7"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D761358"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75D0E50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EFBB2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EC81A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3657A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7CE85A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EA308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B54BB9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AD055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4B3B08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C87180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157998D1"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367BBF0"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DA19313"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A93EBD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CA4EF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7447A1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0C200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1350F9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BA51C6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83F8CDD"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90BADE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01BA34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F52C5C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6132534B"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4E84EA2"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F1D8C59"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B9DF09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23F53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F845FC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5C4DA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41C0E8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367465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C02288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9D9DAB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5A7D11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20CD41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572F7507"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2B260A0"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7031C80B"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0D439B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B80FA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83D6D8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9EE70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611A00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D34238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442B6E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E6E6CE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D54458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4FC896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7F095197"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2A9741E"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9D8964A"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50A643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B412F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949286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A110D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C0F5B1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425BB6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69212D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CE98817"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616A6DB"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E0C0AD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6334BF17"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8C0C7D"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4EC7C9FC"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619CB9B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8C796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1AC79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A682E9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9D05A4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924469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FB3C3F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E711F9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4D697D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78ACF05"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3B9FB81F"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93D21C"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36F06692"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F9BC62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60EB61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D6B7E7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DFA8B1"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2578C1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3A6C0C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F3D509A"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E4A0F6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A3D5B4C"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EE46913"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39F8F720"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675C45" w14:textId="77777777" w:rsidR="00FA7EF0" w:rsidRPr="000E1844" w:rsidRDefault="00FA7EF0" w:rsidP="00FA7EF0">
            <w:pPr>
              <w:ind w:left="0"/>
              <w:jc w:val="center"/>
              <w:rPr>
                <w:rFonts w:ascii="Bookman Old Style" w:hAnsi="Bookman Old Style"/>
                <w:color w:val="000000"/>
                <w:sz w:val="12"/>
                <w:szCs w:val="16"/>
              </w:rPr>
            </w:pPr>
            <w:r w:rsidRPr="000E1844">
              <w:rPr>
                <w:rFonts w:ascii="Bookman Old Style" w:hAnsi="Bookman Old Style"/>
                <w:color w:val="000000"/>
                <w:sz w:val="12"/>
                <w:szCs w:val="16"/>
              </w:rPr>
              <w:t>El Cedro-Cerete-</w:t>
            </w:r>
            <w:r w:rsidR="00F55F4D">
              <w:rPr>
                <w:rFonts w:ascii="Bookman Old Style" w:hAnsi="Bookman Old Style"/>
                <w:color w:val="000000"/>
                <w:sz w:val="12"/>
                <w:szCs w:val="16"/>
              </w:rPr>
              <w:t>Córdoba</w:t>
            </w:r>
          </w:p>
        </w:tc>
        <w:tc>
          <w:tcPr>
            <w:tcW w:w="851" w:type="dxa"/>
            <w:tcBorders>
              <w:top w:val="nil"/>
              <w:left w:val="nil"/>
              <w:bottom w:val="single" w:sz="4" w:space="0" w:color="auto"/>
              <w:right w:val="single" w:sz="4" w:space="0" w:color="auto"/>
            </w:tcBorders>
            <w:shd w:val="clear" w:color="auto" w:fill="auto"/>
            <w:noWrap/>
            <w:vAlign w:val="bottom"/>
          </w:tcPr>
          <w:p w14:paraId="0D4BA932" w14:textId="77777777" w:rsidR="00FA7EF0" w:rsidRPr="000E1844" w:rsidRDefault="00FA7EF0" w:rsidP="00FA7EF0">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AA6ACD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40BCF8"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9E574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A8708D2"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96A4BD0"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DEB3736"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3B20BD9"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07D8024"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9A9A5BE"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C483A7F" w14:textId="77777777" w:rsidR="00FA7EF0" w:rsidRPr="00FA7EF0" w:rsidRDefault="00FA7EF0" w:rsidP="00FA7EF0">
            <w:pPr>
              <w:ind w:left="-32"/>
              <w:jc w:val="center"/>
              <w:rPr>
                <w:rFonts w:ascii="Bookman Old Style" w:hAnsi="Bookman Old Style"/>
                <w:color w:val="000000"/>
                <w:sz w:val="12"/>
                <w:szCs w:val="16"/>
              </w:rPr>
            </w:pPr>
            <w:r w:rsidRPr="00FA7EF0">
              <w:rPr>
                <w:rFonts w:ascii="Bookman Old Style" w:hAnsi="Bookman Old Style"/>
                <w:color w:val="000000"/>
                <w:sz w:val="12"/>
                <w:szCs w:val="16"/>
              </w:rPr>
              <w:t>-</w:t>
            </w:r>
          </w:p>
        </w:tc>
      </w:tr>
      <w:tr w:rsidR="00FA7EF0" w:rsidRPr="00205F5B" w14:paraId="6A6F4433" w14:textId="77777777" w:rsidTr="00FA7EF0">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2D4A10" w14:textId="77777777" w:rsidR="00FA7EF0" w:rsidRPr="00205F5B" w:rsidRDefault="00FA7EF0" w:rsidP="00FA7EF0">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277F0D93" w14:textId="77777777" w:rsidR="00FA7EF0" w:rsidRPr="00205F5B" w:rsidRDefault="00FA7EF0" w:rsidP="00FA7EF0">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50387800"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60694D"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127,596</w:t>
            </w:r>
          </w:p>
        </w:tc>
        <w:tc>
          <w:tcPr>
            <w:tcW w:w="709" w:type="dxa"/>
            <w:tcBorders>
              <w:top w:val="nil"/>
              <w:left w:val="nil"/>
              <w:bottom w:val="single" w:sz="4" w:space="0" w:color="auto"/>
              <w:right w:val="single" w:sz="4" w:space="0" w:color="auto"/>
            </w:tcBorders>
            <w:shd w:val="clear" w:color="auto" w:fill="auto"/>
            <w:noWrap/>
            <w:vAlign w:val="center"/>
          </w:tcPr>
          <w:p w14:paraId="0AB46586"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A78226"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127,596</w:t>
            </w:r>
          </w:p>
        </w:tc>
        <w:tc>
          <w:tcPr>
            <w:tcW w:w="677" w:type="dxa"/>
            <w:tcBorders>
              <w:top w:val="nil"/>
              <w:left w:val="nil"/>
              <w:bottom w:val="single" w:sz="4" w:space="0" w:color="auto"/>
              <w:right w:val="single" w:sz="4" w:space="0" w:color="auto"/>
            </w:tcBorders>
            <w:shd w:val="clear" w:color="auto" w:fill="auto"/>
            <w:noWrap/>
            <w:vAlign w:val="center"/>
          </w:tcPr>
          <w:p w14:paraId="4638B5AF"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89ED82A"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127,596</w:t>
            </w:r>
          </w:p>
        </w:tc>
        <w:tc>
          <w:tcPr>
            <w:tcW w:w="612" w:type="dxa"/>
            <w:tcBorders>
              <w:top w:val="nil"/>
              <w:left w:val="nil"/>
              <w:bottom w:val="single" w:sz="4" w:space="0" w:color="auto"/>
              <w:right w:val="single" w:sz="4" w:space="0" w:color="auto"/>
            </w:tcBorders>
            <w:shd w:val="clear" w:color="auto" w:fill="auto"/>
            <w:noWrap/>
            <w:vAlign w:val="center"/>
          </w:tcPr>
          <w:p w14:paraId="50D771B6"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43244A1"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127,596</w:t>
            </w:r>
          </w:p>
        </w:tc>
        <w:tc>
          <w:tcPr>
            <w:tcW w:w="586" w:type="dxa"/>
            <w:tcBorders>
              <w:top w:val="nil"/>
              <w:left w:val="nil"/>
              <w:bottom w:val="single" w:sz="4" w:space="0" w:color="auto"/>
              <w:right w:val="single" w:sz="4" w:space="0" w:color="auto"/>
            </w:tcBorders>
            <w:shd w:val="clear" w:color="auto" w:fill="auto"/>
            <w:noWrap/>
            <w:vAlign w:val="center"/>
          </w:tcPr>
          <w:p w14:paraId="477FDBCF"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F206FD7" w14:textId="77777777" w:rsidR="00FA7EF0" w:rsidRPr="00FA7EF0" w:rsidRDefault="00FA7EF0" w:rsidP="00FA7EF0">
            <w:pPr>
              <w:ind w:left="-32"/>
              <w:jc w:val="center"/>
              <w:rPr>
                <w:rFonts w:ascii="Bookman Old Style" w:hAnsi="Bookman Old Style"/>
                <w:b/>
                <w:bCs/>
                <w:color w:val="000000"/>
                <w:sz w:val="12"/>
                <w:szCs w:val="16"/>
              </w:rPr>
            </w:pPr>
            <w:r w:rsidRPr="00FA7EF0">
              <w:rPr>
                <w:rFonts w:ascii="Bookman Old Style" w:hAnsi="Bookman Old Style"/>
                <w:b/>
                <w:bCs/>
                <w:color w:val="000000"/>
                <w:sz w:val="12"/>
                <w:szCs w:val="16"/>
              </w:rPr>
              <w:t>127,596</w:t>
            </w:r>
          </w:p>
        </w:tc>
      </w:tr>
    </w:tbl>
    <w:p w14:paraId="4998421A" w14:textId="77777777" w:rsidR="000E6D97" w:rsidRDefault="000E6D97" w:rsidP="000E6D97">
      <w:pPr>
        <w:widowControl w:val="0"/>
        <w:adjustRightInd w:val="0"/>
        <w:ind w:left="0"/>
        <w:jc w:val="center"/>
        <w:rPr>
          <w:rFonts w:ascii="Bookman Old Style" w:hAnsi="Bookman Old Style" w:cs="Arial"/>
          <w:b/>
          <w:sz w:val="20"/>
        </w:rPr>
      </w:pPr>
    </w:p>
    <w:p w14:paraId="712CB6A9" w14:textId="77777777" w:rsidR="00925EFA" w:rsidRDefault="00925EFA" w:rsidP="00341E8F">
      <w:pPr>
        <w:widowControl w:val="0"/>
        <w:adjustRightInd w:val="0"/>
        <w:ind w:left="0"/>
        <w:jc w:val="center"/>
        <w:rPr>
          <w:rFonts w:ascii="Bookman Old Style" w:hAnsi="Bookman Old Style" w:cs="Arial"/>
          <w:b/>
        </w:rPr>
      </w:pPr>
    </w:p>
    <w:p w14:paraId="5B685BB7" w14:textId="77777777" w:rsidR="001E7D10" w:rsidRDefault="001E7D10" w:rsidP="00341E8F">
      <w:pPr>
        <w:widowControl w:val="0"/>
        <w:adjustRightInd w:val="0"/>
        <w:ind w:left="0"/>
        <w:jc w:val="center"/>
        <w:rPr>
          <w:rFonts w:ascii="Bookman Old Style" w:hAnsi="Bookman Old Style" w:cs="Arial"/>
          <w:b/>
        </w:rPr>
      </w:pPr>
    </w:p>
    <w:p w14:paraId="2C8CCACD" w14:textId="77777777" w:rsidR="001E7D10" w:rsidRDefault="001E7D10" w:rsidP="00341E8F">
      <w:pPr>
        <w:widowControl w:val="0"/>
        <w:adjustRightInd w:val="0"/>
        <w:ind w:left="0"/>
        <w:jc w:val="center"/>
        <w:rPr>
          <w:rFonts w:ascii="Bookman Old Style" w:hAnsi="Bookman Old Style" w:cs="Arial"/>
          <w:b/>
        </w:rPr>
      </w:pPr>
    </w:p>
    <w:p w14:paraId="304CEA46" w14:textId="77777777" w:rsidR="00DD5DF6" w:rsidRDefault="00DD5DF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2A8B4F5D" w14:textId="77777777" w:rsidTr="00E51288">
        <w:trPr>
          <w:trHeight w:val="864"/>
          <w:jc w:val="center"/>
        </w:trPr>
        <w:tc>
          <w:tcPr>
            <w:tcW w:w="5177" w:type="dxa"/>
          </w:tcPr>
          <w:p w14:paraId="08B5B3A5" w14:textId="77777777" w:rsidR="002F1B8A" w:rsidRDefault="002F1B8A" w:rsidP="002F1B8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3DB9849A" w14:textId="77777777" w:rsidR="002F1B8A" w:rsidRDefault="002F1B8A" w:rsidP="002F1B8A">
            <w:pPr>
              <w:suppressAutoHyphens/>
              <w:ind w:left="0"/>
              <w:jc w:val="center"/>
              <w:rPr>
                <w:rFonts w:ascii="Bookman Old Style" w:hAnsi="Bookman Old Style"/>
              </w:rPr>
            </w:pPr>
            <w:r>
              <w:rPr>
                <w:rFonts w:ascii="Bookman Old Style" w:hAnsi="Bookman Old Style"/>
              </w:rPr>
              <w:t>Viceministro de Energía</w:t>
            </w:r>
          </w:p>
          <w:p w14:paraId="1120E29D" w14:textId="77777777" w:rsidR="002F1B8A" w:rsidRDefault="002F1B8A" w:rsidP="002F1B8A">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4A8A85FE" w14:textId="0AB290F5" w:rsidR="00984132" w:rsidRPr="00BD0865" w:rsidRDefault="002F1B8A"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5" w:type="dxa"/>
          </w:tcPr>
          <w:p w14:paraId="3F433891" w14:textId="3BABC01F"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882C5F">
              <w:rPr>
                <w:rFonts w:ascii="Bookman Old Style" w:hAnsi="Bookman Old Style" w:cs="Arial"/>
                <w:b/>
              </w:rPr>
              <w:t>R</w:t>
            </w:r>
            <w:r>
              <w:rPr>
                <w:rFonts w:ascii="Bookman Old Style" w:hAnsi="Bookman Old Style" w:cs="Arial"/>
                <w:b/>
              </w:rPr>
              <w:t>RERA</w:t>
            </w:r>
          </w:p>
          <w:p w14:paraId="10DDDD9B"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3D706446" w14:textId="77777777" w:rsidR="00942E7A"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p>
    <w:p w14:paraId="1BC3A1D5" w14:textId="77777777" w:rsidR="00942E7A" w:rsidRDefault="00942E7A" w:rsidP="00341E8F">
      <w:pPr>
        <w:widowControl w:val="0"/>
        <w:adjustRightInd w:val="0"/>
        <w:ind w:left="0"/>
        <w:jc w:val="center"/>
        <w:rPr>
          <w:rFonts w:ascii="Bookman Old Style" w:hAnsi="Bookman Old Style" w:cs="Arial"/>
          <w:b/>
        </w:rPr>
      </w:pPr>
    </w:p>
    <w:p w14:paraId="3B241809" w14:textId="7777777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72BAD8D3" w14:textId="77777777" w:rsidR="00942E7A" w:rsidRDefault="00942E7A" w:rsidP="00341E8F">
      <w:pPr>
        <w:widowControl w:val="0"/>
        <w:adjustRightInd w:val="0"/>
        <w:ind w:left="0"/>
        <w:jc w:val="center"/>
        <w:rPr>
          <w:rFonts w:ascii="Bookman Old Style" w:hAnsi="Bookman Old Style" w:cs="Arial"/>
          <w:b/>
        </w:rPr>
      </w:pPr>
    </w:p>
    <w:p w14:paraId="051D0267" w14:textId="77777777" w:rsidR="00942E7A" w:rsidRPr="001954E9" w:rsidRDefault="00942E7A" w:rsidP="00341E8F">
      <w:pPr>
        <w:widowControl w:val="0"/>
        <w:adjustRightInd w:val="0"/>
        <w:ind w:left="0"/>
        <w:jc w:val="center"/>
        <w:rPr>
          <w:rFonts w:ascii="Bookman Old Style" w:hAnsi="Bookman Old Style" w:cs="Arial"/>
          <w:b/>
        </w:rPr>
      </w:pPr>
    </w:p>
    <w:p w14:paraId="44F1E4B0"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0EDF016B"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14:paraId="1C46124E" w14:textId="77777777" w:rsidR="00273C2C" w:rsidRDefault="00273C2C" w:rsidP="00341E8F">
      <w:pPr>
        <w:widowControl w:val="0"/>
        <w:adjustRightInd w:val="0"/>
        <w:ind w:left="0"/>
        <w:jc w:val="center"/>
        <w:rPr>
          <w:rFonts w:ascii="Bookman Old Style" w:hAnsi="Bookman Old Style" w:cs="Arial"/>
          <w:b/>
        </w:rPr>
      </w:pPr>
    </w:p>
    <w:tbl>
      <w:tblPr>
        <w:tblW w:w="4619" w:type="dxa"/>
        <w:jc w:val="center"/>
        <w:tblCellMar>
          <w:left w:w="70" w:type="dxa"/>
          <w:right w:w="70" w:type="dxa"/>
        </w:tblCellMar>
        <w:tblLook w:val="04A0" w:firstRow="1" w:lastRow="0" w:firstColumn="1" w:lastColumn="0" w:noHBand="0" w:noVBand="1"/>
      </w:tblPr>
      <w:tblGrid>
        <w:gridCol w:w="2319"/>
        <w:gridCol w:w="2300"/>
      </w:tblGrid>
      <w:tr w:rsidR="00273C2C" w:rsidRPr="001954E9" w14:paraId="2A52BAD3" w14:textId="77777777" w:rsidTr="0089258E">
        <w:trPr>
          <w:trHeight w:val="600"/>
          <w:jc w:val="center"/>
        </w:trPr>
        <w:tc>
          <w:tcPr>
            <w:tcW w:w="23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390929" w14:textId="77777777" w:rsidR="00273C2C" w:rsidRPr="00F64E15" w:rsidRDefault="00273C2C" w:rsidP="00341E8F">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72214707" w14:textId="77777777" w:rsidR="00273C2C" w:rsidRPr="00B860E3" w:rsidRDefault="00273C2C" w:rsidP="00341E8F">
            <w:pPr>
              <w:ind w:left="0"/>
              <w:jc w:val="center"/>
              <w:rPr>
                <w:rFonts w:ascii="Bookman Old Style" w:hAnsi="Bookman Old Style" w:cs="Arial"/>
                <w:b/>
                <w:bCs/>
                <w:sz w:val="22"/>
                <w:szCs w:val="22"/>
                <w:lang w:val="es-CO" w:eastAsia="es-CO"/>
              </w:rPr>
            </w:pPr>
            <w:r w:rsidRPr="00B860E3">
              <w:rPr>
                <w:rFonts w:ascii="Bookman Old Style" w:hAnsi="Bookman Old Style" w:cs="Arial"/>
                <w:b/>
                <w:bCs/>
                <w:sz w:val="22"/>
                <w:szCs w:val="22"/>
                <w:lang w:val="es-CO" w:eastAsia="es-CO"/>
              </w:rPr>
              <w:t>GASTOS AOM</w:t>
            </w:r>
          </w:p>
          <w:p w14:paraId="01AECF48" w14:textId="77777777" w:rsidR="00273C2C" w:rsidRPr="00B860E3" w:rsidRDefault="00273C2C" w:rsidP="00934F43">
            <w:pPr>
              <w:ind w:left="0"/>
              <w:jc w:val="center"/>
              <w:rPr>
                <w:rFonts w:ascii="Bookman Old Style" w:hAnsi="Bookman Old Style" w:cs="Arial"/>
                <w:b/>
                <w:bCs/>
                <w:sz w:val="22"/>
                <w:szCs w:val="22"/>
                <w:lang w:val="es-CO" w:eastAsia="es-CO"/>
              </w:rPr>
            </w:pPr>
            <w:r w:rsidRPr="00B860E3">
              <w:rPr>
                <w:rFonts w:ascii="Bookman Old Style" w:hAnsi="Bookman Old Style" w:cs="Arial"/>
                <w:b/>
                <w:bCs/>
                <w:sz w:val="22"/>
                <w:szCs w:val="22"/>
                <w:lang w:val="es-CO" w:eastAsia="es-CO"/>
              </w:rPr>
              <w:t xml:space="preserve">($ dic </w:t>
            </w:r>
            <w:r w:rsidR="00934F43" w:rsidRPr="00B860E3">
              <w:rPr>
                <w:rFonts w:ascii="Bookman Old Style" w:hAnsi="Bookman Old Style" w:cs="Arial"/>
                <w:b/>
                <w:bCs/>
                <w:sz w:val="22"/>
                <w:szCs w:val="22"/>
                <w:lang w:val="es-CO" w:eastAsia="es-CO"/>
              </w:rPr>
              <w:t>2017</w:t>
            </w:r>
            <w:r w:rsidRPr="00B860E3">
              <w:rPr>
                <w:rFonts w:ascii="Bookman Old Style" w:hAnsi="Bookman Old Style" w:cs="Arial"/>
                <w:b/>
                <w:bCs/>
                <w:sz w:val="22"/>
                <w:szCs w:val="22"/>
                <w:lang w:val="es-CO" w:eastAsia="es-CO"/>
              </w:rPr>
              <w:t>)</w:t>
            </w:r>
          </w:p>
        </w:tc>
      </w:tr>
      <w:tr w:rsidR="003C4F3C" w:rsidRPr="001954E9" w14:paraId="354C52A3" w14:textId="77777777" w:rsidTr="0089258E">
        <w:trPr>
          <w:trHeight w:val="315"/>
          <w:jc w:val="center"/>
        </w:trPr>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5F6F0"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256F2E34" w14:textId="77777777" w:rsidR="003C4F3C" w:rsidRDefault="003C4F3C" w:rsidP="003C4F3C">
            <w:pPr>
              <w:ind w:left="0"/>
              <w:jc w:val="center"/>
              <w:rPr>
                <w:rFonts w:ascii="Bookman Old Style" w:hAnsi="Bookman Old Style"/>
                <w:sz w:val="20"/>
                <w:szCs w:val="20"/>
                <w:lang w:val="es-CO" w:eastAsia="es-CO"/>
              </w:rPr>
            </w:pPr>
            <w:r>
              <w:rPr>
                <w:rFonts w:ascii="Bookman Old Style" w:hAnsi="Bookman Old Style"/>
                <w:sz w:val="20"/>
                <w:szCs w:val="20"/>
              </w:rPr>
              <w:t>80.665.430</w:t>
            </w:r>
          </w:p>
        </w:tc>
      </w:tr>
      <w:tr w:rsidR="003C4F3C" w:rsidRPr="001954E9" w14:paraId="2F7C435B" w14:textId="77777777" w:rsidTr="0089258E">
        <w:trPr>
          <w:trHeight w:val="171"/>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4C0B1792"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60942C81"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82.501.430</w:t>
            </w:r>
          </w:p>
        </w:tc>
      </w:tr>
      <w:tr w:rsidR="003C4F3C" w:rsidRPr="001954E9" w14:paraId="2465C3D4"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4D30C284"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62A30E3A"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7ED466B6"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F16600C"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486FA9DD"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20A1E6EC"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357555BE"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71673D27"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7008B6CF"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7E24B8FB"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61D97FCD"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46EB49F6"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195A0D27"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2EB73EA7"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4D6E6EE2"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4B812C2C"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35886A9A"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07C1B019"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0A0C53F"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BBC000"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70E34105"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C8D585E"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583EB36"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467FAC1E"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94244D1"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5E56E442"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617B53DA"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AFAC335"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711F8697"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3210F5C3"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34CBBEB"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41D20B86"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757B3D80"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4FB10AC3"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55F6BB46"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157CBB19"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13F345DF"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6CC44EA"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11F2FA6F"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D226BBF"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5C8C6B08"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40F37613"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317E36B6"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5205BB68"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36355C2C"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70582F4"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097DB27F"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1972661F"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381DDA01"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6C411FEB"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3C4F3C" w:rsidRPr="001954E9" w14:paraId="0880C4E7"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4C46E87"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0ED124E3" w14:textId="77777777" w:rsidR="003C4F3C" w:rsidRDefault="003C4F3C" w:rsidP="003C4F3C">
            <w:pPr>
              <w:ind w:left="0"/>
              <w:jc w:val="center"/>
              <w:rPr>
                <w:rFonts w:ascii="Bookman Old Style" w:hAnsi="Bookman Old Style"/>
                <w:sz w:val="20"/>
                <w:szCs w:val="20"/>
              </w:rPr>
            </w:pPr>
            <w:r>
              <w:rPr>
                <w:rFonts w:ascii="Bookman Old Style" w:hAnsi="Bookman Old Style"/>
                <w:sz w:val="20"/>
                <w:szCs w:val="20"/>
              </w:rPr>
              <w:t>84.359.030</w:t>
            </w:r>
          </w:p>
        </w:tc>
      </w:tr>
      <w:tr w:rsidR="009F5BAB" w:rsidRPr="001954E9" w14:paraId="0319B0EC" w14:textId="77777777" w:rsidTr="0089258E">
        <w:trPr>
          <w:trHeight w:val="300"/>
          <w:jc w:val="center"/>
        </w:trPr>
        <w:tc>
          <w:tcPr>
            <w:tcW w:w="2319" w:type="dxa"/>
            <w:tcBorders>
              <w:top w:val="single" w:sz="4" w:space="0" w:color="auto"/>
              <w:left w:val="single" w:sz="4" w:space="0" w:color="auto"/>
              <w:bottom w:val="single" w:sz="4" w:space="0" w:color="auto"/>
              <w:right w:val="single" w:sz="4" w:space="0" w:color="auto"/>
            </w:tcBorders>
            <w:shd w:val="clear" w:color="auto" w:fill="auto"/>
            <w:noWrap/>
          </w:tcPr>
          <w:p w14:paraId="4F0E7A61" w14:textId="77777777" w:rsidR="0089258E" w:rsidRDefault="009F5BAB" w:rsidP="00DC3F86">
            <w:pPr>
              <w:ind w:left="-31"/>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VPN</w:t>
            </w:r>
            <w:r w:rsidR="0007780C" w:rsidRPr="00F64E15">
              <w:rPr>
                <w:rFonts w:ascii="Bookman Old Style" w:hAnsi="Bookman Old Style" w:cs="Arial"/>
                <w:b/>
                <w:bCs/>
                <w:sz w:val="22"/>
                <w:szCs w:val="22"/>
                <w:lang w:val="es-CO" w:eastAsia="es-CO"/>
              </w:rPr>
              <w:t xml:space="preserve"> </w:t>
            </w:r>
          </w:p>
          <w:p w14:paraId="7979B85F" w14:textId="77777777" w:rsidR="009F5BAB" w:rsidRPr="00B860E3" w:rsidRDefault="009F5BAB" w:rsidP="0089258E">
            <w:pPr>
              <w:ind w:left="-28"/>
              <w:jc w:val="center"/>
              <w:rPr>
                <w:rFonts w:ascii="Bookman Old Style" w:hAnsi="Bookman Old Style"/>
                <w:sz w:val="22"/>
                <w:szCs w:val="22"/>
              </w:rPr>
            </w:pPr>
            <w:r w:rsidRPr="00B860E3">
              <w:rPr>
                <w:rFonts w:ascii="Bookman Old Style" w:hAnsi="Bookman Old Style" w:cs="Arial"/>
                <w:b/>
                <w:bCs/>
                <w:sz w:val="22"/>
                <w:szCs w:val="22"/>
                <w:lang w:val="es-CO" w:eastAsia="es-CO"/>
              </w:rPr>
              <w:t>(2019</w:t>
            </w:r>
            <w:r w:rsidR="00DC3F86" w:rsidRPr="00B860E3">
              <w:rPr>
                <w:rFonts w:ascii="Bookman Old Style" w:hAnsi="Bookman Old Style" w:cs="Arial"/>
                <w:b/>
                <w:bCs/>
                <w:sz w:val="22"/>
                <w:szCs w:val="22"/>
                <w:lang w:val="es-CO" w:eastAsia="es-CO"/>
              </w:rPr>
              <w:t xml:space="preserve"> e</w:t>
            </w:r>
            <w:r w:rsidR="00FA50A6" w:rsidRPr="00B860E3">
              <w:rPr>
                <w:rFonts w:ascii="Bookman Old Style" w:hAnsi="Bookman Old Style" w:cs="Arial"/>
                <w:b/>
                <w:bCs/>
                <w:sz w:val="22"/>
                <w:szCs w:val="22"/>
                <w:lang w:val="es-CO" w:eastAsia="es-CO"/>
              </w:rPr>
              <w:t>n adelante</w:t>
            </w:r>
            <w:r w:rsidR="00DC3F86" w:rsidRPr="00B860E3">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4DA30C3F" w14:textId="77777777" w:rsidR="009F5BAB" w:rsidRPr="009862C9" w:rsidRDefault="009862C9" w:rsidP="009862C9">
            <w:pPr>
              <w:ind w:left="0"/>
              <w:jc w:val="center"/>
              <w:rPr>
                <w:rFonts w:ascii="Bookman Old Style" w:hAnsi="Bookman Old Style"/>
                <w:b/>
                <w:sz w:val="22"/>
                <w:szCs w:val="22"/>
              </w:rPr>
            </w:pPr>
            <w:r w:rsidRPr="009862C9">
              <w:rPr>
                <w:rFonts w:ascii="Bookman Old Style" w:hAnsi="Bookman Old Style"/>
                <w:b/>
                <w:color w:val="000000"/>
                <w:sz w:val="20"/>
                <w:szCs w:val="20"/>
              </w:rPr>
              <w:t>725.415.187</w:t>
            </w:r>
          </w:p>
        </w:tc>
      </w:tr>
    </w:tbl>
    <w:p w14:paraId="0BA4EDA8"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513E080B" w14:textId="77777777" w:rsidR="00483D9E" w:rsidRDefault="00483D9E" w:rsidP="00341E8F">
      <w:pPr>
        <w:widowControl w:val="0"/>
        <w:adjustRightInd w:val="0"/>
        <w:ind w:left="0"/>
        <w:jc w:val="center"/>
        <w:rPr>
          <w:rFonts w:ascii="Bookman Old Style" w:hAnsi="Bookman Old Style" w:cs="Arial"/>
          <w:b/>
        </w:rPr>
      </w:pPr>
    </w:p>
    <w:p w14:paraId="53C77FCD" w14:textId="77777777" w:rsidR="006240C9" w:rsidRDefault="006240C9" w:rsidP="00341E8F">
      <w:pPr>
        <w:widowControl w:val="0"/>
        <w:adjustRightInd w:val="0"/>
        <w:ind w:left="0"/>
        <w:jc w:val="center"/>
        <w:rPr>
          <w:rFonts w:ascii="Bookman Old Style" w:hAnsi="Bookman Old Style" w:cs="Arial"/>
          <w:b/>
        </w:rPr>
      </w:pPr>
    </w:p>
    <w:p w14:paraId="45F28DB9" w14:textId="77777777" w:rsidR="00AB184D" w:rsidRDefault="00AB184D" w:rsidP="00341E8F">
      <w:pPr>
        <w:widowControl w:val="0"/>
        <w:adjustRightInd w:val="0"/>
        <w:ind w:left="0"/>
        <w:jc w:val="center"/>
        <w:rPr>
          <w:rFonts w:ascii="Bookman Old Style" w:hAnsi="Bookman Old Style" w:cs="Arial"/>
          <w:b/>
        </w:rPr>
      </w:pPr>
    </w:p>
    <w:p w14:paraId="0533C1EF" w14:textId="77777777" w:rsidR="006240C9" w:rsidRDefault="006240C9" w:rsidP="00341E8F">
      <w:pPr>
        <w:widowControl w:val="0"/>
        <w:adjustRightInd w:val="0"/>
        <w:ind w:left="0"/>
        <w:jc w:val="center"/>
        <w:rPr>
          <w:rFonts w:ascii="Bookman Old Style" w:hAnsi="Bookman Old Style" w:cs="Arial"/>
          <w:b/>
        </w:rPr>
      </w:pPr>
    </w:p>
    <w:p w14:paraId="2DA3AB7E"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232FBDFA" w14:textId="77777777" w:rsidTr="00E51288">
        <w:trPr>
          <w:trHeight w:val="876"/>
          <w:jc w:val="center"/>
        </w:trPr>
        <w:tc>
          <w:tcPr>
            <w:tcW w:w="5184" w:type="dxa"/>
          </w:tcPr>
          <w:p w14:paraId="1E999660" w14:textId="77777777" w:rsidR="002F1B8A" w:rsidRDefault="002F1B8A" w:rsidP="002F1B8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052A9B66" w14:textId="77777777" w:rsidR="002F1B8A" w:rsidRDefault="002F1B8A" w:rsidP="002F1B8A">
            <w:pPr>
              <w:suppressAutoHyphens/>
              <w:ind w:left="0"/>
              <w:jc w:val="center"/>
              <w:rPr>
                <w:rFonts w:ascii="Bookman Old Style" w:hAnsi="Bookman Old Style"/>
              </w:rPr>
            </w:pPr>
            <w:r>
              <w:rPr>
                <w:rFonts w:ascii="Bookman Old Style" w:hAnsi="Bookman Old Style"/>
              </w:rPr>
              <w:t>Viceministro de Energía</w:t>
            </w:r>
          </w:p>
          <w:p w14:paraId="4E984636" w14:textId="77777777" w:rsidR="002F1B8A" w:rsidRDefault="002F1B8A" w:rsidP="002F1B8A">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5F6525C1" w14:textId="3BF52B41" w:rsidR="00984132" w:rsidRPr="00BD0865" w:rsidRDefault="002F1B8A"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4666439D" w14:textId="3FD0CF57"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BF2E5B">
              <w:rPr>
                <w:rFonts w:ascii="Bookman Old Style" w:hAnsi="Bookman Old Style" w:cs="Arial"/>
                <w:b/>
              </w:rPr>
              <w:t>R</w:t>
            </w:r>
            <w:r>
              <w:rPr>
                <w:rFonts w:ascii="Bookman Old Style" w:hAnsi="Bookman Old Style" w:cs="Arial"/>
                <w:b/>
              </w:rPr>
              <w:t>RERA</w:t>
            </w:r>
          </w:p>
          <w:p w14:paraId="5C3CCA74"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7997E0A1"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FA7EF0">
      <w:headerReference w:type="default" r:id="rId20"/>
      <w:headerReference w:type="first" r:id="rId21"/>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DA48B" w14:textId="77777777" w:rsidR="003250B8" w:rsidRDefault="003250B8">
      <w:r>
        <w:separator/>
      </w:r>
    </w:p>
  </w:endnote>
  <w:endnote w:type="continuationSeparator" w:id="0">
    <w:p w14:paraId="240EC293" w14:textId="77777777" w:rsidR="003250B8" w:rsidRDefault="0032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AFB6A" w14:textId="77777777" w:rsidR="003250B8" w:rsidRDefault="003250B8">
      <w:r>
        <w:separator/>
      </w:r>
    </w:p>
  </w:footnote>
  <w:footnote w:type="continuationSeparator" w:id="0">
    <w:p w14:paraId="69C2EEBF" w14:textId="77777777" w:rsidR="003250B8" w:rsidRDefault="003250B8">
      <w:r>
        <w:continuationSeparator/>
      </w:r>
    </w:p>
  </w:footnote>
  <w:footnote w:id="1">
    <w:p w14:paraId="3152F0C4" w14:textId="77777777" w:rsidR="00DA3226" w:rsidRPr="00B860E3" w:rsidRDefault="00DA3226" w:rsidP="001504DB">
      <w:pPr>
        <w:pStyle w:val="Textonotapie"/>
        <w:rPr>
          <w:rFonts w:ascii="Bookman Old Style" w:hAnsi="Bookman Old Style"/>
          <w:sz w:val="16"/>
          <w:szCs w:val="16"/>
        </w:rPr>
      </w:pPr>
      <w:r w:rsidRPr="00B860E3">
        <w:rPr>
          <w:rStyle w:val="Refdenotaalpie"/>
          <w:rFonts w:ascii="Bookman Old Style" w:hAnsi="Bookman Old Style"/>
          <w:sz w:val="16"/>
          <w:szCs w:val="16"/>
        </w:rPr>
        <w:footnoteRef/>
      </w:r>
      <w:r w:rsidRPr="00B860E3">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5EB58DB" w14:textId="77777777" w:rsidR="00DA3226" w:rsidRPr="00B860E3" w:rsidRDefault="00DA3226">
      <w:pPr>
        <w:pStyle w:val="Textonotapie"/>
        <w:rPr>
          <w:rFonts w:ascii="Bookman Old Style" w:hAnsi="Bookman Old Style"/>
          <w:sz w:val="16"/>
          <w:szCs w:val="16"/>
        </w:rPr>
      </w:pPr>
      <w:r w:rsidRPr="00B860E3">
        <w:rPr>
          <w:rStyle w:val="Refdenotaalpie"/>
          <w:rFonts w:ascii="Bookman Old Style" w:hAnsi="Bookman Old Style"/>
          <w:sz w:val="16"/>
          <w:szCs w:val="16"/>
        </w:rPr>
        <w:footnoteRef/>
      </w:r>
      <w:r w:rsidRPr="00B860E3">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144C" w14:textId="77777777" w:rsidR="00DA3226" w:rsidRDefault="00DA3226" w:rsidP="00951F79">
    <w:pPr>
      <w:pStyle w:val="Ttulo1"/>
      <w:ind w:right="6"/>
      <w:jc w:val="left"/>
      <w:rPr>
        <w:rFonts w:ascii="Bookman Old Style" w:hAnsi="Bookman Old Style" w:cs="Arial"/>
        <w:b w:val="0"/>
        <w:sz w:val="22"/>
        <w:szCs w:val="22"/>
      </w:rPr>
    </w:pPr>
  </w:p>
  <w:p w14:paraId="10D36847" w14:textId="2F0C7612" w:rsidR="00DA3226" w:rsidRPr="00951F79" w:rsidRDefault="00DA322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909B8">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B909B8">
      <w:rPr>
        <w:rFonts w:ascii="Bookman Old Style" w:hAnsi="Bookman Old Style" w:cs="Arial"/>
        <w:b w:val="0"/>
        <w:noProof/>
        <w:sz w:val="22"/>
        <w:szCs w:val="22"/>
      </w:rPr>
      <w:t>15</w:t>
    </w:r>
    <w:r>
      <w:rPr>
        <w:rFonts w:ascii="Bookman Old Style" w:hAnsi="Bookman Old Style" w:cs="Arial"/>
        <w:b w:val="0"/>
        <w:noProof/>
        <w:sz w:val="22"/>
        <w:szCs w:val="22"/>
      </w:rPr>
      <w:fldChar w:fldCharType="end"/>
    </w:r>
  </w:p>
  <w:p w14:paraId="195415E8" w14:textId="77777777" w:rsidR="00DA3226" w:rsidRDefault="00DA3226"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3927312E" wp14:editId="2F9680FD">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9D91BE7" w14:textId="77777777" w:rsidR="00DA3226" w:rsidRPr="00F97224" w:rsidRDefault="00DA3226" w:rsidP="00B860E3">
    <w:pPr>
      <w:ind w:left="0"/>
      <w:jc w:val="both"/>
      <w:rPr>
        <w:rFonts w:ascii="Bookman Old Style" w:hAnsi="Bookman Old Style" w:cs="Arial"/>
        <w:sz w:val="22"/>
        <w:szCs w:val="22"/>
        <w:lang w:val="es-ES_tradnl"/>
      </w:rPr>
    </w:pPr>
    <w:r w:rsidRPr="00F97224">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conformado por los centros poblados de Jaraquiel y Sierra Chiquita en el municipio de Montería; Rabolargo, San Antonio y El Cedro en el municipio de Cereté, departamento de Córdoba, según solicitud tarifaria presentada por la empresa JADAPE S.A.S. E.S.P.</w:t>
    </w:r>
  </w:p>
  <w:p w14:paraId="291056B8" w14:textId="77777777" w:rsidR="00DA3226" w:rsidRPr="006A4E34" w:rsidRDefault="00DA3226" w:rsidP="00B860E3">
    <w:pPr>
      <w:pBdr>
        <w:bottom w:val="single" w:sz="4" w:space="1" w:color="auto"/>
      </w:pBdr>
      <w:spacing w:after="12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6FE7" w14:textId="77777777" w:rsidR="00DA3226" w:rsidRDefault="00DA3226"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032AE8BB" w14:textId="77777777" w:rsidR="00DA3226" w:rsidRDefault="00DA3226">
    <w:pPr>
      <w:pStyle w:val="Encabezado"/>
      <w:jc w:val="center"/>
      <w:rPr>
        <w:rFonts w:ascii="Arial" w:hAnsi="Arial" w:cs="Arial"/>
        <w:spacing w:val="20"/>
        <w:sz w:val="20"/>
      </w:rPr>
    </w:pPr>
  </w:p>
  <w:p w14:paraId="202F127F" w14:textId="77777777" w:rsidR="00DA3226" w:rsidRDefault="00DA322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BDF2421" wp14:editId="7A79E4FE">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5E7241C"/>
    <w:multiLevelType w:val="hybridMultilevel"/>
    <w:tmpl w:val="E356F6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7"/>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2259"/>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3657"/>
    <w:rsid w:val="00064D35"/>
    <w:rsid w:val="000664AE"/>
    <w:rsid w:val="000679CE"/>
    <w:rsid w:val="00071793"/>
    <w:rsid w:val="00075F96"/>
    <w:rsid w:val="00076680"/>
    <w:rsid w:val="00076A1D"/>
    <w:rsid w:val="00076DF2"/>
    <w:rsid w:val="0007705D"/>
    <w:rsid w:val="0007780C"/>
    <w:rsid w:val="0008073E"/>
    <w:rsid w:val="00082816"/>
    <w:rsid w:val="00082B86"/>
    <w:rsid w:val="00087274"/>
    <w:rsid w:val="000873E1"/>
    <w:rsid w:val="0009160F"/>
    <w:rsid w:val="00091CDB"/>
    <w:rsid w:val="00091F23"/>
    <w:rsid w:val="00092171"/>
    <w:rsid w:val="0009253D"/>
    <w:rsid w:val="000929BA"/>
    <w:rsid w:val="00093F01"/>
    <w:rsid w:val="00093F91"/>
    <w:rsid w:val="00096E1F"/>
    <w:rsid w:val="000A19AC"/>
    <w:rsid w:val="000A3172"/>
    <w:rsid w:val="000A3D5F"/>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E01B8"/>
    <w:rsid w:val="000E1844"/>
    <w:rsid w:val="000E2037"/>
    <w:rsid w:val="000E41E3"/>
    <w:rsid w:val="000E5A0A"/>
    <w:rsid w:val="000E606B"/>
    <w:rsid w:val="000E644D"/>
    <w:rsid w:val="000E65FF"/>
    <w:rsid w:val="000E6D97"/>
    <w:rsid w:val="000E7A38"/>
    <w:rsid w:val="000E7D39"/>
    <w:rsid w:val="000E7F51"/>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202B9"/>
    <w:rsid w:val="0012200E"/>
    <w:rsid w:val="00122CFB"/>
    <w:rsid w:val="00123915"/>
    <w:rsid w:val="0012404A"/>
    <w:rsid w:val="00126133"/>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723"/>
    <w:rsid w:val="00175814"/>
    <w:rsid w:val="00177A83"/>
    <w:rsid w:val="001803B2"/>
    <w:rsid w:val="00182325"/>
    <w:rsid w:val="00184F26"/>
    <w:rsid w:val="0018547A"/>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77"/>
    <w:rsid w:val="001A56FE"/>
    <w:rsid w:val="001A5F1B"/>
    <w:rsid w:val="001A7C13"/>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5601"/>
    <w:rsid w:val="001E738F"/>
    <w:rsid w:val="001E7D10"/>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2DA"/>
    <w:rsid w:val="002223A2"/>
    <w:rsid w:val="0022433C"/>
    <w:rsid w:val="00226ECF"/>
    <w:rsid w:val="002271C4"/>
    <w:rsid w:val="002300AF"/>
    <w:rsid w:val="00230611"/>
    <w:rsid w:val="00231F80"/>
    <w:rsid w:val="00237A3D"/>
    <w:rsid w:val="00237FDF"/>
    <w:rsid w:val="002403B4"/>
    <w:rsid w:val="00240455"/>
    <w:rsid w:val="00241181"/>
    <w:rsid w:val="00241399"/>
    <w:rsid w:val="002424B9"/>
    <w:rsid w:val="0024290F"/>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1BF8"/>
    <w:rsid w:val="0026623A"/>
    <w:rsid w:val="00266CD6"/>
    <w:rsid w:val="00266F1D"/>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5FDD"/>
    <w:rsid w:val="002C69FA"/>
    <w:rsid w:val="002D0016"/>
    <w:rsid w:val="002D0C0D"/>
    <w:rsid w:val="002D16E4"/>
    <w:rsid w:val="002D1ECA"/>
    <w:rsid w:val="002D200F"/>
    <w:rsid w:val="002D2239"/>
    <w:rsid w:val="002D2CEF"/>
    <w:rsid w:val="002D3AE9"/>
    <w:rsid w:val="002D4510"/>
    <w:rsid w:val="002D574B"/>
    <w:rsid w:val="002D6B88"/>
    <w:rsid w:val="002D747B"/>
    <w:rsid w:val="002E0C2C"/>
    <w:rsid w:val="002E130E"/>
    <w:rsid w:val="002E41C0"/>
    <w:rsid w:val="002E4959"/>
    <w:rsid w:val="002E4DC3"/>
    <w:rsid w:val="002E5905"/>
    <w:rsid w:val="002E7264"/>
    <w:rsid w:val="002F0734"/>
    <w:rsid w:val="002F0CC9"/>
    <w:rsid w:val="002F1B8A"/>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D76"/>
    <w:rsid w:val="0031747C"/>
    <w:rsid w:val="00317E61"/>
    <w:rsid w:val="00320809"/>
    <w:rsid w:val="00320A00"/>
    <w:rsid w:val="003211CE"/>
    <w:rsid w:val="00321766"/>
    <w:rsid w:val="00321E6C"/>
    <w:rsid w:val="003250B8"/>
    <w:rsid w:val="00326082"/>
    <w:rsid w:val="0032669A"/>
    <w:rsid w:val="00327FC7"/>
    <w:rsid w:val="0033099C"/>
    <w:rsid w:val="0033191F"/>
    <w:rsid w:val="00340F22"/>
    <w:rsid w:val="00341E8F"/>
    <w:rsid w:val="00345FA9"/>
    <w:rsid w:val="00346E50"/>
    <w:rsid w:val="003518A4"/>
    <w:rsid w:val="0035403A"/>
    <w:rsid w:val="00354CE5"/>
    <w:rsid w:val="00355285"/>
    <w:rsid w:val="00356C1B"/>
    <w:rsid w:val="00357DAB"/>
    <w:rsid w:val="00360ADB"/>
    <w:rsid w:val="00361664"/>
    <w:rsid w:val="0036394B"/>
    <w:rsid w:val="00364E6F"/>
    <w:rsid w:val="00364E90"/>
    <w:rsid w:val="0036751E"/>
    <w:rsid w:val="00367F57"/>
    <w:rsid w:val="003700B5"/>
    <w:rsid w:val="003709B5"/>
    <w:rsid w:val="003734BE"/>
    <w:rsid w:val="00373B71"/>
    <w:rsid w:val="0037468F"/>
    <w:rsid w:val="003759C2"/>
    <w:rsid w:val="00376FB4"/>
    <w:rsid w:val="00384193"/>
    <w:rsid w:val="003846C6"/>
    <w:rsid w:val="00384BE4"/>
    <w:rsid w:val="00385984"/>
    <w:rsid w:val="00387A57"/>
    <w:rsid w:val="00391B3F"/>
    <w:rsid w:val="003943C4"/>
    <w:rsid w:val="003956D0"/>
    <w:rsid w:val="00397365"/>
    <w:rsid w:val="003A09AA"/>
    <w:rsid w:val="003A2C11"/>
    <w:rsid w:val="003A2CCD"/>
    <w:rsid w:val="003A31F6"/>
    <w:rsid w:val="003A3340"/>
    <w:rsid w:val="003A3799"/>
    <w:rsid w:val="003A46CB"/>
    <w:rsid w:val="003A65DA"/>
    <w:rsid w:val="003A789A"/>
    <w:rsid w:val="003B10B9"/>
    <w:rsid w:val="003B46A0"/>
    <w:rsid w:val="003B5489"/>
    <w:rsid w:val="003B65CC"/>
    <w:rsid w:val="003B6A60"/>
    <w:rsid w:val="003B75B5"/>
    <w:rsid w:val="003B769B"/>
    <w:rsid w:val="003C1DCC"/>
    <w:rsid w:val="003C24AD"/>
    <w:rsid w:val="003C3004"/>
    <w:rsid w:val="003C3447"/>
    <w:rsid w:val="003C4F3C"/>
    <w:rsid w:val="003C6E60"/>
    <w:rsid w:val="003C7080"/>
    <w:rsid w:val="003C7783"/>
    <w:rsid w:val="003D076C"/>
    <w:rsid w:val="003D21D5"/>
    <w:rsid w:val="003D3597"/>
    <w:rsid w:val="003D5E6D"/>
    <w:rsid w:val="003D5E91"/>
    <w:rsid w:val="003D740F"/>
    <w:rsid w:val="003E0379"/>
    <w:rsid w:val="003E048C"/>
    <w:rsid w:val="003E2B23"/>
    <w:rsid w:val="003E2FE2"/>
    <w:rsid w:val="003E78B5"/>
    <w:rsid w:val="003F0076"/>
    <w:rsid w:val="003F5A31"/>
    <w:rsid w:val="003F687D"/>
    <w:rsid w:val="003F7FBF"/>
    <w:rsid w:val="004007B3"/>
    <w:rsid w:val="00403322"/>
    <w:rsid w:val="00404192"/>
    <w:rsid w:val="00404DA1"/>
    <w:rsid w:val="00407E99"/>
    <w:rsid w:val="00410015"/>
    <w:rsid w:val="00411731"/>
    <w:rsid w:val="00411770"/>
    <w:rsid w:val="00411DFB"/>
    <w:rsid w:val="00413EF7"/>
    <w:rsid w:val="00415BAB"/>
    <w:rsid w:val="00415ED2"/>
    <w:rsid w:val="00415FAD"/>
    <w:rsid w:val="00416B74"/>
    <w:rsid w:val="0042068C"/>
    <w:rsid w:val="0042141F"/>
    <w:rsid w:val="004229E7"/>
    <w:rsid w:val="00423E5C"/>
    <w:rsid w:val="004248D0"/>
    <w:rsid w:val="004260E0"/>
    <w:rsid w:val="00426523"/>
    <w:rsid w:val="00430FE8"/>
    <w:rsid w:val="0043168B"/>
    <w:rsid w:val="00431A8E"/>
    <w:rsid w:val="004345E1"/>
    <w:rsid w:val="004355FC"/>
    <w:rsid w:val="00436CBA"/>
    <w:rsid w:val="00436F3F"/>
    <w:rsid w:val="004378CC"/>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76B"/>
    <w:rsid w:val="00463F18"/>
    <w:rsid w:val="004656CD"/>
    <w:rsid w:val="004672AD"/>
    <w:rsid w:val="0047111B"/>
    <w:rsid w:val="0047122B"/>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A7E9E"/>
    <w:rsid w:val="004B1840"/>
    <w:rsid w:val="004B27BD"/>
    <w:rsid w:val="004B2E9D"/>
    <w:rsid w:val="004B460E"/>
    <w:rsid w:val="004C1C08"/>
    <w:rsid w:val="004C3AAC"/>
    <w:rsid w:val="004C4E22"/>
    <w:rsid w:val="004C4E6C"/>
    <w:rsid w:val="004C50F1"/>
    <w:rsid w:val="004D0BC0"/>
    <w:rsid w:val="004D0C51"/>
    <w:rsid w:val="004D19FA"/>
    <w:rsid w:val="004D2FD2"/>
    <w:rsid w:val="004D43AE"/>
    <w:rsid w:val="004D5674"/>
    <w:rsid w:val="004D6EB8"/>
    <w:rsid w:val="004D7020"/>
    <w:rsid w:val="004D7634"/>
    <w:rsid w:val="004D77B5"/>
    <w:rsid w:val="004E1E32"/>
    <w:rsid w:val="004E2802"/>
    <w:rsid w:val="004E45FB"/>
    <w:rsid w:val="004E46B6"/>
    <w:rsid w:val="004E69D2"/>
    <w:rsid w:val="004F371F"/>
    <w:rsid w:val="004F564A"/>
    <w:rsid w:val="004F64E3"/>
    <w:rsid w:val="004F6A8A"/>
    <w:rsid w:val="004F759A"/>
    <w:rsid w:val="0050015E"/>
    <w:rsid w:val="005016AB"/>
    <w:rsid w:val="005027FE"/>
    <w:rsid w:val="00502BC7"/>
    <w:rsid w:val="0050413D"/>
    <w:rsid w:val="00504837"/>
    <w:rsid w:val="00504995"/>
    <w:rsid w:val="00504F36"/>
    <w:rsid w:val="00505258"/>
    <w:rsid w:val="00505B33"/>
    <w:rsid w:val="00505C1E"/>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56CEB"/>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479F"/>
    <w:rsid w:val="005848AA"/>
    <w:rsid w:val="00584A2C"/>
    <w:rsid w:val="005873FD"/>
    <w:rsid w:val="005878CC"/>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CC4"/>
    <w:rsid w:val="005B7290"/>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5F99"/>
    <w:rsid w:val="005D7696"/>
    <w:rsid w:val="005D77A0"/>
    <w:rsid w:val="005D7E02"/>
    <w:rsid w:val="005E035F"/>
    <w:rsid w:val="005E260A"/>
    <w:rsid w:val="005E448B"/>
    <w:rsid w:val="005E44A9"/>
    <w:rsid w:val="005E5989"/>
    <w:rsid w:val="005E66BA"/>
    <w:rsid w:val="005E6E20"/>
    <w:rsid w:val="005E783F"/>
    <w:rsid w:val="005F04C9"/>
    <w:rsid w:val="005F2A2E"/>
    <w:rsid w:val="005F30B6"/>
    <w:rsid w:val="005F343B"/>
    <w:rsid w:val="005F5F07"/>
    <w:rsid w:val="005F6F41"/>
    <w:rsid w:val="005F7255"/>
    <w:rsid w:val="00600248"/>
    <w:rsid w:val="006002C7"/>
    <w:rsid w:val="006005E4"/>
    <w:rsid w:val="00601A4E"/>
    <w:rsid w:val="006029DA"/>
    <w:rsid w:val="00605F60"/>
    <w:rsid w:val="00612218"/>
    <w:rsid w:val="00614BF3"/>
    <w:rsid w:val="006156F2"/>
    <w:rsid w:val="00615B0A"/>
    <w:rsid w:val="0061682D"/>
    <w:rsid w:val="00616E57"/>
    <w:rsid w:val="00621590"/>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5241"/>
    <w:rsid w:val="0066646A"/>
    <w:rsid w:val="006672F7"/>
    <w:rsid w:val="006675CD"/>
    <w:rsid w:val="00667C82"/>
    <w:rsid w:val="00670686"/>
    <w:rsid w:val="00670D23"/>
    <w:rsid w:val="0067262A"/>
    <w:rsid w:val="00672B47"/>
    <w:rsid w:val="00674C40"/>
    <w:rsid w:val="00674CF3"/>
    <w:rsid w:val="0067530D"/>
    <w:rsid w:val="00675DB2"/>
    <w:rsid w:val="00675E38"/>
    <w:rsid w:val="0067736F"/>
    <w:rsid w:val="0068016A"/>
    <w:rsid w:val="00680AF0"/>
    <w:rsid w:val="00681AD8"/>
    <w:rsid w:val="00681CE5"/>
    <w:rsid w:val="00682647"/>
    <w:rsid w:val="006832C6"/>
    <w:rsid w:val="0068499C"/>
    <w:rsid w:val="00684C67"/>
    <w:rsid w:val="00684CDA"/>
    <w:rsid w:val="00684D9B"/>
    <w:rsid w:val="0068645C"/>
    <w:rsid w:val="006922CB"/>
    <w:rsid w:val="00692AD7"/>
    <w:rsid w:val="00692D20"/>
    <w:rsid w:val="00697556"/>
    <w:rsid w:val="0069757F"/>
    <w:rsid w:val="006A01FE"/>
    <w:rsid w:val="006A154F"/>
    <w:rsid w:val="006A161A"/>
    <w:rsid w:val="006A4E34"/>
    <w:rsid w:val="006A5307"/>
    <w:rsid w:val="006A69D0"/>
    <w:rsid w:val="006B09AB"/>
    <w:rsid w:val="006B1C64"/>
    <w:rsid w:val="006B2572"/>
    <w:rsid w:val="006B381F"/>
    <w:rsid w:val="006B3F46"/>
    <w:rsid w:val="006B4647"/>
    <w:rsid w:val="006B4C2B"/>
    <w:rsid w:val="006B4F58"/>
    <w:rsid w:val="006B5916"/>
    <w:rsid w:val="006B5D87"/>
    <w:rsid w:val="006B60D3"/>
    <w:rsid w:val="006B6D47"/>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D5F"/>
    <w:rsid w:val="006E42FB"/>
    <w:rsid w:val="006E65AE"/>
    <w:rsid w:val="006E78EE"/>
    <w:rsid w:val="006F0827"/>
    <w:rsid w:val="006F1E13"/>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1B"/>
    <w:rsid w:val="007072E8"/>
    <w:rsid w:val="00707D58"/>
    <w:rsid w:val="0071618D"/>
    <w:rsid w:val="00717135"/>
    <w:rsid w:val="007214D8"/>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2D1D"/>
    <w:rsid w:val="007435EE"/>
    <w:rsid w:val="007438A9"/>
    <w:rsid w:val="0074491E"/>
    <w:rsid w:val="0074568F"/>
    <w:rsid w:val="00746066"/>
    <w:rsid w:val="007467F1"/>
    <w:rsid w:val="00746862"/>
    <w:rsid w:val="00751D88"/>
    <w:rsid w:val="00752A24"/>
    <w:rsid w:val="00755165"/>
    <w:rsid w:val="00757F03"/>
    <w:rsid w:val="0076247A"/>
    <w:rsid w:val="00762BAC"/>
    <w:rsid w:val="0076494E"/>
    <w:rsid w:val="0076581E"/>
    <w:rsid w:val="00767414"/>
    <w:rsid w:val="00767B58"/>
    <w:rsid w:val="00772807"/>
    <w:rsid w:val="00772DA8"/>
    <w:rsid w:val="00773BA2"/>
    <w:rsid w:val="007743CF"/>
    <w:rsid w:val="00775964"/>
    <w:rsid w:val="007765FE"/>
    <w:rsid w:val="007814D0"/>
    <w:rsid w:val="007842C3"/>
    <w:rsid w:val="00784B67"/>
    <w:rsid w:val="0078760A"/>
    <w:rsid w:val="007879AF"/>
    <w:rsid w:val="00787FC1"/>
    <w:rsid w:val="007901D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4E9"/>
    <w:rsid w:val="007D4A2B"/>
    <w:rsid w:val="007D6341"/>
    <w:rsid w:val="007E06F9"/>
    <w:rsid w:val="007E1F80"/>
    <w:rsid w:val="007E44F9"/>
    <w:rsid w:val="007E5E96"/>
    <w:rsid w:val="007F1A26"/>
    <w:rsid w:val="007F2B73"/>
    <w:rsid w:val="007F3518"/>
    <w:rsid w:val="007F3868"/>
    <w:rsid w:val="007F4922"/>
    <w:rsid w:val="0080021C"/>
    <w:rsid w:val="00802A65"/>
    <w:rsid w:val="00803CE9"/>
    <w:rsid w:val="008051A3"/>
    <w:rsid w:val="00805553"/>
    <w:rsid w:val="00805F76"/>
    <w:rsid w:val="00806C01"/>
    <w:rsid w:val="008112E8"/>
    <w:rsid w:val="0081130B"/>
    <w:rsid w:val="0081331D"/>
    <w:rsid w:val="008148CC"/>
    <w:rsid w:val="008150E7"/>
    <w:rsid w:val="00815434"/>
    <w:rsid w:val="008165E3"/>
    <w:rsid w:val="008173AB"/>
    <w:rsid w:val="008211A4"/>
    <w:rsid w:val="00823A07"/>
    <w:rsid w:val="00826208"/>
    <w:rsid w:val="00827924"/>
    <w:rsid w:val="00827978"/>
    <w:rsid w:val="00831285"/>
    <w:rsid w:val="00831A1E"/>
    <w:rsid w:val="00831F9C"/>
    <w:rsid w:val="0083352E"/>
    <w:rsid w:val="008348CB"/>
    <w:rsid w:val="00834B60"/>
    <w:rsid w:val="00836BD5"/>
    <w:rsid w:val="00837B9A"/>
    <w:rsid w:val="0084194F"/>
    <w:rsid w:val="00843746"/>
    <w:rsid w:val="00844136"/>
    <w:rsid w:val="00844D9E"/>
    <w:rsid w:val="00845DB3"/>
    <w:rsid w:val="00847443"/>
    <w:rsid w:val="008501D2"/>
    <w:rsid w:val="008540A0"/>
    <w:rsid w:val="0085467A"/>
    <w:rsid w:val="00854C37"/>
    <w:rsid w:val="008554C7"/>
    <w:rsid w:val="008563D3"/>
    <w:rsid w:val="0085706C"/>
    <w:rsid w:val="008577C6"/>
    <w:rsid w:val="008611E7"/>
    <w:rsid w:val="008625F4"/>
    <w:rsid w:val="00864029"/>
    <w:rsid w:val="00865C0F"/>
    <w:rsid w:val="00867644"/>
    <w:rsid w:val="008712A7"/>
    <w:rsid w:val="0087140E"/>
    <w:rsid w:val="00871E95"/>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2C5F"/>
    <w:rsid w:val="00883586"/>
    <w:rsid w:val="0088560A"/>
    <w:rsid w:val="00886913"/>
    <w:rsid w:val="00886EE1"/>
    <w:rsid w:val="00886F37"/>
    <w:rsid w:val="0088727D"/>
    <w:rsid w:val="00887878"/>
    <w:rsid w:val="00890729"/>
    <w:rsid w:val="0089258E"/>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6D10"/>
    <w:rsid w:val="009076C7"/>
    <w:rsid w:val="00910030"/>
    <w:rsid w:val="009138F3"/>
    <w:rsid w:val="00913D26"/>
    <w:rsid w:val="009141C9"/>
    <w:rsid w:val="00914D6C"/>
    <w:rsid w:val="00920416"/>
    <w:rsid w:val="00920C3D"/>
    <w:rsid w:val="00921B3A"/>
    <w:rsid w:val="00921FE1"/>
    <w:rsid w:val="0092279E"/>
    <w:rsid w:val="009240B7"/>
    <w:rsid w:val="0092412E"/>
    <w:rsid w:val="00924B1B"/>
    <w:rsid w:val="0092593B"/>
    <w:rsid w:val="00925EFA"/>
    <w:rsid w:val="009269C7"/>
    <w:rsid w:val="00926AFE"/>
    <w:rsid w:val="00930B12"/>
    <w:rsid w:val="009314E6"/>
    <w:rsid w:val="00932DC8"/>
    <w:rsid w:val="00934F43"/>
    <w:rsid w:val="00934FA6"/>
    <w:rsid w:val="00935FAC"/>
    <w:rsid w:val="00937565"/>
    <w:rsid w:val="00940FD7"/>
    <w:rsid w:val="0094252E"/>
    <w:rsid w:val="00942841"/>
    <w:rsid w:val="009429E7"/>
    <w:rsid w:val="00942BAC"/>
    <w:rsid w:val="00942E7A"/>
    <w:rsid w:val="00942FC6"/>
    <w:rsid w:val="00945A3C"/>
    <w:rsid w:val="0094658F"/>
    <w:rsid w:val="00946AB1"/>
    <w:rsid w:val="009474AD"/>
    <w:rsid w:val="00951123"/>
    <w:rsid w:val="009516B8"/>
    <w:rsid w:val="00951F79"/>
    <w:rsid w:val="00952A8C"/>
    <w:rsid w:val="0095363B"/>
    <w:rsid w:val="0095512C"/>
    <w:rsid w:val="00955D73"/>
    <w:rsid w:val="00956824"/>
    <w:rsid w:val="00956A84"/>
    <w:rsid w:val="00960F2B"/>
    <w:rsid w:val="009611AB"/>
    <w:rsid w:val="00961D16"/>
    <w:rsid w:val="00961E1B"/>
    <w:rsid w:val="009637C0"/>
    <w:rsid w:val="00967121"/>
    <w:rsid w:val="00967D49"/>
    <w:rsid w:val="00967DCA"/>
    <w:rsid w:val="009701E7"/>
    <w:rsid w:val="009714A1"/>
    <w:rsid w:val="0097361C"/>
    <w:rsid w:val="0097441F"/>
    <w:rsid w:val="00974AB5"/>
    <w:rsid w:val="00974D5B"/>
    <w:rsid w:val="00975962"/>
    <w:rsid w:val="009766CA"/>
    <w:rsid w:val="00976D32"/>
    <w:rsid w:val="00980814"/>
    <w:rsid w:val="00980D18"/>
    <w:rsid w:val="009814D9"/>
    <w:rsid w:val="00981C1F"/>
    <w:rsid w:val="00984132"/>
    <w:rsid w:val="00984E57"/>
    <w:rsid w:val="00985B19"/>
    <w:rsid w:val="009862C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D03C2"/>
    <w:rsid w:val="009D138E"/>
    <w:rsid w:val="009D1806"/>
    <w:rsid w:val="009D409B"/>
    <w:rsid w:val="009D4A1A"/>
    <w:rsid w:val="009D65E7"/>
    <w:rsid w:val="009D692A"/>
    <w:rsid w:val="009D69D2"/>
    <w:rsid w:val="009E0C30"/>
    <w:rsid w:val="009E0D7E"/>
    <w:rsid w:val="009E11C8"/>
    <w:rsid w:val="009E1365"/>
    <w:rsid w:val="009E2F5E"/>
    <w:rsid w:val="009E3948"/>
    <w:rsid w:val="009E6C87"/>
    <w:rsid w:val="009F0FC3"/>
    <w:rsid w:val="009F471E"/>
    <w:rsid w:val="009F492A"/>
    <w:rsid w:val="009F4A54"/>
    <w:rsid w:val="009F4BEC"/>
    <w:rsid w:val="009F5BAB"/>
    <w:rsid w:val="009F609F"/>
    <w:rsid w:val="009F7D37"/>
    <w:rsid w:val="00A0161E"/>
    <w:rsid w:val="00A02436"/>
    <w:rsid w:val="00A031DE"/>
    <w:rsid w:val="00A0489D"/>
    <w:rsid w:val="00A04D6F"/>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1776"/>
    <w:rsid w:val="00A32C46"/>
    <w:rsid w:val="00A3618A"/>
    <w:rsid w:val="00A36412"/>
    <w:rsid w:val="00A41FA4"/>
    <w:rsid w:val="00A43AFF"/>
    <w:rsid w:val="00A44502"/>
    <w:rsid w:val="00A44586"/>
    <w:rsid w:val="00A45239"/>
    <w:rsid w:val="00A469E4"/>
    <w:rsid w:val="00A47AD0"/>
    <w:rsid w:val="00A50F04"/>
    <w:rsid w:val="00A51D8F"/>
    <w:rsid w:val="00A51F21"/>
    <w:rsid w:val="00A53402"/>
    <w:rsid w:val="00A540E3"/>
    <w:rsid w:val="00A55E42"/>
    <w:rsid w:val="00A6127C"/>
    <w:rsid w:val="00A62A9D"/>
    <w:rsid w:val="00A647FE"/>
    <w:rsid w:val="00A71343"/>
    <w:rsid w:val="00A716F6"/>
    <w:rsid w:val="00A71CC8"/>
    <w:rsid w:val="00A72AE2"/>
    <w:rsid w:val="00A74199"/>
    <w:rsid w:val="00A75649"/>
    <w:rsid w:val="00A766E2"/>
    <w:rsid w:val="00A76D31"/>
    <w:rsid w:val="00A7793A"/>
    <w:rsid w:val="00A81C1B"/>
    <w:rsid w:val="00A824D1"/>
    <w:rsid w:val="00A83C4B"/>
    <w:rsid w:val="00A84DAD"/>
    <w:rsid w:val="00A85A53"/>
    <w:rsid w:val="00A85E18"/>
    <w:rsid w:val="00A86149"/>
    <w:rsid w:val="00A87AAD"/>
    <w:rsid w:val="00A90693"/>
    <w:rsid w:val="00A91BF5"/>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84D"/>
    <w:rsid w:val="00AB1E2A"/>
    <w:rsid w:val="00AB1F86"/>
    <w:rsid w:val="00AB57FD"/>
    <w:rsid w:val="00AB6CA7"/>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B003BA"/>
    <w:rsid w:val="00B0328B"/>
    <w:rsid w:val="00B03A76"/>
    <w:rsid w:val="00B04CFB"/>
    <w:rsid w:val="00B07133"/>
    <w:rsid w:val="00B072E2"/>
    <w:rsid w:val="00B101D3"/>
    <w:rsid w:val="00B10207"/>
    <w:rsid w:val="00B1347E"/>
    <w:rsid w:val="00B141E7"/>
    <w:rsid w:val="00B1560C"/>
    <w:rsid w:val="00B16275"/>
    <w:rsid w:val="00B16C3E"/>
    <w:rsid w:val="00B16C42"/>
    <w:rsid w:val="00B17FEB"/>
    <w:rsid w:val="00B204E6"/>
    <w:rsid w:val="00B22226"/>
    <w:rsid w:val="00B24602"/>
    <w:rsid w:val="00B26291"/>
    <w:rsid w:val="00B33934"/>
    <w:rsid w:val="00B351B4"/>
    <w:rsid w:val="00B3710B"/>
    <w:rsid w:val="00B37A67"/>
    <w:rsid w:val="00B453A0"/>
    <w:rsid w:val="00B46BCA"/>
    <w:rsid w:val="00B47F3A"/>
    <w:rsid w:val="00B50C1D"/>
    <w:rsid w:val="00B526A3"/>
    <w:rsid w:val="00B53781"/>
    <w:rsid w:val="00B540E0"/>
    <w:rsid w:val="00B565E2"/>
    <w:rsid w:val="00B60A02"/>
    <w:rsid w:val="00B60C8C"/>
    <w:rsid w:val="00B62199"/>
    <w:rsid w:val="00B62919"/>
    <w:rsid w:val="00B639AD"/>
    <w:rsid w:val="00B656B3"/>
    <w:rsid w:val="00B719AD"/>
    <w:rsid w:val="00B72378"/>
    <w:rsid w:val="00B724A1"/>
    <w:rsid w:val="00B7288A"/>
    <w:rsid w:val="00B72EC6"/>
    <w:rsid w:val="00B74F1F"/>
    <w:rsid w:val="00B756E7"/>
    <w:rsid w:val="00B75ED9"/>
    <w:rsid w:val="00B808E9"/>
    <w:rsid w:val="00B80A75"/>
    <w:rsid w:val="00B81BB4"/>
    <w:rsid w:val="00B8385A"/>
    <w:rsid w:val="00B83927"/>
    <w:rsid w:val="00B83ABE"/>
    <w:rsid w:val="00B8446A"/>
    <w:rsid w:val="00B860E3"/>
    <w:rsid w:val="00B86129"/>
    <w:rsid w:val="00B872EC"/>
    <w:rsid w:val="00B87806"/>
    <w:rsid w:val="00B87EC9"/>
    <w:rsid w:val="00B909B8"/>
    <w:rsid w:val="00B91123"/>
    <w:rsid w:val="00B917E4"/>
    <w:rsid w:val="00B91A55"/>
    <w:rsid w:val="00B923E3"/>
    <w:rsid w:val="00B92BC9"/>
    <w:rsid w:val="00B92EAC"/>
    <w:rsid w:val="00B948D7"/>
    <w:rsid w:val="00B94C06"/>
    <w:rsid w:val="00BA15AD"/>
    <w:rsid w:val="00BA1FCF"/>
    <w:rsid w:val="00BA2504"/>
    <w:rsid w:val="00BA3B2F"/>
    <w:rsid w:val="00BA3D38"/>
    <w:rsid w:val="00BA5519"/>
    <w:rsid w:val="00BA72FD"/>
    <w:rsid w:val="00BA73E3"/>
    <w:rsid w:val="00BB25A2"/>
    <w:rsid w:val="00BB2E30"/>
    <w:rsid w:val="00BB3638"/>
    <w:rsid w:val="00BB4983"/>
    <w:rsid w:val="00BB54AF"/>
    <w:rsid w:val="00BB6461"/>
    <w:rsid w:val="00BB7A66"/>
    <w:rsid w:val="00BC012F"/>
    <w:rsid w:val="00BC2B64"/>
    <w:rsid w:val="00BC38FD"/>
    <w:rsid w:val="00BC4557"/>
    <w:rsid w:val="00BC4ED4"/>
    <w:rsid w:val="00BD283C"/>
    <w:rsid w:val="00BD2F7D"/>
    <w:rsid w:val="00BD3267"/>
    <w:rsid w:val="00BD3B4C"/>
    <w:rsid w:val="00BD3E8F"/>
    <w:rsid w:val="00BD7F14"/>
    <w:rsid w:val="00BE1547"/>
    <w:rsid w:val="00BE2395"/>
    <w:rsid w:val="00BE6338"/>
    <w:rsid w:val="00BE6958"/>
    <w:rsid w:val="00BE76E0"/>
    <w:rsid w:val="00BE7CAA"/>
    <w:rsid w:val="00BF2120"/>
    <w:rsid w:val="00BF26B2"/>
    <w:rsid w:val="00BF2E5B"/>
    <w:rsid w:val="00BF359F"/>
    <w:rsid w:val="00BF35DB"/>
    <w:rsid w:val="00BF4008"/>
    <w:rsid w:val="00BF4946"/>
    <w:rsid w:val="00BF66D3"/>
    <w:rsid w:val="00BF6E67"/>
    <w:rsid w:val="00BF6EBD"/>
    <w:rsid w:val="00BF72A5"/>
    <w:rsid w:val="00BF77FD"/>
    <w:rsid w:val="00BF78D2"/>
    <w:rsid w:val="00C018C2"/>
    <w:rsid w:val="00C034CB"/>
    <w:rsid w:val="00C03A1D"/>
    <w:rsid w:val="00C04023"/>
    <w:rsid w:val="00C051A8"/>
    <w:rsid w:val="00C054BC"/>
    <w:rsid w:val="00C06446"/>
    <w:rsid w:val="00C06B4B"/>
    <w:rsid w:val="00C0700B"/>
    <w:rsid w:val="00C07E9D"/>
    <w:rsid w:val="00C11A90"/>
    <w:rsid w:val="00C11B83"/>
    <w:rsid w:val="00C122C4"/>
    <w:rsid w:val="00C13FD7"/>
    <w:rsid w:val="00C14B7E"/>
    <w:rsid w:val="00C14B82"/>
    <w:rsid w:val="00C159F0"/>
    <w:rsid w:val="00C16242"/>
    <w:rsid w:val="00C17897"/>
    <w:rsid w:val="00C2088C"/>
    <w:rsid w:val="00C21AA2"/>
    <w:rsid w:val="00C246BA"/>
    <w:rsid w:val="00C3020A"/>
    <w:rsid w:val="00C3324A"/>
    <w:rsid w:val="00C34589"/>
    <w:rsid w:val="00C350E9"/>
    <w:rsid w:val="00C35B2B"/>
    <w:rsid w:val="00C374DC"/>
    <w:rsid w:val="00C409D5"/>
    <w:rsid w:val="00C424BA"/>
    <w:rsid w:val="00C42E05"/>
    <w:rsid w:val="00C435C3"/>
    <w:rsid w:val="00C4502D"/>
    <w:rsid w:val="00C45BB1"/>
    <w:rsid w:val="00C47181"/>
    <w:rsid w:val="00C507D0"/>
    <w:rsid w:val="00C518D5"/>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0039"/>
    <w:rsid w:val="00C7068E"/>
    <w:rsid w:val="00C710B4"/>
    <w:rsid w:val="00C72BA5"/>
    <w:rsid w:val="00C73667"/>
    <w:rsid w:val="00C73F82"/>
    <w:rsid w:val="00C74BD1"/>
    <w:rsid w:val="00C75533"/>
    <w:rsid w:val="00C7629F"/>
    <w:rsid w:val="00C762FC"/>
    <w:rsid w:val="00C8225E"/>
    <w:rsid w:val="00C8372E"/>
    <w:rsid w:val="00C86165"/>
    <w:rsid w:val="00C86384"/>
    <w:rsid w:val="00C8661B"/>
    <w:rsid w:val="00C86F73"/>
    <w:rsid w:val="00C87369"/>
    <w:rsid w:val="00C87AC6"/>
    <w:rsid w:val="00C87CE5"/>
    <w:rsid w:val="00C90AB3"/>
    <w:rsid w:val="00C90C67"/>
    <w:rsid w:val="00C95EBA"/>
    <w:rsid w:val="00C96690"/>
    <w:rsid w:val="00C973B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4E45"/>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63CD"/>
    <w:rsid w:val="00CF6508"/>
    <w:rsid w:val="00CF6BF9"/>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07E6"/>
    <w:rsid w:val="00D516AA"/>
    <w:rsid w:val="00D538D5"/>
    <w:rsid w:val="00D53E26"/>
    <w:rsid w:val="00D54AA6"/>
    <w:rsid w:val="00D54D2B"/>
    <w:rsid w:val="00D55370"/>
    <w:rsid w:val="00D559C3"/>
    <w:rsid w:val="00D56663"/>
    <w:rsid w:val="00D607B1"/>
    <w:rsid w:val="00D609FA"/>
    <w:rsid w:val="00D60AC7"/>
    <w:rsid w:val="00D648EF"/>
    <w:rsid w:val="00D70019"/>
    <w:rsid w:val="00D715C2"/>
    <w:rsid w:val="00D72F09"/>
    <w:rsid w:val="00D73B47"/>
    <w:rsid w:val="00D80817"/>
    <w:rsid w:val="00D81AFD"/>
    <w:rsid w:val="00D828B9"/>
    <w:rsid w:val="00D8320E"/>
    <w:rsid w:val="00D84476"/>
    <w:rsid w:val="00D84A3D"/>
    <w:rsid w:val="00D9171F"/>
    <w:rsid w:val="00D918F3"/>
    <w:rsid w:val="00D91DED"/>
    <w:rsid w:val="00D92DE2"/>
    <w:rsid w:val="00D96545"/>
    <w:rsid w:val="00D96B7A"/>
    <w:rsid w:val="00D970F4"/>
    <w:rsid w:val="00DA2099"/>
    <w:rsid w:val="00DA239B"/>
    <w:rsid w:val="00DA3226"/>
    <w:rsid w:val="00DA5205"/>
    <w:rsid w:val="00DA5560"/>
    <w:rsid w:val="00DA5F78"/>
    <w:rsid w:val="00DA5FF5"/>
    <w:rsid w:val="00DB7E5C"/>
    <w:rsid w:val="00DB7F8C"/>
    <w:rsid w:val="00DC331E"/>
    <w:rsid w:val="00DC3636"/>
    <w:rsid w:val="00DC3F86"/>
    <w:rsid w:val="00DC7657"/>
    <w:rsid w:val="00DD13F2"/>
    <w:rsid w:val="00DD238F"/>
    <w:rsid w:val="00DD3077"/>
    <w:rsid w:val="00DD313A"/>
    <w:rsid w:val="00DD39A2"/>
    <w:rsid w:val="00DD3CE8"/>
    <w:rsid w:val="00DD4011"/>
    <w:rsid w:val="00DD4F0E"/>
    <w:rsid w:val="00DD5DF6"/>
    <w:rsid w:val="00DD73BE"/>
    <w:rsid w:val="00DE018C"/>
    <w:rsid w:val="00DE256A"/>
    <w:rsid w:val="00DE4017"/>
    <w:rsid w:val="00DE4FF5"/>
    <w:rsid w:val="00DE5690"/>
    <w:rsid w:val="00DE65CE"/>
    <w:rsid w:val="00DF00AE"/>
    <w:rsid w:val="00DF05A3"/>
    <w:rsid w:val="00DF070D"/>
    <w:rsid w:val="00DF0BF0"/>
    <w:rsid w:val="00DF1900"/>
    <w:rsid w:val="00DF3F3C"/>
    <w:rsid w:val="00DF6411"/>
    <w:rsid w:val="00E0158D"/>
    <w:rsid w:val="00E023CC"/>
    <w:rsid w:val="00E0385E"/>
    <w:rsid w:val="00E04DDE"/>
    <w:rsid w:val="00E05019"/>
    <w:rsid w:val="00E05882"/>
    <w:rsid w:val="00E05C08"/>
    <w:rsid w:val="00E05E0A"/>
    <w:rsid w:val="00E116AC"/>
    <w:rsid w:val="00E12069"/>
    <w:rsid w:val="00E12D46"/>
    <w:rsid w:val="00E13617"/>
    <w:rsid w:val="00E14164"/>
    <w:rsid w:val="00E14F33"/>
    <w:rsid w:val="00E15727"/>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65293"/>
    <w:rsid w:val="00E7107D"/>
    <w:rsid w:val="00E726EC"/>
    <w:rsid w:val="00E72C5E"/>
    <w:rsid w:val="00E7347E"/>
    <w:rsid w:val="00E74055"/>
    <w:rsid w:val="00E7709E"/>
    <w:rsid w:val="00E81CB4"/>
    <w:rsid w:val="00E8569C"/>
    <w:rsid w:val="00E8585B"/>
    <w:rsid w:val="00E91301"/>
    <w:rsid w:val="00E944DF"/>
    <w:rsid w:val="00E9460D"/>
    <w:rsid w:val="00E96001"/>
    <w:rsid w:val="00E9621C"/>
    <w:rsid w:val="00EA1805"/>
    <w:rsid w:val="00EA1EE1"/>
    <w:rsid w:val="00EA2219"/>
    <w:rsid w:val="00EA3452"/>
    <w:rsid w:val="00EA386A"/>
    <w:rsid w:val="00EA3F15"/>
    <w:rsid w:val="00EA5363"/>
    <w:rsid w:val="00EA636D"/>
    <w:rsid w:val="00EA75A2"/>
    <w:rsid w:val="00EA775A"/>
    <w:rsid w:val="00EA7813"/>
    <w:rsid w:val="00EA7847"/>
    <w:rsid w:val="00EB154D"/>
    <w:rsid w:val="00EB3879"/>
    <w:rsid w:val="00EB4128"/>
    <w:rsid w:val="00EB5EF7"/>
    <w:rsid w:val="00EB7CE7"/>
    <w:rsid w:val="00EC0B8D"/>
    <w:rsid w:val="00EC2F9C"/>
    <w:rsid w:val="00EC35B2"/>
    <w:rsid w:val="00EC4885"/>
    <w:rsid w:val="00EC5678"/>
    <w:rsid w:val="00EC61A5"/>
    <w:rsid w:val="00EC69D7"/>
    <w:rsid w:val="00EC6A1B"/>
    <w:rsid w:val="00ED40DC"/>
    <w:rsid w:val="00ED596A"/>
    <w:rsid w:val="00ED6028"/>
    <w:rsid w:val="00EE0E3E"/>
    <w:rsid w:val="00EE2E6E"/>
    <w:rsid w:val="00EE3A9F"/>
    <w:rsid w:val="00EE493C"/>
    <w:rsid w:val="00EE4C9E"/>
    <w:rsid w:val="00EF28E6"/>
    <w:rsid w:val="00EF4B06"/>
    <w:rsid w:val="00EF605C"/>
    <w:rsid w:val="00EF6BDC"/>
    <w:rsid w:val="00EF799B"/>
    <w:rsid w:val="00F01459"/>
    <w:rsid w:val="00F01CA3"/>
    <w:rsid w:val="00F03154"/>
    <w:rsid w:val="00F0499E"/>
    <w:rsid w:val="00F04FA6"/>
    <w:rsid w:val="00F054F5"/>
    <w:rsid w:val="00F057E5"/>
    <w:rsid w:val="00F06BB2"/>
    <w:rsid w:val="00F0759E"/>
    <w:rsid w:val="00F078D0"/>
    <w:rsid w:val="00F159C0"/>
    <w:rsid w:val="00F15CCA"/>
    <w:rsid w:val="00F16347"/>
    <w:rsid w:val="00F16FE3"/>
    <w:rsid w:val="00F22F1E"/>
    <w:rsid w:val="00F2642E"/>
    <w:rsid w:val="00F30903"/>
    <w:rsid w:val="00F32AEA"/>
    <w:rsid w:val="00F33360"/>
    <w:rsid w:val="00F33794"/>
    <w:rsid w:val="00F35317"/>
    <w:rsid w:val="00F35523"/>
    <w:rsid w:val="00F35BA5"/>
    <w:rsid w:val="00F35E90"/>
    <w:rsid w:val="00F369CE"/>
    <w:rsid w:val="00F36B65"/>
    <w:rsid w:val="00F37572"/>
    <w:rsid w:val="00F4002F"/>
    <w:rsid w:val="00F417E3"/>
    <w:rsid w:val="00F42F30"/>
    <w:rsid w:val="00F43112"/>
    <w:rsid w:val="00F4350B"/>
    <w:rsid w:val="00F43804"/>
    <w:rsid w:val="00F5027A"/>
    <w:rsid w:val="00F5143E"/>
    <w:rsid w:val="00F51FDC"/>
    <w:rsid w:val="00F52B69"/>
    <w:rsid w:val="00F551F9"/>
    <w:rsid w:val="00F55D33"/>
    <w:rsid w:val="00F55F4D"/>
    <w:rsid w:val="00F564B3"/>
    <w:rsid w:val="00F63543"/>
    <w:rsid w:val="00F64E15"/>
    <w:rsid w:val="00F672AB"/>
    <w:rsid w:val="00F704B1"/>
    <w:rsid w:val="00F7160E"/>
    <w:rsid w:val="00F724F8"/>
    <w:rsid w:val="00F72F94"/>
    <w:rsid w:val="00F739D9"/>
    <w:rsid w:val="00F74608"/>
    <w:rsid w:val="00F7490D"/>
    <w:rsid w:val="00F76E11"/>
    <w:rsid w:val="00F80D64"/>
    <w:rsid w:val="00F8217F"/>
    <w:rsid w:val="00F821A3"/>
    <w:rsid w:val="00F82942"/>
    <w:rsid w:val="00F849B2"/>
    <w:rsid w:val="00F84FC9"/>
    <w:rsid w:val="00F877BF"/>
    <w:rsid w:val="00F919E5"/>
    <w:rsid w:val="00F92B41"/>
    <w:rsid w:val="00F9314A"/>
    <w:rsid w:val="00F94A53"/>
    <w:rsid w:val="00F94CBC"/>
    <w:rsid w:val="00F95E96"/>
    <w:rsid w:val="00F95F5B"/>
    <w:rsid w:val="00F95FDB"/>
    <w:rsid w:val="00F9623D"/>
    <w:rsid w:val="00F96674"/>
    <w:rsid w:val="00F969FC"/>
    <w:rsid w:val="00F97224"/>
    <w:rsid w:val="00FA0D0D"/>
    <w:rsid w:val="00FA29CD"/>
    <w:rsid w:val="00FA50A6"/>
    <w:rsid w:val="00FA6A07"/>
    <w:rsid w:val="00FA7689"/>
    <w:rsid w:val="00FA7EF0"/>
    <w:rsid w:val="00FB061A"/>
    <w:rsid w:val="00FB277C"/>
    <w:rsid w:val="00FB2A39"/>
    <w:rsid w:val="00FB305B"/>
    <w:rsid w:val="00FB4124"/>
    <w:rsid w:val="00FB4372"/>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32F8"/>
    <w:rsid w:val="00FE380E"/>
    <w:rsid w:val="00FE39D7"/>
    <w:rsid w:val="00FE3B4D"/>
    <w:rsid w:val="00FE3BD9"/>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B3A06E"/>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3961049">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5848868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9698222">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38319861">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4340991">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574469">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55702071">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2073530">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52127">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C686-AEA1-4607-A344-36E75B40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15</Pages>
  <Words>10502</Words>
  <Characters>57764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2019-10-24T16:04:00Z</cp:lastPrinted>
  <dcterms:created xsi:type="dcterms:W3CDTF">2019-11-19T17:00:00Z</dcterms:created>
  <dcterms:modified xsi:type="dcterms:W3CDTF">2019-11-19T17:00:00Z</dcterms:modified>
</cp:coreProperties>
</file>