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A73DF2"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5962857"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Pr>
          <w:rFonts w:ascii="Bookman Old Style" w:hAnsi="Bookman Old Style"/>
          <w:sz w:val="24"/>
          <w:szCs w:val="24"/>
        </w:rPr>
        <w:t>7</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4259AA">
        <w:rPr>
          <w:rFonts w:ascii="Bookman Old Style" w:hAnsi="Bookman Old Style"/>
          <w:bCs/>
          <w:lang w:val="es-CO"/>
        </w:rPr>
        <w:t>Gas de Santander</w:t>
      </w:r>
      <w:r w:rsidR="008A5DBB">
        <w:rPr>
          <w:rFonts w:ascii="Bookman Old Style" w:hAnsi="Bookman Old Style"/>
          <w:bCs/>
          <w:lang w:val="es-CO"/>
        </w:rPr>
        <w:t xml:space="preserve"> </w:t>
      </w:r>
      <w:r w:rsidR="005F3077">
        <w:rPr>
          <w:rFonts w:ascii="Bookman Old Style" w:hAnsi="Bookman Old Style"/>
          <w:bCs/>
          <w:lang w:val="es-CO"/>
        </w:rPr>
        <w:t>S.A.</w:t>
      </w:r>
      <w:r>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Pr>
          <w:rFonts w:ascii="Bookman Old Style" w:hAnsi="Bookman Old Style"/>
          <w:bCs/>
          <w:lang w:val="es-CO"/>
        </w:rPr>
        <w:t>168 de 2017</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Pr="00D549B1"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6D45B0"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6D45B0" w:rsidRPr="00EA33A0" w:rsidRDefault="006D45B0" w:rsidP="006D45B0">
      <w:pPr>
        <w:rPr>
          <w:rFonts w:ascii="Bookman Old Style" w:hAnsi="Bookman Old Style"/>
          <w:sz w:val="22"/>
          <w:szCs w:val="22"/>
        </w:rPr>
      </w:pPr>
      <w:r w:rsidRPr="00EA33A0">
        <w:rPr>
          <w:rFonts w:ascii="Bookman Old Style" w:hAnsi="Bookman Old Style"/>
          <w:sz w:val="22"/>
          <w:szCs w:val="22"/>
        </w:rPr>
        <w:t>donde,</w:t>
      </w:r>
    </w:p>
    <w:p w:rsidR="006D45B0" w:rsidRPr="00EA33A0" w:rsidRDefault="006D45B0" w:rsidP="006D45B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Capacidad disponible de compra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para el periodo de compra </w:t>
            </w:r>
            <w:r w:rsidRPr="007371FD">
              <w:rPr>
                <w:rFonts w:ascii="Bookman Old Style" w:hAnsi="Bookman Old Style" w:cs="Arial"/>
                <w:i/>
                <w:sz w:val="22"/>
                <w:szCs w:val="22"/>
              </w:rPr>
              <w:t>t</w:t>
            </w:r>
            <w:r w:rsidRPr="007371FD">
              <w:rPr>
                <w:rFonts w:ascii="Bookman Old Style" w:hAnsi="Bookman Old Style" w:cs="Arial"/>
                <w:sz w:val="22"/>
                <w:szCs w:val="22"/>
              </w:rPr>
              <w:t xml:space="preserve">, calculada para el mes </w:t>
            </w:r>
            <w:r w:rsidRPr="007371FD">
              <w:rPr>
                <w:rFonts w:ascii="Bookman Old Style" w:hAnsi="Bookman Old Style" w:cs="Arial"/>
                <w:i/>
                <w:sz w:val="22"/>
                <w:szCs w:val="22"/>
              </w:rPr>
              <w:t>m</w:t>
            </w:r>
            <w:r w:rsidRPr="007371FD">
              <w:rPr>
                <w:rFonts w:ascii="Bookman Old Style" w:hAnsi="Bookman Old Style" w:cs="Arial"/>
                <w:sz w:val="22"/>
                <w:szCs w:val="22"/>
              </w:rPr>
              <w:t>, medida en kilogramos.</w:t>
            </w:r>
          </w:p>
        </w:tc>
      </w:tr>
      <w:tr w:rsidR="006D45B0" w:rsidRPr="007371FD" w:rsidTr="0066171D">
        <w:tc>
          <w:tcPr>
            <w:tcW w:w="1242" w:type="dxa"/>
            <w:shd w:val="clear" w:color="auto" w:fill="auto"/>
          </w:tcPr>
          <w:p w:rsidR="006D45B0" w:rsidRPr="007371FD" w:rsidRDefault="00A73DF2"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34" w:firstLine="4"/>
              <w:jc w:val="both"/>
              <w:rPr>
                <w:rFonts w:ascii="Bookman Old Style" w:hAnsi="Bookman Old Style"/>
                <w:sz w:val="22"/>
                <w:szCs w:val="22"/>
              </w:rPr>
            </w:pPr>
            <w:r w:rsidRPr="007371FD">
              <w:rPr>
                <w:rFonts w:ascii="Bookman Old Style" w:hAnsi="Bookman Old Style" w:cs="Arial"/>
                <w:sz w:val="22"/>
                <w:szCs w:val="22"/>
              </w:rPr>
              <w:t>Capacidad de compra del distribuidor i, para el periodo de compra t, medida en kilogramos.</w:t>
            </w:r>
          </w:p>
        </w:tc>
      </w:tr>
      <w:tr w:rsidR="006D45B0" w:rsidRPr="007371FD" w:rsidTr="0066171D">
        <w:tc>
          <w:tcPr>
            <w:tcW w:w="1242" w:type="dxa"/>
            <w:shd w:val="clear" w:color="auto" w:fill="auto"/>
          </w:tcPr>
          <w:p w:rsidR="006D45B0" w:rsidRPr="007371FD" w:rsidRDefault="00A73DF2"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6D45B0" w:rsidRPr="007371FD" w:rsidTr="0066171D">
        <w:tc>
          <w:tcPr>
            <w:tcW w:w="1242" w:type="dxa"/>
            <w:shd w:val="clear" w:color="auto" w:fill="auto"/>
          </w:tcPr>
          <w:p w:rsidR="006D45B0" w:rsidRPr="007371FD" w:rsidRDefault="00A73DF2"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7371FD">
              <w:rPr>
                <w:rFonts w:ascii="Bookman Old Style" w:hAnsi="Bookman Old Style"/>
                <w:sz w:val="22"/>
                <w:szCs w:val="22"/>
              </w:rPr>
              <w:t xml:space="preserve"> será igual a cero (0).</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m</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Mes de cálculo de la capacidad disponible de compra.</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t</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7371FD">
              <w:rPr>
                <w:rFonts w:ascii="Bookman Old Style" w:hAnsi="Bookman Old Style"/>
                <w:sz w:val="22"/>
                <w:szCs w:val="22"/>
              </w:rPr>
              <w:t>.</w:t>
            </w:r>
          </w:p>
        </w:tc>
      </w:tr>
    </w:tbl>
    <w:p w:rsidR="006D45B0" w:rsidRPr="00EA33A0" w:rsidRDefault="006D45B0" w:rsidP="006D45B0">
      <w:pPr>
        <w:ind w:left="1134"/>
        <w:rPr>
          <w:rFonts w:ascii="Bookman Old Style" w:hAnsi="Bookman Old Style"/>
          <w:sz w:val="22"/>
          <w:szCs w:val="22"/>
        </w:rPr>
      </w:pPr>
    </w:p>
    <w:p w:rsidR="006D45B0" w:rsidRPr="00EA33A0" w:rsidRDefault="006D45B0" w:rsidP="006D45B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rsidR="006D45B0" w:rsidRPr="00EA33A0" w:rsidRDefault="006D45B0" w:rsidP="006D45B0">
      <w:pPr>
        <w:ind w:left="1272" w:hanging="705"/>
        <w:jc w:val="both"/>
        <w:rPr>
          <w:rFonts w:ascii="Bookman Old Style" w:hAnsi="Bookman Old Style" w:cs="Arial"/>
          <w:sz w:val="22"/>
          <w:szCs w:val="22"/>
        </w:rPr>
      </w:pPr>
    </w:p>
    <w:p w:rsidR="006D45B0" w:rsidRPr="006D45B0" w:rsidRDefault="00A73DF2" w:rsidP="006D45B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6D45B0" w:rsidRPr="00EA33A0" w:rsidRDefault="006D45B0" w:rsidP="006D45B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6D45B0" w:rsidRPr="007371FD" w:rsidTr="0066171D">
        <w:tc>
          <w:tcPr>
            <w:tcW w:w="1271" w:type="dxa"/>
            <w:shd w:val="clear" w:color="auto" w:fill="auto"/>
          </w:tcPr>
          <w:p w:rsidR="006D45B0" w:rsidRPr="007371FD" w:rsidRDefault="00A73DF2" w:rsidP="0066171D">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6D45B0" w:rsidRPr="007371FD" w:rsidTr="0066171D">
        <w:tc>
          <w:tcPr>
            <w:tcW w:w="1271" w:type="dxa"/>
            <w:shd w:val="clear" w:color="auto" w:fill="auto"/>
          </w:tcPr>
          <w:p w:rsidR="006D45B0" w:rsidRPr="007371FD" w:rsidRDefault="00A73DF2" w:rsidP="0066171D">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6D45B0"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Factor de equivalencia de envasado en cilindros y tanques estacionarios, corresponde a: 0,3.</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envase en cilindros de propiedad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bl>
    <w:p w:rsidR="006D45B0" w:rsidRPr="00EA33A0" w:rsidRDefault="006D45B0" w:rsidP="006D45B0">
      <w:pPr>
        <w:ind w:left="1272" w:hanging="705"/>
        <w:jc w:val="both"/>
        <w:rPr>
          <w:rFonts w:ascii="Bookman Old Style" w:hAnsi="Bookman Old Style" w:cs="Arial"/>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6D45B0" w:rsidRPr="00EA33A0" w:rsidRDefault="006D45B0" w:rsidP="006D45B0">
      <w:pPr>
        <w:ind w:left="709" w:firstLine="566"/>
        <w:jc w:val="both"/>
        <w:rPr>
          <w:rFonts w:ascii="Bookman Old Style" w:hAnsi="Bookman Old Style"/>
          <w:sz w:val="22"/>
          <w:szCs w:val="22"/>
        </w:rPr>
      </w:pPr>
    </w:p>
    <w:p w:rsidR="006D45B0" w:rsidRPr="00EA33A0" w:rsidRDefault="006D45B0" w:rsidP="006D45B0">
      <w:pPr>
        <w:ind w:left="709" w:firstLine="566"/>
        <w:jc w:val="both"/>
        <w:rPr>
          <w:rFonts w:ascii="Bookman Old Style" w:hAnsi="Bookman Old Style"/>
          <w:sz w:val="22"/>
          <w:szCs w:val="22"/>
        </w:rPr>
      </w:pPr>
      <w:r w:rsidRPr="00EA33A0">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6D45B0" w:rsidRPr="007371FD" w:rsidTr="0066171D">
        <w:trPr>
          <w:trHeight w:val="966"/>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7371FD">
              <w:rPr>
                <w:rFonts w:ascii="Bookman Old Style" w:hAnsi="Bookman Old Style"/>
                <w:sz w:val="22"/>
                <w:szCs w:val="22"/>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sz w:val="22"/>
                <w:szCs w:val="22"/>
              </w:rPr>
              <w:t>Capacidad total de envase en cilindros de propiedad del distribuidor i, en el periodo t, medida en kilogramos, registrado en el SUI.</w:t>
            </w:r>
          </w:p>
          <w:p w:rsidR="006D45B0" w:rsidRPr="007371FD" w:rsidRDefault="006D45B0" w:rsidP="0066171D">
            <w:pPr>
              <w:ind w:left="0"/>
              <w:jc w:val="both"/>
              <w:rPr>
                <w:rFonts w:ascii="Bookman Old Style" w:hAnsi="Bookman Old Style"/>
                <w:sz w:val="22"/>
                <w:szCs w:val="22"/>
                <w:lang w:val="es-CO"/>
              </w:rPr>
            </w:pPr>
          </w:p>
        </w:tc>
      </w:tr>
      <w:tr w:rsidR="006D45B0" w:rsidRPr="007371FD" w:rsidTr="0066171D">
        <w:trPr>
          <w:trHeight w:val="1359"/>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7371FD">
              <w:rPr>
                <w:rFonts w:ascii="Bookman Old Style" w:hAnsi="Bookman Old Style"/>
                <w:sz w:val="22"/>
                <w:szCs w:val="22"/>
                <w:lang w:val="es-CO"/>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lang w:val="es-CO"/>
              </w:rPr>
            </w:pPr>
            <w:r w:rsidRPr="007371FD">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6D45B0" w:rsidRPr="00EA33A0" w:rsidRDefault="006D45B0" w:rsidP="006D45B0">
      <w:pPr>
        <w:ind w:left="2694" w:hanging="2127"/>
        <w:jc w:val="both"/>
        <w:rPr>
          <w:rFonts w:ascii="Bookman Old Style" w:hAnsi="Bookman Old Style"/>
          <w:sz w:val="22"/>
          <w:szCs w:val="22"/>
        </w:rPr>
      </w:pPr>
    </w:p>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6D45B0" w:rsidRPr="00EA33A0" w:rsidRDefault="006D45B0" w:rsidP="006D45B0">
      <w:pPr>
        <w:ind w:left="2694" w:hanging="2127"/>
        <w:jc w:val="both"/>
        <w:rPr>
          <w:rFonts w:ascii="Bookman Old Style" w:hAnsi="Bookman Old Style"/>
          <w:iCs/>
          <w:sz w:val="22"/>
          <w:szCs w:val="22"/>
        </w:rPr>
      </w:pPr>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6D45B0" w:rsidRPr="00EA33A0" w:rsidTr="0066171D">
        <w:trPr>
          <w:trHeight w:val="1359"/>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6D45B0" w:rsidRPr="00EA33A0" w:rsidTr="0066171D">
        <w:trPr>
          <w:trHeight w:val="1021"/>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524"/>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6D45B0" w:rsidRPr="00EA33A0" w:rsidTr="0066171D">
        <w:trPr>
          <w:trHeight w:val="416"/>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6D45B0" w:rsidRPr="00EA33A0" w:rsidTr="0066171D">
        <w:trPr>
          <w:trHeight w:val="1021"/>
        </w:trPr>
        <w:tc>
          <w:tcPr>
            <w:tcW w:w="204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6D45B0" w:rsidRDefault="006D45B0" w:rsidP="0066171D">
            <w:pPr>
              <w:ind w:left="0"/>
              <w:jc w:val="both"/>
              <w:rPr>
                <w:rFonts w:ascii="Bookman Old Style" w:hAnsi="Bookman Old Style"/>
                <w:color w:val="000000"/>
                <w:kern w:val="24"/>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p w:rsidR="0095328F" w:rsidRPr="00EA33A0" w:rsidRDefault="0095328F" w:rsidP="0066171D">
            <w:pPr>
              <w:ind w:left="0"/>
              <w:jc w:val="both"/>
              <w:rPr>
                <w:rFonts w:ascii="Bookman Old Style" w:hAnsi="Bookman Old Style" w:cs="Arial"/>
                <w:sz w:val="22"/>
                <w:szCs w:val="22"/>
                <w:lang w:val="es-CO" w:eastAsia="es-CO"/>
              </w:rPr>
            </w:pPr>
          </w:p>
        </w:tc>
      </w:tr>
    </w:tbl>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6D45B0" w:rsidRPr="00EA33A0" w:rsidTr="0066171D">
        <w:trPr>
          <w:trHeight w:val="1359"/>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6D45B0" w:rsidRPr="00EA33A0" w:rsidTr="0066171D">
        <w:trPr>
          <w:trHeight w:val="1021"/>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416"/>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sz w:val="22"/>
                <w:szCs w:val="22"/>
              </w:rPr>
              <w:t xml:space="preserve">Capacidad de cada uno de los tanques estacionarios atendidos por el distribuidor </w:t>
            </w:r>
            <w:r w:rsidRPr="007371FD">
              <w:rPr>
                <w:rFonts w:ascii="Bookman Old Style" w:hAnsi="Bookman Old Style"/>
                <w:i/>
                <w:sz w:val="22"/>
                <w:szCs w:val="22"/>
              </w:rPr>
              <w:t>i</w:t>
            </w:r>
            <w:r w:rsidRPr="007371FD">
              <w:rPr>
                <w:rFonts w:ascii="Bookman Old Style" w:hAnsi="Bookman Old Style"/>
                <w:sz w:val="22"/>
                <w:szCs w:val="22"/>
              </w:rPr>
              <w:t>, galones, de acuerdo con la información publicada en el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Número de tanques estacionarios atendidos por 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con una capacidad </w:t>
            </w:r>
            <w:r w:rsidRPr="007371FD">
              <w:rPr>
                <w:rFonts w:ascii="Bookman Old Style" w:hAnsi="Bookman Old Style" w:cs="Arial"/>
                <w:i/>
                <w:sz w:val="22"/>
                <w:szCs w:val="22"/>
              </w:rPr>
              <w:t>CV</w:t>
            </w:r>
            <w:r w:rsidRPr="007371FD">
              <w:rPr>
                <w:rFonts w:ascii="Bookman Old Style" w:hAnsi="Bookman Old Style" w:cs="Arial"/>
                <w:sz w:val="22"/>
                <w:szCs w:val="22"/>
              </w:rPr>
              <w:t xml:space="preserve">, de acuerdo con la información reportada al SUI. </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2,10</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Factor de conversión kilogramos por galón. </w:t>
            </w:r>
          </w:p>
        </w:tc>
      </w:tr>
      <w:tr w:rsidR="006D45B0" w:rsidRPr="007371FD" w:rsidTr="0066171D">
        <w:trPr>
          <w:trHeight w:val="356"/>
        </w:trPr>
        <w:tc>
          <w:tcPr>
            <w:tcW w:w="1418" w:type="dxa"/>
            <w:shd w:val="clear" w:color="auto" w:fill="auto"/>
          </w:tcPr>
          <w:p w:rsidR="006D45B0" w:rsidRPr="007371FD" w:rsidRDefault="006D45B0" w:rsidP="0066171D">
            <w:pPr>
              <w:ind w:left="708" w:hanging="708"/>
              <w:jc w:val="both"/>
              <w:rPr>
                <w:rFonts w:ascii="Bookman Old Style" w:hAnsi="Bookman Old Style" w:cs="Arial"/>
                <w:sz w:val="22"/>
                <w:szCs w:val="22"/>
              </w:rPr>
            </w:pPr>
            <m:oMath>
              <m:r>
                <w:rPr>
                  <w:rFonts w:ascii="Cambria Math" w:hAnsi="Cambria Math" w:cs="Arial"/>
                  <w:sz w:val="22"/>
                  <w:szCs w:val="22"/>
                </w:rPr>
                <m:t>6</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Número de meses del periodo de compra.</w:t>
            </w:r>
          </w:p>
        </w:tc>
      </w:tr>
    </w:tbl>
    <w:p w:rsidR="006D45B0" w:rsidRPr="00EA33A0" w:rsidRDefault="006D45B0" w:rsidP="006D45B0">
      <w:pPr>
        <w:jc w:val="both"/>
        <w:rPr>
          <w:rFonts w:ascii="Bookman Old Style" w:hAnsi="Bookman Old Style" w:cs="Arial"/>
          <w:b/>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6D45B0" w:rsidRPr="00EA33A0" w:rsidRDefault="006D45B0" w:rsidP="006D45B0">
      <w:pPr>
        <w:ind w:right="142"/>
        <w:jc w:val="both"/>
        <w:rPr>
          <w:rFonts w:ascii="Bookman Old Style" w:hAnsi="Bookman Old Style" w:cs="Arial"/>
          <w:sz w:val="22"/>
          <w:szCs w:val="22"/>
        </w:rPr>
      </w:pPr>
    </w:p>
    <w:p w:rsidR="006D45B0" w:rsidRPr="00EA33A0" w:rsidRDefault="006D45B0" w:rsidP="006D45B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rsidR="006D45B0" w:rsidRPr="00EA33A0" w:rsidRDefault="006D45B0" w:rsidP="006D45B0">
      <w:pPr>
        <w:ind w:left="0"/>
        <w:jc w:val="both"/>
        <w:rPr>
          <w:rFonts w:ascii="Bookman Old Style" w:eastAsia="MS Mincho" w:hAnsi="Bookman Old Style" w:cs="Arial"/>
          <w:lang w:val="es-CO" w:eastAsia="en-US"/>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6D45B0" w:rsidRPr="00EA33A0" w:rsidRDefault="006D45B0" w:rsidP="006D45B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lastRenderedPageBreak/>
        <w:t>1. Evitar la duplicidad de funciones en materia de información relativa a los servicios públicos.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6D45B0" w:rsidRPr="00EA33A0" w:rsidRDefault="006D45B0" w:rsidP="006D45B0">
      <w:pPr>
        <w:ind w:left="0"/>
        <w:jc w:val="both"/>
        <w:rPr>
          <w:rFonts w:ascii="Bookman Old Style" w:eastAsia="MS Mincho" w:hAnsi="Bookman Old Style" w:cs="Arial"/>
          <w:sz w:val="22"/>
          <w:szCs w:val="22"/>
          <w:lang w:val="es-ES_tradnl"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lastRenderedPageBreak/>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rsidR="006D45B0" w:rsidRPr="003038FF"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EA33A0">
        <w:rPr>
          <w:rFonts w:ascii="Bookman Old Style" w:hAnsi="Bookman Old Style"/>
          <w:lang w:val="es-ES_tradnl"/>
        </w:rPr>
        <w:lastRenderedPageBreak/>
        <w:t>usuarios. Lo anterior, atendiendo la información de cilindros marcados de cada agente que debe reportar al SUI de conformidad de las resoluciones CREG 045 de 2008 y CREG 177 de 2011.</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EA33A0">
        <w:rPr>
          <w:rFonts w:ascii="Bookman Old Style" w:hAnsi="Bookman Old Style"/>
          <w:lang w:val="es-ES_tradnl"/>
        </w:rPr>
        <w:footnoteReference w:id="2"/>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rsidR="006D45B0" w:rsidRPr="00EA33A0" w:rsidRDefault="006D45B0" w:rsidP="006D45B0">
      <w:pPr>
        <w:ind w:left="-142" w:right="-142"/>
        <w:jc w:val="both"/>
        <w:rPr>
          <w:rFonts w:ascii="Bookman Old Style" w:hAnsi="Bookman Old Style"/>
          <w:szCs w:val="27"/>
        </w:rPr>
      </w:pPr>
    </w:p>
    <w:p w:rsidR="006D45B0" w:rsidRPr="00EA33A0" w:rsidRDefault="006D45B0" w:rsidP="006D45B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6D45B0" w:rsidRPr="00EA33A0" w:rsidRDefault="006D45B0" w:rsidP="006D45B0">
      <w:pPr>
        <w:ind w:left="0"/>
        <w:jc w:val="both"/>
        <w:rPr>
          <w:rFonts w:ascii="Bookman Old Style" w:eastAsia="Calibri" w:hAnsi="Bookman Old Style"/>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proofErr w:type="spellStart"/>
      <w:r w:rsidRPr="00EA33A0">
        <w:rPr>
          <w:rFonts w:ascii="Bookman Old Style" w:hAnsi="Bookman Old Style"/>
          <w:lang w:val="es-ES_tradnl"/>
        </w:rPr>
        <w:t>icha</w:t>
      </w:r>
      <w:proofErr w:type="spellEnd"/>
      <w:r w:rsidRPr="00EA33A0">
        <w:rPr>
          <w:rFonts w:ascii="Bookman Old Style" w:hAnsi="Bookman Old Style"/>
          <w:lang w:val="es-ES_tradnl"/>
        </w:rPr>
        <w:t xml:space="preserve">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segundo periodo de compra.</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los datos obtenidos en la fecha indicada se les hizo una depuración y análisis, que permitió establecer algunas inconsistencias con respecto a la información enviada en ocasiones anteriores. Las siguientes son las observaciones generales que se tienen con respecto a dicha información.</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CILINDROS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realizó una depuración de la información de cilindros registrados en la base de datos migrada del SICMA, y de la reportada por las empresas por medio del formato 6009 ‘INFORMACIÓN TÉCNICA PARQUE DE CILINDROS MARCADOS’, encontrándose lo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rsidR="006D45B0" w:rsidRPr="00EA33A0" w:rsidRDefault="006D45B0" w:rsidP="006D45B0">
      <w:pPr>
        <w:ind w:left="284" w:right="284"/>
        <w:jc w:val="both"/>
        <w:rPr>
          <w:rFonts w:ascii="Bookman Old Style" w:hAnsi="Bookman Old Style"/>
          <w:i/>
          <w:szCs w:val="27"/>
        </w:rPr>
      </w:pPr>
    </w:p>
    <w:p w:rsidR="006D45B0" w:rsidRPr="00EA33A0" w:rsidRDefault="006D45B0" w:rsidP="006D45B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Proyectos hasta julio de 2012 e información de Tanques Estacionarios recolectada mediante el Formato C10 ‘Información Tanques Estacionarios’ de conformidad a la circular SSPD-CREG 001 de 2004, para calcular la capacidad de compra de la que </w:t>
      </w:r>
      <w:r w:rsidRPr="00EA33A0">
        <w:rPr>
          <w:rFonts w:ascii="Bookman Old Style" w:hAnsi="Bookman Old Style"/>
          <w:i/>
          <w:sz w:val="22"/>
          <w:szCs w:val="22"/>
        </w:rPr>
        <w:lastRenderedPageBreak/>
        <w:t xml:space="preserve">trata el artículo 8 de la Resolución CREG063 de 2016, aplicable al primer semestre del año 2018, con corte de consulta de información 17 de septiembre de 2017.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p w:rsidR="006D45B0" w:rsidRPr="00EA33A0" w:rsidRDefault="006D45B0" w:rsidP="006D45B0">
      <w:pPr>
        <w:ind w:left="644" w:right="284"/>
        <w:jc w:val="both"/>
        <w:rPr>
          <w:rFonts w:ascii="Bookman Old Style" w:hAnsi="Bookman Old Style"/>
          <w:szCs w:val="27"/>
        </w:rPr>
      </w:pP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6D45B0" w:rsidRPr="00EA33A0" w:rsidTr="0066171D">
        <w:trPr>
          <w:trHeight w:val="506"/>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rsidR="006D45B0" w:rsidRPr="00EA33A0" w:rsidRDefault="006D45B0" w:rsidP="006D45B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De esta manera, se envió requerimiento individual a las siguientes empresas, manifestando expresamente la no inclusión de cilindros con capacidades diferentes a las anteriormente referenciadas (…)</w:t>
      </w:r>
    </w:p>
    <w:p w:rsidR="006D45B0" w:rsidRPr="00EA33A0" w:rsidRDefault="006D45B0" w:rsidP="006D45B0">
      <w:pPr>
        <w:ind w:left="644" w:right="284"/>
        <w:jc w:val="both"/>
        <w:rPr>
          <w:rFonts w:ascii="Bookman Old Style" w:hAnsi="Bookman Old Style"/>
          <w:i/>
          <w:sz w:val="22"/>
          <w:szCs w:val="22"/>
          <w:lang w:val="es-CO"/>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lastRenderedPageBreak/>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rsidR="006D45B0" w:rsidRPr="00EA33A0" w:rsidRDefault="006D45B0" w:rsidP="006D45B0">
      <w:pPr>
        <w:ind w:left="0"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6D45B0" w:rsidRPr="00EA33A0" w:rsidTr="0066171D">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rsidR="006D45B0" w:rsidRPr="00EA33A0" w:rsidRDefault="006D45B0" w:rsidP="006D45B0">
      <w:pPr>
        <w:ind w:left="0" w:right="284"/>
        <w:jc w:val="both"/>
        <w:rPr>
          <w:rFonts w:ascii="Bookman Old Style" w:eastAsia="Calibri" w:hAnsi="Bookman Old Style" w:cs="Arial"/>
          <w:sz w:val="22"/>
          <w:szCs w:val="22"/>
          <w:lang w:val="es-CO" w:eastAsia="en-US"/>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rsidR="006D45B0" w:rsidRPr="00EA33A0" w:rsidRDefault="006D45B0" w:rsidP="006D45B0">
      <w:pPr>
        <w:ind w:left="284"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6D45B0" w:rsidRPr="00EA33A0" w:rsidTr="0066171D">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168 de 2017, </w:t>
      </w:r>
      <w:r w:rsidRPr="00634EB8">
        <w:rPr>
          <w:rFonts w:ascii="Bookman Old Style" w:eastAsia="MS Mincho" w:hAnsi="Bookman Old Style" w:cs="Arial"/>
          <w:lang w:eastAsia="en-US"/>
        </w:rPr>
        <w:t xml:space="preserve">aplicable para el </w:t>
      </w:r>
      <w:r>
        <w:rPr>
          <w:rFonts w:ascii="Bookman Old Style" w:eastAsia="MS Mincho" w:hAnsi="Bookman Old Style" w:cs="Arial"/>
          <w:lang w:eastAsia="en-US"/>
        </w:rPr>
        <w:t>tercer</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1F7F3A" w:rsidRDefault="006D45B0" w:rsidP="006D45B0">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 xml:space="preserve">“Artículo 1. Capacidad de Compra: </w:t>
      </w:r>
      <w:r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338" w:type="dxa"/>
        <w:jc w:val="center"/>
        <w:tblCellMar>
          <w:left w:w="70" w:type="dxa"/>
          <w:right w:w="70" w:type="dxa"/>
        </w:tblCellMar>
        <w:tblLook w:val="04A0" w:firstRow="1" w:lastRow="0" w:firstColumn="1" w:lastColumn="0" w:noHBand="0" w:noVBand="1"/>
      </w:tblPr>
      <w:tblGrid>
        <w:gridCol w:w="37"/>
        <w:gridCol w:w="1377"/>
        <w:gridCol w:w="13"/>
        <w:gridCol w:w="5083"/>
        <w:gridCol w:w="24"/>
        <w:gridCol w:w="1794"/>
        <w:gridCol w:w="10"/>
      </w:tblGrid>
      <w:tr w:rsidR="006D45B0" w:rsidRPr="001F7F3A" w:rsidTr="006D45B0">
        <w:trPr>
          <w:gridAfter w:val="1"/>
          <w:wAfter w:w="10" w:type="dxa"/>
          <w:trHeight w:val="370"/>
          <w:tblHeader/>
          <w:jc w:val="center"/>
        </w:trPr>
        <w:tc>
          <w:tcPr>
            <w:tcW w:w="14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20" w:type="dxa"/>
            <w:gridSpan w:val="3"/>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794"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9B0CFD" w:rsidRPr="004B2371" w:rsidTr="002919CE">
        <w:trPr>
          <w:gridBefore w:val="1"/>
          <w:wBefore w:w="37" w:type="dxa"/>
          <w:trHeight w:val="405"/>
          <w:jc w:val="center"/>
        </w:trPr>
        <w:tc>
          <w:tcPr>
            <w:tcW w:w="13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0CFD" w:rsidRPr="00F62750" w:rsidRDefault="009B0CFD" w:rsidP="009B0CFD">
            <w:pPr>
              <w:jc w:val="center"/>
              <w:rPr>
                <w:rFonts w:ascii="Bookman Old Style" w:hAnsi="Bookman Old Style"/>
                <w:color w:val="000000"/>
                <w:sz w:val="20"/>
                <w:szCs w:val="20"/>
                <w:lang w:eastAsia="es-CO"/>
              </w:rPr>
            </w:pPr>
            <w:r w:rsidRPr="00F62750">
              <w:rPr>
                <w:rFonts w:ascii="Bookman Old Style" w:hAnsi="Bookman Old Style"/>
                <w:color w:val="000000"/>
                <w:sz w:val="20"/>
                <w:szCs w:val="20"/>
                <w:lang w:eastAsia="es-CO"/>
              </w:rPr>
              <w:t>1844</w:t>
            </w:r>
          </w:p>
        </w:tc>
        <w:tc>
          <w:tcPr>
            <w:tcW w:w="5083" w:type="dxa"/>
            <w:tcBorders>
              <w:top w:val="single" w:sz="4" w:space="0" w:color="auto"/>
              <w:left w:val="nil"/>
              <w:bottom w:val="single" w:sz="4" w:space="0" w:color="auto"/>
              <w:right w:val="single" w:sz="4" w:space="0" w:color="auto"/>
            </w:tcBorders>
            <w:shd w:val="clear" w:color="auto" w:fill="auto"/>
            <w:noWrap/>
            <w:vAlign w:val="center"/>
          </w:tcPr>
          <w:p w:rsidR="009B0CFD" w:rsidRPr="00F62750" w:rsidRDefault="009B0CFD" w:rsidP="009B0CFD">
            <w:pPr>
              <w:rPr>
                <w:rFonts w:ascii="Bookman Old Style" w:hAnsi="Bookman Old Style"/>
                <w:color w:val="000000"/>
                <w:sz w:val="20"/>
                <w:szCs w:val="20"/>
                <w:lang w:eastAsia="es-CO"/>
              </w:rPr>
            </w:pPr>
            <w:r w:rsidRPr="00F62750">
              <w:rPr>
                <w:rFonts w:ascii="Bookman Old Style" w:hAnsi="Bookman Old Style"/>
                <w:color w:val="000000"/>
                <w:sz w:val="20"/>
                <w:szCs w:val="20"/>
                <w:lang w:eastAsia="es-CO"/>
              </w:rPr>
              <w:t>GAS DE SANTANDER S.A. E.S.P.</w:t>
            </w:r>
          </w:p>
        </w:tc>
        <w:tc>
          <w:tcPr>
            <w:tcW w:w="1828" w:type="dxa"/>
            <w:gridSpan w:val="3"/>
            <w:tcBorders>
              <w:top w:val="single" w:sz="4" w:space="0" w:color="auto"/>
              <w:left w:val="nil"/>
              <w:bottom w:val="single" w:sz="4" w:space="0" w:color="auto"/>
              <w:right w:val="single" w:sz="4" w:space="0" w:color="auto"/>
            </w:tcBorders>
            <w:shd w:val="clear" w:color="auto" w:fill="auto"/>
            <w:noWrap/>
            <w:vAlign w:val="center"/>
          </w:tcPr>
          <w:p w:rsidR="009B0CFD" w:rsidRPr="004B2371" w:rsidRDefault="009B0CFD" w:rsidP="009B0CFD">
            <w:pPr>
              <w:jc w:val="center"/>
              <w:rPr>
                <w:rFonts w:ascii="Bookman Old Style" w:hAnsi="Bookman Old Style"/>
                <w:color w:val="000000"/>
                <w:sz w:val="20"/>
                <w:szCs w:val="20"/>
              </w:rPr>
            </w:pPr>
            <w:r w:rsidRPr="004B2371">
              <w:rPr>
                <w:rFonts w:ascii="Bookman Old Style" w:hAnsi="Bookman Old Style"/>
                <w:color w:val="000000"/>
                <w:sz w:val="20"/>
                <w:szCs w:val="20"/>
              </w:rPr>
              <w:t>30.628.833</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Default="006D45B0" w:rsidP="006D45B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Pr="001F7F3A">
        <w:rPr>
          <w:rFonts w:ascii="Bookman Old Style" w:eastAsia="MS Mincho" w:hAnsi="Bookman Old Style" w:cs="Arial"/>
          <w:sz w:val="20"/>
          <w:szCs w:val="20"/>
          <w:lang w:eastAsia="en-US"/>
        </w:rPr>
        <w:t>.</w:t>
      </w:r>
      <w:r>
        <w:rPr>
          <w:rFonts w:ascii="Bookman Old Style" w:eastAsia="MS Mincho" w:hAnsi="Bookman Old Style" w:cs="Arial"/>
          <w:sz w:val="20"/>
          <w:szCs w:val="20"/>
          <w:lang w:eastAsia="en-US"/>
        </w:rPr>
        <w:t>”</w:t>
      </w:r>
    </w:p>
    <w:p w:rsidR="006D45B0" w:rsidRPr="00EC3BB2" w:rsidRDefault="006D45B0"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 con radicado número E-2017-</w:t>
      </w:r>
      <w:r w:rsidR="009B0CFD">
        <w:rPr>
          <w:rFonts w:ascii="Bookman Old Style" w:hAnsi="Bookman Old Style" w:cs="Arial"/>
          <w:spacing w:val="-5"/>
          <w:lang w:val="es-CO" w:eastAsia="en-US"/>
        </w:rPr>
        <w:t>011201</w:t>
      </w:r>
      <w:r w:rsidR="005F3077">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1</w:t>
      </w:r>
      <w:r w:rsidR="002D569D">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diciembre</w:t>
      </w:r>
      <w:r w:rsidR="002D569D">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e</w:t>
      </w:r>
      <w:r w:rsidR="009B0CFD">
        <w:rPr>
          <w:rFonts w:ascii="Bookman Old Style" w:hAnsi="Bookman Old Style" w:cs="Arial"/>
          <w:spacing w:val="-5"/>
          <w:lang w:val="es-CO" w:eastAsia="en-US"/>
        </w:rPr>
        <w:t>presentante legal de la empresa Gas de Santander</w:t>
      </w:r>
      <w:r w:rsidR="005F3077">
        <w:rPr>
          <w:rFonts w:ascii="Bookman Old Style" w:hAnsi="Bookman Old Style" w:cs="Arial"/>
          <w:spacing w:val="-5"/>
          <w:lang w:val="es-CO" w:eastAsia="en-US"/>
        </w:rPr>
        <w:t xml:space="preserve"> S.A. </w:t>
      </w:r>
      <w:r w:rsidRPr="00EC3BB2">
        <w:rPr>
          <w:rFonts w:ascii="Bookman Old Style" w:hAnsi="Bookman Old Style" w:cs="Arial"/>
          <w:spacing w:val="-5"/>
          <w:lang w:val="es-CO" w:eastAsia="en-US"/>
        </w:rPr>
        <w:t>E.S.P. interpuso recurso de reposici</w:t>
      </w:r>
      <w:r>
        <w:rPr>
          <w:rFonts w:ascii="Bookman Old Style" w:hAnsi="Bookman Old Style" w:cs="Arial"/>
          <w:spacing w:val="-5"/>
          <w:lang w:val="es-CO" w:eastAsia="en-US"/>
        </w:rPr>
        <w:t>ón contra la Resolución CREG 168 de 2017</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6D45B0" w:rsidRPr="00B165BF" w:rsidRDefault="006D45B0" w:rsidP="006D45B0">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009B0CFD">
        <w:rPr>
          <w:rFonts w:ascii="Bookman Old Style" w:hAnsi="Bookman Old Style" w:cs="Arial"/>
          <w:i/>
          <w:sz w:val="20"/>
          <w:szCs w:val="20"/>
        </w:rPr>
        <w:t>Por este medio respetuosamente solicitamos se modifique la parte resolutiva de la Resolución 168 de 2017, para Gas de Santander S.A. E.S.P., Usuario SUI 1844 y por lo menos se mantenga la capacidad de compra prevista en la Circular 35 DE 2016, ES DECIR 31.458.994 KILOGRAMOS</w:t>
      </w:r>
      <w:r w:rsidR="00B83F23" w:rsidRPr="00B83F23">
        <w:rPr>
          <w:rFonts w:ascii="Bookman Old Style" w:hAnsi="Bookman Old Style" w:cs="Arial"/>
          <w:i/>
          <w:sz w:val="20"/>
          <w:szCs w:val="20"/>
        </w:rPr>
        <w:t>.</w:t>
      </w:r>
      <w:r w:rsidR="00B83F23">
        <w:rPr>
          <w:rFonts w:ascii="Bookman Old Style" w:hAnsi="Bookman Old Style" w:cs="Arial"/>
          <w:i/>
          <w:sz w:val="20"/>
          <w:szCs w:val="20"/>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Pr="00EC3BB2" w:rsidRDefault="006D45B0" w:rsidP="00B83F23">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9B0CFD">
        <w:rPr>
          <w:rFonts w:ascii="Bookman Old Style" w:hAnsi="Bookman Old Style" w:cs="Arial"/>
          <w:spacing w:val="-5"/>
          <w:lang w:val="es-CO" w:eastAsia="en-US"/>
        </w:rPr>
        <w:t>Gas de Santander</w:t>
      </w:r>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notificación personal I-2017-</w:t>
      </w:r>
      <w:r w:rsidR="009B0CFD">
        <w:rPr>
          <w:rFonts w:ascii="Bookman Old Style" w:hAnsi="Bookman Old Style" w:cs="Arial"/>
          <w:spacing w:val="-5"/>
          <w:lang w:val="es-CO" w:eastAsia="en-US"/>
        </w:rPr>
        <w:t>006219</w:t>
      </w:r>
      <w:r>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24</w:t>
      </w:r>
      <w:r>
        <w:rPr>
          <w:rFonts w:ascii="Bookman Old Style" w:hAnsi="Bookman Old Style" w:cs="Arial"/>
          <w:spacing w:val="-5"/>
          <w:lang w:val="es-CO" w:eastAsia="en-US"/>
        </w:rPr>
        <w:t xml:space="preserve"> de noviembre de 2017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6"/>
      </w:r>
      <w:r w:rsidRPr="00EC3BB2">
        <w:rPr>
          <w:rFonts w:ascii="Bookman Old Style" w:hAnsi="Bookman Old Style" w:cs="Arial"/>
          <w:spacing w:val="-5"/>
          <w:lang w:val="es-CO" w:eastAsia="en-US"/>
        </w:rPr>
        <w:t xml:space="preserve"> de la Ley 1437 de 2011.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9B0CFD">
        <w:rPr>
          <w:rFonts w:ascii="Bookman Old Style" w:hAnsi="Bookman Old Style" w:cs="Arial"/>
          <w:spacing w:val="-5"/>
          <w:lang w:val="es-CO" w:eastAsia="en-US"/>
        </w:rPr>
        <w:t>1</w:t>
      </w:r>
      <w:r>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diciembre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 2017</w:t>
      </w:r>
      <w:r w:rsidRPr="00EC3BB2">
        <w:rPr>
          <w:rFonts w:ascii="Bookman Old Style" w:hAnsi="Bookman Old Style" w:cs="Arial"/>
          <w:spacing w:val="-5"/>
          <w:lang w:val="es-CO" w:eastAsia="en-US"/>
        </w:rPr>
        <w:t xml:space="preserve">.  </w:t>
      </w:r>
      <w:r w:rsidR="009B0CFD">
        <w:rPr>
          <w:rFonts w:ascii="Bookman Old Style" w:hAnsi="Bookman Old Style" w:cs="Arial"/>
          <w:spacing w:val="-5"/>
          <w:lang w:val="es-CO" w:eastAsia="en-US"/>
        </w:rPr>
        <w:t xml:space="preserve">Ahora se debe precisar que con posterioridad al plazo de recurso la empresa radicó la comunicación E-2017-0011246 con fecha de 4 de diciembre de 2017, sin embargo, esta no será objeto de análisis toda vez que la misma es extemporánea.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D45B0" w:rsidRPr="009011F4" w:rsidRDefault="006D45B0" w:rsidP="006D45B0">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6D45B0" w:rsidRDefault="006D45B0" w:rsidP="006D45B0">
      <w:pPr>
        <w:widowControl w:val="0"/>
        <w:tabs>
          <w:tab w:val="right" w:pos="9498"/>
        </w:tabs>
        <w:adjustRightInd w:val="0"/>
        <w:ind w:left="0" w:right="-142"/>
        <w:jc w:val="both"/>
        <w:rPr>
          <w:rFonts w:ascii="Bookman Old Style" w:hAnsi="Bookman Old Style" w:cs="Arial"/>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Pr="00D549B1">
        <w:rPr>
          <w:rFonts w:ascii="Bookman Old Style" w:hAnsi="Bookman Old Style"/>
          <w:szCs w:val="27"/>
        </w:rPr>
        <w:t xml:space="preserve"> recurso de reposición interpuesto por </w:t>
      </w:r>
      <w:r w:rsidR="009B0CFD">
        <w:rPr>
          <w:rFonts w:ascii="Bookman Old Style" w:hAnsi="Bookman Old Style"/>
          <w:szCs w:val="27"/>
        </w:rPr>
        <w:t>Gas de Santander</w:t>
      </w:r>
      <w:r w:rsidRPr="002D569D">
        <w:rPr>
          <w:rFonts w:ascii="Bookman Old Style" w:hAnsi="Bookman Old Style"/>
          <w:szCs w:val="27"/>
        </w:rPr>
        <w:t xml:space="preserve"> </w:t>
      </w:r>
      <w:r>
        <w:rPr>
          <w:rFonts w:ascii="Bookman Old Style" w:hAnsi="Bookman Old Style"/>
          <w:szCs w:val="27"/>
        </w:rPr>
        <w:t>hacen referencia a lo siguiente:</w:t>
      </w:r>
    </w:p>
    <w:p w:rsidR="002D569D" w:rsidRDefault="002D569D" w:rsidP="002D569D">
      <w:pPr>
        <w:pStyle w:val="Textoindependiente2"/>
        <w:spacing w:after="0" w:line="240" w:lineRule="auto"/>
        <w:ind w:left="0" w:right="284"/>
        <w:jc w:val="both"/>
        <w:rPr>
          <w:rFonts w:ascii="Bookman Old Style" w:hAnsi="Bookman Old Style" w:cs="Arial"/>
          <w:i/>
          <w:sz w:val="20"/>
          <w:szCs w:val="20"/>
        </w:rPr>
      </w:pPr>
    </w:p>
    <w:p w:rsidR="0097344A" w:rsidRPr="0097344A" w:rsidRDefault="00B83F23" w:rsidP="0097344A">
      <w:pPr>
        <w:pStyle w:val="Style2"/>
        <w:shd w:val="clear" w:color="auto" w:fill="auto"/>
        <w:spacing w:after="0" w:line="240" w:lineRule="auto"/>
        <w:ind w:left="284" w:right="284"/>
        <w:rPr>
          <w:rFonts w:ascii="Bookman Old Style" w:hAnsi="Bookman Old Style"/>
          <w:i/>
          <w:color w:val="000000"/>
          <w:shd w:val="clear" w:color="auto" w:fill="FFFFFF"/>
          <w:lang w:eastAsia="es-ES_tradnl"/>
        </w:rPr>
      </w:pPr>
      <w:r w:rsidRPr="0097344A">
        <w:rPr>
          <w:rFonts w:ascii="Bookman Old Style" w:hAnsi="Bookman Old Style"/>
          <w:i/>
          <w:lang w:val="es-ES_tradnl"/>
        </w:rPr>
        <w:t>“</w:t>
      </w:r>
      <w:r w:rsidR="0097344A" w:rsidRPr="0097344A">
        <w:rPr>
          <w:rFonts w:ascii="Bookman Old Style" w:hAnsi="Bookman Old Style"/>
          <w:i/>
          <w:color w:val="000000"/>
          <w:shd w:val="clear" w:color="auto" w:fill="FFFFFF"/>
          <w:lang w:eastAsia="es-ES_tradnl"/>
        </w:rPr>
        <w:t>En mi condición de Representante Legal de Gas de Santander S.A. E.S.P. respetuosamente me permito presentar recurso de reposición en contra de la decisión contenida en el Acto Administrativo de la Referencia, por la cual definió que la capacidad de compra de Gas de Santander S.A. E.S.P. disminuye en 2.6% en comparación con la capacidad de compra definida en la circular 035 de 2017 de la CREG de la siguiente forma:</w:t>
      </w:r>
    </w:p>
    <w:p w:rsidR="0097344A" w:rsidRPr="0097344A" w:rsidRDefault="0097344A" w:rsidP="0097344A">
      <w:pPr>
        <w:pStyle w:val="Style2"/>
        <w:shd w:val="clear" w:color="auto" w:fill="auto"/>
        <w:spacing w:after="0" w:line="240" w:lineRule="auto"/>
        <w:ind w:left="284" w:right="284"/>
        <w:rPr>
          <w:rFonts w:ascii="Bookman Old Style" w:hAnsi="Bookman Old Style"/>
          <w:i/>
          <w:lang w:eastAsia="es-CO"/>
        </w:rPr>
      </w:pPr>
    </w:p>
    <w:p w:rsidR="0097344A" w:rsidRPr="0097344A" w:rsidRDefault="0097344A" w:rsidP="0097344A">
      <w:pPr>
        <w:framePr w:w="8050" w:wrap="notBeside" w:vAnchor="text" w:hAnchor="text" w:y="1"/>
        <w:widowControl w:val="0"/>
        <w:ind w:left="1416" w:right="284" w:firstLine="424"/>
        <w:jc w:val="center"/>
        <w:rPr>
          <w:rFonts w:ascii="Bookman Old Style" w:hAnsi="Bookman Old Style" w:cs="Arial"/>
          <w:b/>
          <w:bCs/>
          <w:i/>
          <w:sz w:val="22"/>
          <w:szCs w:val="22"/>
          <w:lang w:val="es-CO" w:eastAsia="es-CO"/>
        </w:rPr>
      </w:pPr>
      <w:r w:rsidRPr="0097344A">
        <w:rPr>
          <w:rFonts w:ascii="Bookman Old Style" w:hAnsi="Bookman Old Style" w:cs="Arial"/>
          <w:b/>
          <w:bCs/>
          <w:i/>
          <w:color w:val="000000"/>
          <w:sz w:val="22"/>
          <w:szCs w:val="22"/>
          <w:u w:val="single"/>
          <w:shd w:val="clear" w:color="auto" w:fill="FFFFFF"/>
          <w:lang w:val="es-CO" w:eastAsia="es-ES_tradnl"/>
        </w:rPr>
        <w:t>Capacidad disponible de compra resolución 168 de 2017</w:t>
      </w:r>
    </w:p>
    <w:tbl>
      <w:tblPr>
        <w:tblW w:w="8051" w:type="dxa"/>
        <w:tblInd w:w="1293" w:type="dxa"/>
        <w:tblLayout w:type="fixed"/>
        <w:tblCellMar>
          <w:left w:w="0" w:type="dxa"/>
          <w:right w:w="0" w:type="dxa"/>
        </w:tblCellMar>
        <w:tblLook w:val="0000" w:firstRow="0" w:lastRow="0" w:firstColumn="0" w:lastColumn="0" w:noHBand="0" w:noVBand="0"/>
      </w:tblPr>
      <w:tblGrid>
        <w:gridCol w:w="1217"/>
        <w:gridCol w:w="2326"/>
        <w:gridCol w:w="1757"/>
        <w:gridCol w:w="1829"/>
        <w:gridCol w:w="922"/>
      </w:tblGrid>
      <w:tr w:rsidR="0097344A" w:rsidRPr="0097344A" w:rsidTr="0097344A">
        <w:trPr>
          <w:trHeight w:hRule="exact" w:val="1354"/>
        </w:trPr>
        <w:tc>
          <w:tcPr>
            <w:tcW w:w="1217" w:type="dxa"/>
            <w:tcBorders>
              <w:top w:val="single" w:sz="4" w:space="0" w:color="auto"/>
              <w:left w:val="single" w:sz="4" w:space="0" w:color="auto"/>
              <w:bottom w:val="nil"/>
              <w:right w:val="nil"/>
            </w:tcBorders>
            <w:shd w:val="clear" w:color="auto" w:fill="FFFFFF"/>
            <w:vAlign w:val="center"/>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b/>
                <w:bCs/>
                <w:i/>
                <w:color w:val="000000"/>
                <w:sz w:val="16"/>
                <w:szCs w:val="16"/>
                <w:shd w:val="clear" w:color="auto" w:fill="FFFFFF"/>
                <w:lang w:val="es-CO" w:eastAsia="es-ES_tradnl"/>
              </w:rPr>
              <w:t>Empresa</w:t>
            </w:r>
          </w:p>
        </w:tc>
        <w:tc>
          <w:tcPr>
            <w:tcW w:w="2326" w:type="dxa"/>
            <w:tcBorders>
              <w:top w:val="single" w:sz="4" w:space="0" w:color="auto"/>
              <w:left w:val="single" w:sz="4" w:space="0" w:color="auto"/>
              <w:bottom w:val="nil"/>
              <w:right w:val="nil"/>
            </w:tcBorders>
            <w:shd w:val="clear" w:color="auto" w:fill="FFFFFF"/>
            <w:vAlign w:val="center"/>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b/>
                <w:bCs/>
                <w:i/>
                <w:color w:val="000000"/>
                <w:sz w:val="16"/>
                <w:szCs w:val="16"/>
                <w:shd w:val="clear" w:color="auto" w:fill="FFFFFF"/>
                <w:lang w:val="es-CO" w:eastAsia="es-ES_tradnl"/>
              </w:rPr>
              <w:t>Capacidad de Compra Semestre resolución 168 de 2017</w:t>
            </w:r>
          </w:p>
        </w:tc>
        <w:tc>
          <w:tcPr>
            <w:tcW w:w="1757" w:type="dxa"/>
            <w:tcBorders>
              <w:top w:val="single" w:sz="4" w:space="0" w:color="auto"/>
              <w:left w:val="single" w:sz="4" w:space="0" w:color="auto"/>
              <w:bottom w:val="nil"/>
              <w:right w:val="nil"/>
            </w:tcBorders>
            <w:shd w:val="clear" w:color="auto" w:fill="FFFFFF"/>
            <w:vAlign w:val="bottom"/>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b/>
                <w:bCs/>
                <w:i/>
                <w:color w:val="000000"/>
                <w:sz w:val="16"/>
                <w:szCs w:val="16"/>
                <w:shd w:val="clear" w:color="auto" w:fill="FFFFFF"/>
                <w:lang w:val="es-CO" w:eastAsia="es-ES_tradnl"/>
              </w:rPr>
              <w:t>Capacidad de compra anterior Circular 035 de 2017</w:t>
            </w:r>
          </w:p>
        </w:tc>
        <w:tc>
          <w:tcPr>
            <w:tcW w:w="1829" w:type="dxa"/>
            <w:tcBorders>
              <w:top w:val="single" w:sz="4" w:space="0" w:color="auto"/>
              <w:left w:val="single" w:sz="4" w:space="0" w:color="auto"/>
              <w:bottom w:val="nil"/>
              <w:right w:val="nil"/>
            </w:tcBorders>
            <w:shd w:val="clear" w:color="auto" w:fill="FFFFFF"/>
            <w:vAlign w:val="center"/>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b/>
                <w:bCs/>
                <w:i/>
                <w:color w:val="000000"/>
                <w:sz w:val="16"/>
                <w:szCs w:val="16"/>
                <w:shd w:val="clear" w:color="auto" w:fill="FFFFFF"/>
                <w:lang w:val="es-CO" w:eastAsia="es-ES_tradnl"/>
              </w:rPr>
              <w:t>diferencia por semestre</w:t>
            </w:r>
          </w:p>
        </w:tc>
        <w:tc>
          <w:tcPr>
            <w:tcW w:w="922" w:type="dxa"/>
            <w:tcBorders>
              <w:top w:val="single" w:sz="4" w:space="0" w:color="auto"/>
              <w:left w:val="single" w:sz="4" w:space="0" w:color="auto"/>
              <w:bottom w:val="nil"/>
              <w:right w:val="single" w:sz="4" w:space="0" w:color="auto"/>
            </w:tcBorders>
            <w:shd w:val="clear" w:color="auto" w:fill="FFFFFF"/>
            <w:vAlign w:val="center"/>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i/>
                <w:color w:val="000000"/>
                <w:sz w:val="16"/>
                <w:szCs w:val="16"/>
                <w:shd w:val="clear" w:color="auto" w:fill="FFFFFF"/>
                <w:lang w:val="es-CO" w:eastAsia="es-ES_tradnl"/>
              </w:rPr>
              <w:t>%</w:t>
            </w:r>
          </w:p>
        </w:tc>
      </w:tr>
      <w:tr w:rsidR="0097344A" w:rsidRPr="0097344A" w:rsidTr="0097344A">
        <w:trPr>
          <w:trHeight w:hRule="exact" w:val="554"/>
        </w:trPr>
        <w:tc>
          <w:tcPr>
            <w:tcW w:w="1217" w:type="dxa"/>
            <w:tcBorders>
              <w:top w:val="single" w:sz="4" w:space="0" w:color="auto"/>
              <w:left w:val="single" w:sz="4" w:space="0" w:color="auto"/>
              <w:bottom w:val="single" w:sz="4" w:space="0" w:color="auto"/>
              <w:right w:val="nil"/>
            </w:tcBorders>
            <w:shd w:val="clear" w:color="auto" w:fill="FFFFFF"/>
            <w:vAlign w:val="bottom"/>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b/>
                <w:bCs/>
                <w:i/>
                <w:color w:val="000000"/>
                <w:sz w:val="16"/>
                <w:szCs w:val="16"/>
                <w:shd w:val="clear" w:color="auto" w:fill="FFFFFF"/>
                <w:lang w:val="es-CO" w:eastAsia="es-ES_tradnl"/>
              </w:rPr>
              <w:t>GASAN</w:t>
            </w:r>
          </w:p>
        </w:tc>
        <w:tc>
          <w:tcPr>
            <w:tcW w:w="2326" w:type="dxa"/>
            <w:tcBorders>
              <w:top w:val="single" w:sz="4" w:space="0" w:color="auto"/>
              <w:left w:val="single" w:sz="4" w:space="0" w:color="auto"/>
              <w:bottom w:val="single" w:sz="4" w:space="0" w:color="auto"/>
              <w:right w:val="nil"/>
            </w:tcBorders>
            <w:shd w:val="clear" w:color="auto" w:fill="FFFFFF"/>
            <w:vAlign w:val="bottom"/>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i/>
                <w:color w:val="000000"/>
                <w:sz w:val="16"/>
                <w:szCs w:val="16"/>
                <w:shd w:val="clear" w:color="auto" w:fill="FFFFFF"/>
                <w:lang w:val="es-CO" w:eastAsia="es-ES_tradnl"/>
              </w:rPr>
              <w:t>30.628.833</w:t>
            </w:r>
          </w:p>
        </w:tc>
        <w:tc>
          <w:tcPr>
            <w:tcW w:w="1757" w:type="dxa"/>
            <w:tcBorders>
              <w:top w:val="single" w:sz="4" w:space="0" w:color="auto"/>
              <w:left w:val="single" w:sz="4" w:space="0" w:color="auto"/>
              <w:bottom w:val="single" w:sz="4" w:space="0" w:color="auto"/>
              <w:right w:val="nil"/>
            </w:tcBorders>
            <w:shd w:val="clear" w:color="auto" w:fill="FFFFFF"/>
            <w:vAlign w:val="bottom"/>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i/>
                <w:color w:val="000000"/>
                <w:sz w:val="16"/>
                <w:szCs w:val="16"/>
                <w:shd w:val="clear" w:color="auto" w:fill="FFFFFF"/>
                <w:lang w:val="es-CO" w:eastAsia="es-ES_tradnl"/>
              </w:rPr>
              <w:t>31.458.994</w:t>
            </w:r>
          </w:p>
        </w:tc>
        <w:tc>
          <w:tcPr>
            <w:tcW w:w="1829" w:type="dxa"/>
            <w:tcBorders>
              <w:top w:val="single" w:sz="4" w:space="0" w:color="auto"/>
              <w:left w:val="single" w:sz="4" w:space="0" w:color="auto"/>
              <w:bottom w:val="single" w:sz="4" w:space="0" w:color="auto"/>
              <w:right w:val="nil"/>
            </w:tcBorders>
            <w:shd w:val="clear" w:color="auto" w:fill="FFFFFF"/>
            <w:vAlign w:val="bottom"/>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i/>
                <w:color w:val="000000"/>
                <w:sz w:val="16"/>
                <w:szCs w:val="16"/>
                <w:shd w:val="clear" w:color="auto" w:fill="FFFFFF"/>
                <w:lang w:val="es-CO" w:eastAsia="es-ES_tradnl"/>
              </w:rPr>
              <w:t>(830.161)</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rsidR="0097344A" w:rsidRPr="0097344A" w:rsidRDefault="0097344A" w:rsidP="0097344A">
            <w:pPr>
              <w:framePr w:w="8050" w:wrap="notBeside" w:vAnchor="text" w:hAnchor="text" w:y="1"/>
              <w:widowControl w:val="0"/>
              <w:ind w:left="284" w:right="284"/>
              <w:jc w:val="center"/>
              <w:rPr>
                <w:rFonts w:ascii="Bookman Old Style" w:hAnsi="Bookman Old Style" w:cs="Arial"/>
                <w:i/>
                <w:sz w:val="16"/>
                <w:szCs w:val="16"/>
                <w:lang w:val="es-CO" w:eastAsia="es-CO"/>
              </w:rPr>
            </w:pPr>
            <w:r w:rsidRPr="0097344A">
              <w:rPr>
                <w:rFonts w:ascii="Bookman Old Style" w:hAnsi="Bookman Old Style" w:cs="Arial"/>
                <w:i/>
                <w:color w:val="000000"/>
                <w:sz w:val="16"/>
                <w:szCs w:val="16"/>
                <w:shd w:val="clear" w:color="auto" w:fill="FFFFFF"/>
                <w:lang w:val="es-CO" w:eastAsia="es-ES_tradnl"/>
              </w:rPr>
              <w:t>-2,6%</w:t>
            </w:r>
          </w:p>
        </w:tc>
      </w:tr>
    </w:tbl>
    <w:p w:rsidR="0097344A" w:rsidRPr="0097344A" w:rsidRDefault="0097344A" w:rsidP="0097344A">
      <w:pPr>
        <w:widowControl w:val="0"/>
        <w:ind w:left="284" w:right="284"/>
        <w:rPr>
          <w:rFonts w:ascii="Bookman Old Style" w:hAnsi="Bookman Old Style"/>
          <w:i/>
          <w:sz w:val="22"/>
          <w:szCs w:val="22"/>
          <w:lang w:val="es-ES_tradnl" w:eastAsia="es-CO"/>
        </w:rPr>
      </w:pPr>
    </w:p>
    <w:p w:rsidR="0097344A" w:rsidRPr="0097344A" w:rsidRDefault="0097344A" w:rsidP="0097344A">
      <w:pPr>
        <w:widowControl w:val="0"/>
        <w:ind w:left="284" w:right="284"/>
        <w:jc w:val="both"/>
        <w:rPr>
          <w:rFonts w:ascii="Bookman Old Style" w:hAnsi="Bookman Old Style" w:cs="Arial"/>
          <w:i/>
          <w:sz w:val="22"/>
          <w:szCs w:val="22"/>
          <w:lang w:val="es-CO" w:eastAsia="es-CO"/>
        </w:rPr>
      </w:pPr>
      <w:r w:rsidRPr="0097344A">
        <w:rPr>
          <w:rFonts w:ascii="Bookman Old Style" w:hAnsi="Bookman Old Style" w:cs="Arial"/>
          <w:i/>
          <w:color w:val="000000"/>
          <w:sz w:val="22"/>
          <w:szCs w:val="22"/>
          <w:shd w:val="clear" w:color="auto" w:fill="FFFFFF"/>
          <w:lang w:val="es-CO" w:eastAsia="es-ES_tradnl"/>
        </w:rPr>
        <w:t xml:space="preserve">Sumado a lo anterior, Gas de Santander S.A. E.S.P. ha ingresado nuevos cilindros al mercado en lo corrido del año para atender la distribución de GLP en su área de influencia. Mediante comunicación de la Superintendencia de Servicios Públicos radicado No, 20172301387031 de fecha 02.10.2017 por medio de la cual la SSPD remitió la información actualizada de cilindros activos que reposa en la base de datos del SUI, en un </w:t>
      </w:r>
      <w:r w:rsidRPr="0097344A">
        <w:rPr>
          <w:rFonts w:ascii="Bookman Old Style" w:hAnsi="Bookman Old Style" w:cs="Arial"/>
          <w:i/>
          <w:color w:val="000000"/>
          <w:sz w:val="22"/>
          <w:szCs w:val="22"/>
          <w:shd w:val="clear" w:color="auto" w:fill="FFFFFF"/>
          <w:lang w:val="es-CO" w:eastAsia="en-US"/>
        </w:rPr>
        <w:t xml:space="preserve">CD </w:t>
      </w:r>
      <w:r w:rsidRPr="0097344A">
        <w:rPr>
          <w:rFonts w:ascii="Bookman Old Style" w:hAnsi="Bookman Old Style" w:cs="Arial"/>
          <w:i/>
          <w:color w:val="000000"/>
          <w:sz w:val="22"/>
          <w:szCs w:val="22"/>
          <w:shd w:val="clear" w:color="auto" w:fill="FFFFFF"/>
          <w:lang w:val="es-CO" w:eastAsia="es-ES_tradnl"/>
        </w:rPr>
        <w:t>donde se identifica, que el número de cilindros cargados desde 2008 hasta 2016 fueron 875.487 cilindros y en el año 2017 se cargaron 15.243, para un número total de cilindros de 890.730. Para el año 2016 la capacidad de los tanques estacionarios ascendía de 1.192.858.8 kilogramos para Gas de Santander S.A. E.S.P. Los tanques estacionarios se han incrementado con relación al año anterior en 85.165.5 kilogramos.</w:t>
      </w:r>
    </w:p>
    <w:p w:rsidR="0097344A" w:rsidRPr="0097344A" w:rsidRDefault="0097344A" w:rsidP="0097344A">
      <w:pPr>
        <w:widowControl w:val="0"/>
        <w:ind w:left="284" w:right="284"/>
        <w:jc w:val="both"/>
        <w:rPr>
          <w:rFonts w:ascii="Bookman Old Style" w:hAnsi="Bookman Old Style" w:cs="Arial"/>
          <w:i/>
          <w:color w:val="000000"/>
          <w:sz w:val="22"/>
          <w:szCs w:val="22"/>
          <w:shd w:val="clear" w:color="auto" w:fill="FFFFFF"/>
          <w:lang w:val="es-CO" w:eastAsia="es-ES_tradnl"/>
        </w:rPr>
      </w:pPr>
    </w:p>
    <w:p w:rsidR="0097344A" w:rsidRPr="0097344A" w:rsidRDefault="0097344A" w:rsidP="0097344A">
      <w:pPr>
        <w:widowControl w:val="0"/>
        <w:ind w:left="284" w:right="284"/>
        <w:jc w:val="both"/>
        <w:rPr>
          <w:rFonts w:ascii="Bookman Old Style" w:hAnsi="Bookman Old Style" w:cs="Arial"/>
          <w:i/>
          <w:color w:val="000000"/>
          <w:sz w:val="22"/>
          <w:szCs w:val="22"/>
          <w:shd w:val="clear" w:color="auto" w:fill="FFFFFF"/>
          <w:lang w:val="es-CO" w:eastAsia="es-ES_tradnl"/>
        </w:rPr>
      </w:pPr>
      <w:r w:rsidRPr="0097344A">
        <w:rPr>
          <w:rFonts w:ascii="Bookman Old Style" w:hAnsi="Bookman Old Style" w:cs="Arial"/>
          <w:i/>
          <w:color w:val="000000"/>
          <w:sz w:val="22"/>
          <w:szCs w:val="22"/>
          <w:shd w:val="clear" w:color="auto" w:fill="FFFFFF"/>
          <w:lang w:val="es-CO" w:eastAsia="es-ES_tradnl"/>
        </w:rPr>
        <w:t xml:space="preserve">Agradecemos que se evalúe la nueva capacidad de compra de GLP definida en la </w:t>
      </w:r>
      <w:r w:rsidRPr="0097344A">
        <w:rPr>
          <w:rFonts w:ascii="Bookman Old Style" w:hAnsi="Bookman Old Style" w:cs="Arial"/>
          <w:i/>
          <w:color w:val="000000"/>
          <w:sz w:val="22"/>
          <w:szCs w:val="22"/>
          <w:shd w:val="clear" w:color="auto" w:fill="FFFFFF"/>
          <w:lang w:val="es-CO" w:eastAsia="es-ES_tradnl"/>
        </w:rPr>
        <w:lastRenderedPageBreak/>
        <w:t>resolución en mención, dado que no evidenciamos la razón por la que se disminuye la capacidad de compra de la circular 035 de 2017 de la CREG, con respecto a la propuesta de resolución CREG 168 de 2017.</w:t>
      </w:r>
    </w:p>
    <w:p w:rsidR="0097344A" w:rsidRPr="0097344A" w:rsidRDefault="0097344A" w:rsidP="0097344A">
      <w:pPr>
        <w:widowControl w:val="0"/>
        <w:ind w:left="284" w:right="284"/>
        <w:jc w:val="both"/>
        <w:rPr>
          <w:rFonts w:ascii="Bookman Old Style" w:hAnsi="Bookman Old Style" w:cs="Arial"/>
          <w:i/>
          <w:color w:val="000000"/>
          <w:sz w:val="22"/>
          <w:szCs w:val="22"/>
          <w:shd w:val="clear" w:color="auto" w:fill="FFFFFF"/>
          <w:lang w:val="es-CO" w:eastAsia="es-ES_tradnl"/>
        </w:rPr>
      </w:pPr>
    </w:p>
    <w:p w:rsidR="00B83F23" w:rsidRPr="0097344A" w:rsidRDefault="0097344A" w:rsidP="0097344A">
      <w:pPr>
        <w:widowControl w:val="0"/>
        <w:ind w:left="284" w:right="284"/>
        <w:jc w:val="both"/>
        <w:rPr>
          <w:rFonts w:ascii="Bookman Old Style" w:hAnsi="Bookman Old Style" w:cs="Arial"/>
          <w:i/>
          <w:sz w:val="22"/>
          <w:szCs w:val="22"/>
          <w:lang w:val="es-CO" w:eastAsia="es-CO"/>
        </w:rPr>
      </w:pPr>
      <w:r w:rsidRPr="0097344A">
        <w:rPr>
          <w:rFonts w:ascii="Bookman Old Style" w:hAnsi="Bookman Old Style" w:cs="Arial"/>
          <w:i/>
          <w:sz w:val="22"/>
          <w:szCs w:val="22"/>
          <w:lang w:val="es-CO" w:eastAsia="es-CO"/>
        </w:rPr>
        <w:t>Para la empresa Gas de Santander S.A. E.S.P. los requerimientos sobre la capacidad de los cilindros y tanques está conforme al requerimiento de la SSPD, toda vez que los tamaños reportados coinciden con el comunicado de la SSPD 20172301225561, sobre la cual Informó la DTGGG, así como los reportes en Kilogramos. La Información actualizada enviada por la Dirección corresponde a los dispuesto en la Resolución CREG 063 de 2016.</w:t>
      </w:r>
      <w:r w:rsidR="00B83F23" w:rsidRPr="0097344A">
        <w:rPr>
          <w:rFonts w:ascii="Bookman Old Style" w:hAnsi="Bookman Old Style" w:cs="Arial"/>
          <w:i/>
          <w:sz w:val="20"/>
          <w:szCs w:val="20"/>
          <w:lang w:val="es-ES_tradnl"/>
        </w:rPr>
        <w:t>”</w:t>
      </w:r>
    </w:p>
    <w:p w:rsidR="00B83F23" w:rsidRPr="006C0EE5" w:rsidRDefault="00B83F23" w:rsidP="006C0EE5">
      <w:pPr>
        <w:ind w:left="284" w:right="284"/>
        <w:jc w:val="both"/>
        <w:rPr>
          <w:rFonts w:ascii="Bookman Old Style" w:hAnsi="Bookman Old Style" w:cs="Arial"/>
          <w:i/>
          <w:sz w:val="20"/>
          <w:szCs w:val="20"/>
          <w:lang w:val="es-ES_tradnl"/>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particular, con respecto al ejercicio de depuración y ajuste en las capacidades de los cilindros de acuerdo con la normativa técnica, llevado a cabo por parte de dicha Superintendencia y que se expone en las comunicaciones 20172301319541, con radicado CREG E-2017-008887 de 26 de septiembre de 2017 y 20172301474701, </w:t>
      </w:r>
      <w:r>
        <w:rPr>
          <w:rFonts w:ascii="Bookman Old Style" w:hAnsi="Bookman Old Style"/>
          <w:szCs w:val="27"/>
        </w:rPr>
        <w:t>con radicado CREG E-2017-009607</w:t>
      </w:r>
      <w:r w:rsidRPr="006C0EE5">
        <w:rPr>
          <w:rFonts w:ascii="Bookman Old Style" w:hAnsi="Bookman Old Style"/>
          <w:szCs w:val="27"/>
        </w:rPr>
        <w:t>, previó a la fecha de corte de la información del SUI remitida por la Superintendencia de Servicios Públicos Domiciliaras a efectos de</w:t>
      </w:r>
      <w:r>
        <w:rPr>
          <w:rFonts w:ascii="Bookman Old Style" w:hAnsi="Bookman Old Style"/>
          <w:szCs w:val="27"/>
        </w:rPr>
        <w:t xml:space="preserve"> definir la capacidad de compra;</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para lo cual expidió el Auto I-2017-</w:t>
      </w:r>
      <w:r>
        <w:rPr>
          <w:rFonts w:ascii="Bookman Old Style" w:hAnsi="Bookman Old Style"/>
          <w:szCs w:val="27"/>
        </w:rPr>
        <w:t>006449</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w:t>
      </w:r>
      <w:r w:rsidRPr="006C0EE5">
        <w:rPr>
          <w:rFonts w:ascii="Bookman Old Style" w:eastAsia="MS Mincho" w:hAnsi="Bookman Old Style" w:cs="Arial"/>
          <w:b/>
          <w:sz w:val="22"/>
          <w:szCs w:val="22"/>
          <w:lang w:val="es-ES_tradnl" w:eastAsia="en-US"/>
        </w:rPr>
        <w:t>Artículo 1.</w:t>
      </w:r>
      <w:r w:rsidRPr="006C0EE5">
        <w:rPr>
          <w:rFonts w:ascii="Bookman Old Style" w:eastAsia="MS Mincho" w:hAnsi="Bookman Old Style" w:cs="Arial"/>
          <w:sz w:val="22"/>
          <w:szCs w:val="22"/>
          <w:lang w:val="es-ES_tradnl" w:eastAsia="en-US"/>
        </w:rPr>
        <w:t xml:space="preserve"> Decretar de manera oficiosa la práctica de las siguientes pruebas a efectos de que esta Comisión pueda resolver los recursos de reposición interpuestos en contra de la Resolución CREG 168 de 2017:</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Oficiar a la Superintendencia de Servicios Públicos Domiciliarios para que en el término de hasta (3) días calendario siguientes al recibo de la presente comunicación manifieste e informe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17 de septiembre de 2017, con respecto a los soportes y argumentos que se adjuntan en los recursos de reposición por parte de las empresas, relacionados con el ejercicio de depuración y ajuste en las capacidades de los cilindros de acuerdo con la normativa técnica, llevado a cabo por la Superintendencia de Servicios Públicos Domiciliarios al Sistema Único de Información – SUI.</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 xml:space="preserve">Así mismo, manifestar e informar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entregada por la </w:t>
      </w:r>
      <w:r w:rsidRPr="006C0EE5">
        <w:rPr>
          <w:rFonts w:ascii="Bookman Old Style" w:eastAsia="MS Mincho" w:hAnsi="Bookman Old Style" w:cs="Arial"/>
          <w:sz w:val="22"/>
          <w:szCs w:val="22"/>
          <w:lang w:val="es-ES_tradnl" w:eastAsia="en-US"/>
        </w:rPr>
        <w:lastRenderedPageBreak/>
        <w:t>interventoría AIC, proyectos, hasta el año 2012, y la reportada por los distribuidores de GLP ante la Superintendencia, desde el año 2012 hasta el 17 de septiembre de 2017, con respecto a los informes de cesión de marcas realizados a la Superintendencia por parte de las empresas distribuidoras de acuerdo con los soportes adjuntos en los recursos de reposición.</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 xml:space="preserve">Para el efecto se remitirá a la Superintendencia la información del archivo Excel correspondiente a las comunicaciones 20172301319541, con radicado CREG E-2017-008887 de 26 de septiembre de 2017 y 20172301474701, con radicado CREG E-2017-009607, así como copia de los recursos de reposición interpuestos en contra de la Resolución CREG 168 de 2017. </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6C0EE5" w:rsidRPr="009C4230" w:rsidRDefault="006C0EE5" w:rsidP="006C0EE5">
      <w:pPr>
        <w:pStyle w:val="Textoindependiente"/>
        <w:spacing w:after="0"/>
        <w:rPr>
          <w:rFonts w:cs="Arial"/>
          <w:sz w:val="22"/>
          <w:szCs w:val="22"/>
        </w:rPr>
      </w:pPr>
    </w:p>
    <w:tbl>
      <w:tblPr>
        <w:tblStyle w:val="Tablaconcuadrcula"/>
        <w:tblW w:w="0" w:type="auto"/>
        <w:jc w:val="center"/>
        <w:tblLook w:val="04A0" w:firstRow="1" w:lastRow="0" w:firstColumn="1" w:lastColumn="0" w:noHBand="0" w:noVBand="1"/>
      </w:tblPr>
      <w:tblGrid>
        <w:gridCol w:w="2408"/>
        <w:gridCol w:w="2442"/>
        <w:gridCol w:w="2929"/>
      </w:tblGrid>
      <w:tr w:rsidR="006C0EE5" w:rsidRPr="006C0EE5" w:rsidTr="0066171D">
        <w:trPr>
          <w:jc w:val="center"/>
        </w:trPr>
        <w:tc>
          <w:tcPr>
            <w:tcW w:w="2408"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Identificador de empresa (código SUI)</w:t>
            </w:r>
          </w:p>
        </w:tc>
        <w:tc>
          <w:tcPr>
            <w:tcW w:w="2442"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Código de presentación del cilindro</w:t>
            </w:r>
          </w:p>
        </w:tc>
        <w:tc>
          <w:tcPr>
            <w:tcW w:w="2929"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 xml:space="preserve">Cantidad de cilindros por cada código de presentación </w:t>
            </w:r>
          </w:p>
        </w:tc>
      </w:tr>
    </w:tbl>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remitir la información de tanques estacionarios atendidos por cada distribuidor y su capacidad en galones correspondiente al año 2016 de acuerdo con lo reportado a la Superintendencia de Servicios Públicos Domiciliarios en el Sistema Único de Información - SUI.</w:t>
      </w:r>
      <w:r>
        <w:rPr>
          <w:rFonts w:ascii="Bookman Old Style" w:eastAsia="MS Mincho" w:hAnsi="Bookman Old Style" w:cs="Arial"/>
          <w:sz w:val="22"/>
          <w:szCs w:val="22"/>
          <w:lang w:val="es-ES_tradnl" w:eastAsia="en-US"/>
        </w:rPr>
        <w:t>”</w:t>
      </w:r>
    </w:p>
    <w:p w:rsidR="006C0EE5" w:rsidRDefault="006C0EE5" w:rsidP="006C0EE5">
      <w:pPr>
        <w:ind w:left="284" w:right="284"/>
        <w:jc w:val="both"/>
        <w:rPr>
          <w:rFonts w:ascii="Bookman Old Style" w:hAnsi="Bookman Old Style" w:cs="Arial"/>
          <w:b/>
          <w:bCs/>
          <w:sz w:val="22"/>
          <w:szCs w:val="22"/>
          <w:lang w:val="es-CO"/>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Posteriormente se expidió el Auto I-2017-</w:t>
      </w:r>
      <w:r>
        <w:rPr>
          <w:rFonts w:ascii="Bookman Old Style" w:hAnsi="Bookman Old Style"/>
          <w:szCs w:val="27"/>
        </w:rPr>
        <w:t>006559</w:t>
      </w:r>
      <w:r w:rsidRPr="006C0EE5">
        <w:rPr>
          <w:rFonts w:ascii="Bookman Old Style" w:hAnsi="Bookman Old Style"/>
          <w:szCs w:val="27"/>
        </w:rPr>
        <w:t xml:space="preserve"> a efectos de incluir a la empresa </w:t>
      </w:r>
      <w:proofErr w:type="spellStart"/>
      <w:r w:rsidRPr="006C0EE5">
        <w:rPr>
          <w:rFonts w:ascii="Bookman Old Style" w:hAnsi="Bookman Old Style"/>
          <w:szCs w:val="27"/>
        </w:rPr>
        <w:t>Montagas</w:t>
      </w:r>
      <w:proofErr w:type="spellEnd"/>
      <w:r w:rsidRPr="006C0EE5">
        <w:rPr>
          <w:rFonts w:ascii="Bookman Old Style" w:hAnsi="Bookman Old Style"/>
          <w:szCs w:val="27"/>
        </w:rPr>
        <w:t xml:space="preserve"> dentro de la misma solicitud hecha a la Superintendencia, como parte del decreto y práctica de pruebas hecho inicialmente para </w:t>
      </w:r>
      <w:r>
        <w:rPr>
          <w:rFonts w:ascii="Bookman Old Style" w:hAnsi="Bookman Old Style"/>
          <w:szCs w:val="27"/>
        </w:rPr>
        <w:t>7</w:t>
      </w:r>
      <w:r w:rsidRPr="006C0EE5">
        <w:rPr>
          <w:rFonts w:ascii="Bookman Old Style" w:hAnsi="Bookman Old Style"/>
          <w:szCs w:val="27"/>
        </w:rPr>
        <w:t xml:space="preserve"> empresas distribuidoras.</w:t>
      </w:r>
    </w:p>
    <w:p w:rsidR="006C0EE5" w:rsidRPr="006C0EE5" w:rsidRDefault="006C0EE5" w:rsidP="006C0EE5">
      <w:pPr>
        <w:ind w:left="0" w:right="-142"/>
        <w:jc w:val="both"/>
        <w:rPr>
          <w:rFonts w:ascii="Bookman Old Style" w:hAnsi="Bookman Old Style"/>
          <w:szCs w:val="27"/>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Mediante oficios con radicado CREG E-2017-</w:t>
      </w:r>
      <w:r w:rsidR="00C3759C">
        <w:rPr>
          <w:rFonts w:ascii="Bookman Old Style" w:hAnsi="Bookman Old Style"/>
          <w:szCs w:val="27"/>
        </w:rPr>
        <w:t>011794</w:t>
      </w:r>
      <w:r w:rsidRPr="006C0EE5">
        <w:rPr>
          <w:rFonts w:ascii="Bookman Old Style" w:hAnsi="Bookman Old Style"/>
          <w:szCs w:val="27"/>
        </w:rPr>
        <w:t xml:space="preserve"> y E-2017-</w:t>
      </w:r>
      <w:r w:rsidR="00C3759C">
        <w:rPr>
          <w:rFonts w:ascii="Bookman Old Style" w:hAnsi="Bookman Old Style"/>
          <w:szCs w:val="27"/>
        </w:rPr>
        <w:t>011812</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97344A">
        <w:rPr>
          <w:rFonts w:ascii="Bookman Old Style" w:hAnsi="Bookman Old Style"/>
          <w:szCs w:val="27"/>
        </w:rPr>
        <w:t>Gas de Santander</w:t>
      </w:r>
      <w:r w:rsidRPr="006C0EE5">
        <w:rPr>
          <w:rFonts w:ascii="Bookman Old Style" w:hAnsi="Bookman Old Style"/>
          <w:szCs w:val="27"/>
        </w:rPr>
        <w:t xml:space="preserve"> en su recurso frente a la Resolución CREG </w:t>
      </w:r>
      <w:r w:rsidR="00C3759C">
        <w:rPr>
          <w:rFonts w:ascii="Bookman Old Style" w:hAnsi="Bookman Old Style"/>
          <w:szCs w:val="27"/>
        </w:rPr>
        <w:t>168</w:t>
      </w:r>
      <w:r w:rsidRPr="006C0EE5">
        <w:rPr>
          <w:rFonts w:ascii="Bookman Old Style" w:hAnsi="Bookman Old Style"/>
          <w:szCs w:val="27"/>
        </w:rPr>
        <w:t xml:space="preserve"> de 2017.</w:t>
      </w:r>
    </w:p>
    <w:p w:rsidR="006C0EE5" w:rsidRDefault="006C0EE5"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168 de 2017, a efectos de que esta Comisión revise la</w:t>
      </w:r>
      <w:r w:rsidRPr="00B42221">
        <w:rPr>
          <w:rFonts w:ascii="Bookman Old Style" w:hAnsi="Bookman Old Style"/>
          <w:szCs w:val="27"/>
        </w:rPr>
        <w:t xml:space="preserve"> definición de la capacidad de compra para la </w:t>
      </w:r>
      <w:r>
        <w:rPr>
          <w:rFonts w:ascii="Bookman Old Style" w:hAnsi="Bookman Old Style"/>
          <w:szCs w:val="27"/>
        </w:rPr>
        <w:t xml:space="preserve">empresa </w:t>
      </w:r>
      <w:r w:rsidR="0097344A">
        <w:rPr>
          <w:rFonts w:ascii="Bookman Old Style" w:hAnsi="Bookman Old Style"/>
          <w:szCs w:val="27"/>
        </w:rPr>
        <w:t>Gas de Santander</w:t>
      </w:r>
      <w:r>
        <w:rPr>
          <w:rFonts w:ascii="Bookman Old Style" w:hAnsi="Bookman Old Style"/>
          <w:szCs w:val="27"/>
        </w:rPr>
        <w:t xml:space="preserve">, toda vez que considera que existen diferencias en la información a nivel de cilindros y  tanques estacionarios reportados en el SUI que fueron tenidos en cuenta por la CREG para realizar dicho cálculo. </w:t>
      </w: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En este sentido, los argumentos de la empresa buscan justificar que la definición de la capacidad de compra debe llevarse a cabo con el reporte de </w:t>
      </w:r>
      <w:r w:rsidR="00C3759C">
        <w:rPr>
          <w:rFonts w:ascii="Bookman Old Style" w:hAnsi="Bookman Old Style"/>
          <w:szCs w:val="27"/>
        </w:rPr>
        <w:t>cilindros marcados ajustados en el SUI ateniendo los requerimientos derivados del ejercicio de depuración llevado a cabo por parte de la Superintendencia de Servicios Públicos Domiciliarios.</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168 de 2017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6D45B0" w:rsidRPr="00732E3E"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w:t>
      </w:r>
      <w:r>
        <w:rPr>
          <w:rFonts w:ascii="Bookman Old Style" w:hAnsi="Bookman Old Style"/>
          <w:szCs w:val="27"/>
        </w:rPr>
        <w:t>ormación del SICMA y del SICUN)</w:t>
      </w:r>
      <w:r w:rsidRPr="00732E3E">
        <w:rPr>
          <w:rFonts w:ascii="Bookman Old Style" w:hAnsi="Bookman Old Style"/>
          <w:szCs w:val="27"/>
        </w:rPr>
        <w:t>.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lastRenderedPageBreak/>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rsidR="006D45B0" w:rsidRDefault="006D45B0" w:rsidP="006D45B0">
      <w:pPr>
        <w:pStyle w:val="Textoindependiente2"/>
        <w:spacing w:after="0" w:line="240" w:lineRule="auto"/>
        <w:ind w:left="0" w:right="-142"/>
        <w:jc w:val="both"/>
        <w:rPr>
          <w:rFonts w:ascii="Bookman Old Style" w:hAnsi="Bookman Old Style"/>
          <w:i/>
          <w:sz w:val="22"/>
          <w:szCs w:val="22"/>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r w:rsidR="0097344A">
        <w:rPr>
          <w:rFonts w:ascii="Bookman Old Style" w:hAnsi="Bookman Old Style"/>
          <w:szCs w:val="27"/>
        </w:rPr>
        <w:t>Gas de Santander</w:t>
      </w:r>
      <w:r w:rsidRPr="00C3759C">
        <w:rPr>
          <w:rFonts w:ascii="Bookman Old Style" w:hAnsi="Bookman Old Style"/>
          <w:szCs w:val="27"/>
        </w:rPr>
        <w:t>:</w:t>
      </w:r>
    </w:p>
    <w:p w:rsidR="0066171D" w:rsidRDefault="0066171D" w:rsidP="0066171D">
      <w:pPr>
        <w:pStyle w:val="Textoindependiente2"/>
        <w:spacing w:after="0" w:line="240" w:lineRule="auto"/>
        <w:ind w:left="0" w:right="-142"/>
        <w:jc w:val="both"/>
        <w:rPr>
          <w:rFonts w:ascii="Bookman Old Style" w:hAnsi="Bookman Old Style"/>
          <w:szCs w:val="27"/>
        </w:rPr>
      </w:pPr>
    </w:p>
    <w:p w:rsidR="00C3759C" w:rsidRDefault="00C3759C" w:rsidP="00C3759C">
      <w:pPr>
        <w:pStyle w:val="Textoindependiente2"/>
        <w:spacing w:after="0" w:line="240" w:lineRule="auto"/>
        <w:ind w:left="-142" w:right="-142"/>
        <w:jc w:val="center"/>
        <w:rPr>
          <w:rFonts w:ascii="Bookman Old Style" w:hAnsi="Bookman Old Style"/>
          <w:szCs w:val="27"/>
        </w:rPr>
      </w:pPr>
    </w:p>
    <w:p w:rsidR="00C3759C" w:rsidRDefault="0097344A" w:rsidP="00583648">
      <w:pPr>
        <w:pStyle w:val="Textoindependiente2"/>
        <w:spacing w:after="0" w:line="240" w:lineRule="auto"/>
        <w:ind w:left="-142" w:right="-142"/>
        <w:jc w:val="center"/>
        <w:rPr>
          <w:rFonts w:ascii="Bookman Old Style" w:hAnsi="Bookman Old Style"/>
          <w:szCs w:val="27"/>
        </w:rPr>
      </w:pPr>
      <w:r w:rsidRPr="0097344A">
        <w:rPr>
          <w:rFonts w:ascii="Bookman Old Style" w:hAnsi="Bookman Old Style"/>
          <w:noProof/>
          <w:szCs w:val="27"/>
          <w:lang w:val="es-CO" w:eastAsia="es-CO"/>
        </w:rPr>
        <w:drawing>
          <wp:inline distT="0" distB="0" distL="0" distR="0">
            <wp:extent cx="4713605" cy="1784985"/>
            <wp:effectExtent l="0" t="0" r="0" b="571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3605" cy="1784985"/>
                    </a:xfrm>
                    <a:prstGeom prst="rect">
                      <a:avLst/>
                    </a:prstGeom>
                    <a:noFill/>
                    <a:ln>
                      <a:noFill/>
                    </a:ln>
                  </pic:spPr>
                </pic:pic>
              </a:graphicData>
            </a:graphic>
          </wp:inline>
        </w:drawing>
      </w:r>
    </w:p>
    <w:p w:rsidR="00C3759C" w:rsidRDefault="00C3759C" w:rsidP="0097344A">
      <w:pPr>
        <w:pStyle w:val="Textoindependiente2"/>
        <w:spacing w:after="0" w:line="240" w:lineRule="auto"/>
        <w:ind w:left="0" w:right="-142"/>
        <w:rPr>
          <w:rFonts w:ascii="Bookman Old Style" w:hAnsi="Bookman Old Style"/>
          <w:szCs w:val="27"/>
        </w:rPr>
      </w:pPr>
    </w:p>
    <w:p w:rsidR="0066171D" w:rsidRDefault="0097344A" w:rsidP="0097344A">
      <w:pPr>
        <w:pStyle w:val="Textoindependiente2"/>
        <w:spacing w:after="0" w:line="240" w:lineRule="auto"/>
        <w:ind w:left="0" w:right="-142"/>
        <w:jc w:val="center"/>
        <w:rPr>
          <w:rFonts w:ascii="Bookman Old Style" w:hAnsi="Bookman Old Style"/>
          <w:szCs w:val="27"/>
        </w:rPr>
      </w:pPr>
      <w:r w:rsidRPr="0097344A">
        <w:rPr>
          <w:rFonts w:ascii="Bookman Old Style" w:hAnsi="Bookman Old Style"/>
          <w:noProof/>
          <w:szCs w:val="27"/>
          <w:lang w:val="es-CO" w:eastAsia="es-CO"/>
        </w:rPr>
        <w:drawing>
          <wp:inline distT="0" distB="0" distL="0" distR="0">
            <wp:extent cx="4354195" cy="3015615"/>
            <wp:effectExtent l="0" t="0" r="825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4195" cy="3015615"/>
                    </a:xfrm>
                    <a:prstGeom prst="rect">
                      <a:avLst/>
                    </a:prstGeom>
                    <a:noFill/>
                    <a:ln>
                      <a:noFill/>
                    </a:ln>
                  </pic:spPr>
                </pic:pic>
              </a:graphicData>
            </a:graphic>
          </wp:inline>
        </w:drawing>
      </w:r>
    </w:p>
    <w:p w:rsidR="006D45B0" w:rsidRDefault="0097344A" w:rsidP="0097344A">
      <w:pPr>
        <w:pStyle w:val="Textoindependiente2"/>
        <w:tabs>
          <w:tab w:val="left" w:pos="8194"/>
        </w:tabs>
        <w:spacing w:after="0" w:line="240" w:lineRule="auto"/>
        <w:ind w:left="-142" w:right="-142"/>
        <w:rPr>
          <w:rFonts w:ascii="Bookman Old Style" w:hAnsi="Bookman Old Style"/>
          <w:szCs w:val="27"/>
        </w:rPr>
      </w:pPr>
      <w:r>
        <w:rPr>
          <w:rFonts w:ascii="Bookman Old Style" w:hAnsi="Bookman Old Style"/>
          <w:szCs w:val="27"/>
        </w:rPr>
        <w:tab/>
      </w:r>
    </w:p>
    <w:p w:rsidR="0097344A" w:rsidRDefault="0097344A" w:rsidP="0097344A">
      <w:pPr>
        <w:pStyle w:val="Textoindependiente2"/>
        <w:tabs>
          <w:tab w:val="left" w:pos="8194"/>
        </w:tabs>
        <w:spacing w:after="0" w:line="240" w:lineRule="auto"/>
        <w:ind w:left="-142" w:right="-142"/>
        <w:rPr>
          <w:rFonts w:ascii="Bookman Old Style" w:hAnsi="Bookman Old Style"/>
          <w:szCs w:val="27"/>
        </w:rPr>
      </w:pPr>
    </w:p>
    <w:p w:rsidR="00DA1EF4" w:rsidRDefault="0097344A" w:rsidP="00C91B94">
      <w:pPr>
        <w:pStyle w:val="Textoindependiente2"/>
        <w:spacing w:after="0" w:line="240" w:lineRule="auto"/>
        <w:ind w:left="-142" w:right="-142"/>
        <w:jc w:val="center"/>
        <w:rPr>
          <w:rFonts w:ascii="Bookman Old Style" w:hAnsi="Bookman Old Style"/>
          <w:szCs w:val="27"/>
        </w:rPr>
      </w:pPr>
      <w:r w:rsidRPr="0097344A">
        <w:rPr>
          <w:rFonts w:ascii="Bookman Old Style" w:hAnsi="Bookman Old Style"/>
          <w:noProof/>
          <w:szCs w:val="27"/>
          <w:lang w:val="es-CO" w:eastAsia="es-CO"/>
        </w:rPr>
        <w:lastRenderedPageBreak/>
        <w:drawing>
          <wp:inline distT="0" distB="0" distL="0" distR="0">
            <wp:extent cx="4474210" cy="2677795"/>
            <wp:effectExtent l="0" t="0" r="2540" b="825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4210" cy="2677795"/>
                    </a:xfrm>
                    <a:prstGeom prst="rect">
                      <a:avLst/>
                    </a:prstGeom>
                    <a:noFill/>
                    <a:ln>
                      <a:noFill/>
                    </a:ln>
                  </pic:spPr>
                </pic:pic>
              </a:graphicData>
            </a:graphic>
          </wp:inline>
        </w:drawing>
      </w:r>
    </w:p>
    <w:p w:rsidR="00C91B94" w:rsidRPr="00583648" w:rsidRDefault="00C91B94" w:rsidP="0097344A">
      <w:pPr>
        <w:pStyle w:val="Textoindependiente2"/>
        <w:spacing w:after="0" w:line="240" w:lineRule="auto"/>
        <w:ind w:left="0" w:right="-142"/>
        <w:rPr>
          <w:rFonts w:ascii="Bookman Old Style" w:hAnsi="Bookman Old Style"/>
          <w:noProof/>
          <w:szCs w:val="27"/>
          <w:lang w:val="es-CO" w:eastAsia="es-CO"/>
        </w:rPr>
      </w:pPr>
    </w:p>
    <w:p w:rsidR="00DA1EF4" w:rsidRDefault="00DA1EF4" w:rsidP="00DA1EF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expuesto por la Superintendencia se establece que los argumentos de la empresa en relación con la existencia de diferencias en la información del SUI en que esta se soporta no son procedentes a efectos de modificar lo resuelto en la Resolución CREG </w:t>
      </w:r>
      <w:r w:rsidR="00C91B94">
        <w:rPr>
          <w:rFonts w:ascii="Bookman Old Style" w:hAnsi="Bookman Old Style"/>
          <w:szCs w:val="27"/>
        </w:rPr>
        <w:t>168</w:t>
      </w:r>
      <w:r>
        <w:rPr>
          <w:rFonts w:ascii="Bookman Old Style" w:hAnsi="Bookman Old Style"/>
          <w:szCs w:val="27"/>
        </w:rPr>
        <w:t xml:space="preserve"> de 2017, toda vez que la información del SUI en materia cilindros y tanques estacionarios debió ser reportada a la Superintendencia de Servicios Públicos Domiciliarios en cumplimiento de las obligaciones previstas en la Ley y la regulación</w:t>
      </w:r>
      <w:r>
        <w:rPr>
          <w:rStyle w:val="Refdenotaalpie"/>
          <w:rFonts w:ascii="Bookman Old Style" w:hAnsi="Bookman Old Style"/>
          <w:szCs w:val="27"/>
        </w:rPr>
        <w:footnoteReference w:id="8"/>
      </w:r>
      <w:r>
        <w:rPr>
          <w:rFonts w:ascii="Bookman Old Style" w:hAnsi="Bookman Old Style"/>
          <w:szCs w:val="27"/>
        </w:rPr>
        <w:t xml:space="preserve"> en materia de reporte de información, así como dentro de los términos y plazos previstos en las circulares conjuntas expedidas por la CREG y la Superintendencia para el efecto.</w:t>
      </w:r>
    </w:p>
    <w:p w:rsidR="00DA1EF4" w:rsidRPr="00842277" w:rsidRDefault="00DA1EF4" w:rsidP="00DA1EF4">
      <w:pPr>
        <w:pStyle w:val="Textoindependiente2"/>
        <w:spacing w:after="0" w:line="240" w:lineRule="auto"/>
        <w:ind w:left="-142" w:right="-142"/>
        <w:jc w:val="both"/>
        <w:rPr>
          <w:rFonts w:ascii="Bookman Old Style" w:hAnsi="Bookman Old Style"/>
          <w:sz w:val="20"/>
          <w:szCs w:val="27"/>
        </w:rPr>
      </w:pPr>
    </w:p>
    <w:p w:rsidR="00583648" w:rsidRPr="00E415D4" w:rsidRDefault="00DA1EF4" w:rsidP="00E415D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a fin de dar cumplimiento a los presupuestos y mandatos propios del principio de igualdad, materializados en materia de servicios públicos en el criterio 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como es el caso de los agentes distribuidores para efectos de la determinación de la c</w:t>
      </w:r>
      <w:r w:rsidR="00842277">
        <w:rPr>
          <w:rFonts w:ascii="Bookman Old Style" w:hAnsi="Bookman Old Style"/>
          <w:szCs w:val="27"/>
        </w:rPr>
        <w:t xml:space="preserve">apacidad de compra. </w:t>
      </w:r>
      <w:r>
        <w:rPr>
          <w:rFonts w:ascii="Bookman Old Style" w:hAnsi="Bookman Old Style"/>
          <w:szCs w:val="27"/>
        </w:rPr>
        <w:t xml:space="preserve">Por el contrario, el tener en cuenta dicha información desconocería dichas obligaciones </w:t>
      </w:r>
      <w:r>
        <w:rPr>
          <w:rFonts w:ascii="Bookman Old Style" w:hAnsi="Bookman Old Style" w:cs="Arial"/>
          <w:spacing w:val="-5"/>
          <w:lang w:val="es-CO" w:eastAsia="en-US"/>
        </w:rPr>
        <w:t xml:space="preserve">en relación con tener actualizado el reporte de esta información, de la misma forma que se estaría dando un tratamiento diferencial injustificado frente a la forma en que se llevó a cabo la definición de la capacidad de compra a los demás agentes bajo ninguna justificación legalmente válida y razonable, </w:t>
      </w:r>
      <w:r w:rsidRPr="00F64F1B">
        <w:rPr>
          <w:rFonts w:ascii="Bookman Old Style" w:hAnsi="Bookman Old Style" w:cs="Arial"/>
          <w:spacing w:val="-5"/>
          <w:lang w:val="es-CO" w:eastAsia="en-US"/>
        </w:rPr>
        <w:t xml:space="preserve">lo cual iría igualmente en contra del principio general del derecho </w:t>
      </w:r>
      <w:proofErr w:type="spellStart"/>
      <w:r w:rsidRPr="00F64F1B">
        <w:rPr>
          <w:rFonts w:ascii="Bookman Old Style" w:hAnsi="Bookman Old Style" w:cs="Arial"/>
          <w:i/>
          <w:spacing w:val="-5"/>
          <w:lang w:val="es-CO" w:eastAsia="en-US"/>
        </w:rPr>
        <w:t>nemo</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auditur</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propiam</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turpitudinem</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allegans</w:t>
      </w:r>
      <w:proofErr w:type="spellEnd"/>
      <w:r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Pr>
          <w:rFonts w:ascii="Bookman Old Style" w:hAnsi="Bookman Old Style" w:cs="Arial"/>
          <w:spacing w:val="-5"/>
          <w:lang w:val="es-CO" w:eastAsia="en-US"/>
        </w:rPr>
        <w:t>.</w:t>
      </w:r>
    </w:p>
    <w:p w:rsidR="0097344A" w:rsidRDefault="0097344A" w:rsidP="00583648">
      <w:pPr>
        <w:pStyle w:val="Textoindependiente2"/>
        <w:spacing w:after="0" w:line="240" w:lineRule="auto"/>
        <w:ind w:left="-142" w:right="-142"/>
        <w:jc w:val="both"/>
        <w:rPr>
          <w:rFonts w:ascii="Bookman Old Style" w:hAnsi="Bookman Old Style" w:cs="Arial"/>
          <w:spacing w:val="-5"/>
          <w:lang w:val="es-CO" w:eastAsia="en-US"/>
        </w:rPr>
      </w:pPr>
    </w:p>
    <w:p w:rsidR="00E415D4" w:rsidRPr="00E415D4" w:rsidRDefault="00E415D4" w:rsidP="00E415D4">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Así mismo</w:t>
      </w:r>
      <w:r w:rsidR="0097344A">
        <w:rPr>
          <w:rFonts w:ascii="Bookman Old Style" w:hAnsi="Bookman Old Style" w:cs="Arial"/>
          <w:spacing w:val="-5"/>
          <w:lang w:val="es-CO" w:eastAsia="en-US"/>
        </w:rPr>
        <w:t>,</w:t>
      </w:r>
      <w:r>
        <w:rPr>
          <w:rFonts w:ascii="Bookman Old Style" w:hAnsi="Bookman Old Style" w:cs="Arial"/>
          <w:spacing w:val="-5"/>
          <w:lang w:val="es-CO" w:eastAsia="en-US"/>
        </w:rPr>
        <w:t xml:space="preserve"> no es procedente la solicitud hecha por la empresa de mantener la capacidad de compra publicada en la Circular CREG 035 de 2017, ya que esto desconocería la correcta aplicación de la fórmula prevista en el artículo 8 de la Resolución CREG 063 de 2016. </w:t>
      </w:r>
      <w:r>
        <w:rPr>
          <w:rFonts w:ascii="Bookman Old Style" w:hAnsi="Bookman Old Style"/>
          <w:szCs w:val="27"/>
        </w:rPr>
        <w:t>Es por esto que dentro de la parte motiva de la Resolución CREG 168 de 2017 esta Comisión expuso lo siguiente:</w:t>
      </w:r>
    </w:p>
    <w:p w:rsidR="00E415D4" w:rsidRDefault="00E415D4" w:rsidP="00E415D4">
      <w:pPr>
        <w:pStyle w:val="Textoindependiente2"/>
        <w:spacing w:after="0" w:line="240" w:lineRule="auto"/>
        <w:ind w:left="-142" w:right="-142"/>
        <w:jc w:val="both"/>
        <w:rPr>
          <w:rFonts w:ascii="Bookman Old Style" w:hAnsi="Bookman Old Style"/>
          <w:szCs w:val="27"/>
        </w:rPr>
      </w:pP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b/>
          <w:i/>
          <w:sz w:val="22"/>
          <w:szCs w:val="22"/>
          <w:u w:val="single"/>
          <w:lang w:val="es-ES_tradnl" w:eastAsia="ar-SA"/>
        </w:rPr>
      </w:pPr>
      <w:r>
        <w:rPr>
          <w:rFonts w:ascii="Bookman Old Style" w:hAnsi="Bookman Old Style" w:cs="Arial"/>
          <w:i/>
          <w:sz w:val="22"/>
          <w:szCs w:val="22"/>
          <w:lang w:val="es-ES_tradnl" w:eastAsia="ar-SA"/>
        </w:rPr>
        <w:lastRenderedPageBreak/>
        <w:t>“</w:t>
      </w:r>
      <w:r w:rsidRPr="00732199">
        <w:rPr>
          <w:rFonts w:ascii="Bookman Old Style" w:hAnsi="Bookman Old Style" w:cs="Arial"/>
          <w:i/>
          <w:sz w:val="22"/>
          <w:szCs w:val="22"/>
          <w:lang w:val="es-ES_tradnl" w:eastAsia="ar-SA"/>
        </w:rPr>
        <w:t xml:space="preserve">En este sentido, encuentra la Comisión que se debe expedir un acto administrativo de carácter particular a efectos de definir las capacidades de compra aplicables a los distribuidores de GLP, aplicables para el tercer período de compra, en desarrollo de las actuaciones administrativas iniciadas de oficio por parte de esta Comisión y atendiendo la información del SUI remitida por la Superintendencia de Servicios Públicos Domiciliarios, </w:t>
      </w:r>
      <w:r w:rsidRPr="00732199">
        <w:rPr>
          <w:rFonts w:ascii="Bookman Old Style" w:hAnsi="Bookman Old Style" w:cs="Arial"/>
          <w:b/>
          <w:i/>
          <w:sz w:val="22"/>
          <w:szCs w:val="22"/>
          <w:u w:val="single"/>
          <w:lang w:val="es-ES_tradnl" w:eastAsia="ar-SA"/>
        </w:rPr>
        <w:t xml:space="preserve">a fin de garantizar la correcta aplicación de la fórmula prevista en el artículo 8 de la Resolución CREG 063 de 2016, incluyendo el factor de equivalencia de envasado en cilindros y tanques estacionarios, correspondiente a 0,3. </w:t>
      </w: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r w:rsidRPr="00732199">
        <w:rPr>
          <w:rFonts w:ascii="Bookman Old Style" w:hAnsi="Bookman Old Style" w:cs="Arial"/>
          <w:i/>
          <w:sz w:val="22"/>
          <w:szCs w:val="22"/>
          <w:lang w:val="es-ES_tradnl" w:eastAsia="ar-SA"/>
        </w:rPr>
        <w:t>Así mismo, en desarrollo de las actuaciones administrativas adelantadas y a efectos de expedir la presente resolución, le corresponde a esta Comisión dar cumplimiento al principio de eficacia a que hace referencia el numeral 11 del artículo 3 de la Ley 1437 de 2011, el cual hace referencia a que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w:t>
      </w:r>
      <w:r>
        <w:rPr>
          <w:rFonts w:ascii="Bookman Old Style" w:hAnsi="Bookman Old Style" w:cs="Arial"/>
          <w:i/>
          <w:sz w:val="22"/>
          <w:szCs w:val="22"/>
          <w:lang w:val="es-ES_tradnl" w:eastAsia="ar-SA"/>
        </w:rPr>
        <w:t>” (Resaltado fuera de texto)</w:t>
      </w:r>
    </w:p>
    <w:p w:rsidR="00583648" w:rsidRDefault="00583648" w:rsidP="00E415D4">
      <w:pPr>
        <w:pStyle w:val="Textoindependiente2"/>
        <w:spacing w:after="0" w:line="240" w:lineRule="auto"/>
        <w:ind w:left="0" w:right="-142"/>
        <w:jc w:val="both"/>
        <w:rPr>
          <w:rFonts w:ascii="Bookman Old Style" w:hAnsi="Bookman Old Style" w:cs="Arial"/>
          <w:spacing w:val="-5"/>
          <w:lang w:val="es-CO" w:eastAsia="en-US"/>
        </w:rPr>
      </w:pPr>
    </w:p>
    <w:p w:rsidR="00DA1EF4" w:rsidRPr="000F60FE" w:rsidRDefault="00DA1EF4" w:rsidP="00583648">
      <w:pPr>
        <w:pStyle w:val="Textoindependiente2"/>
        <w:spacing w:after="0" w:line="240" w:lineRule="auto"/>
        <w:ind w:left="-142" w:right="-142"/>
        <w:jc w:val="both"/>
        <w:rPr>
          <w:rFonts w:ascii="Bookman Old Style" w:hAnsi="Bookman Old Style"/>
          <w:szCs w:val="27"/>
        </w:rPr>
      </w:pPr>
      <w:r w:rsidRPr="000F60FE">
        <w:rPr>
          <w:rFonts w:ascii="Bookman Old Style" w:hAnsi="Bookman Old Style"/>
          <w:szCs w:val="27"/>
        </w:rPr>
        <w:t xml:space="preserve">De acuerdo con lo anterior, se establece que esta Comisión llevó a cabo en debida forma la definición de la capacidad de compra para la empresa </w:t>
      </w:r>
      <w:r w:rsidR="00E415D4">
        <w:rPr>
          <w:rFonts w:ascii="Bookman Old Style" w:hAnsi="Bookman Old Style"/>
          <w:szCs w:val="27"/>
        </w:rPr>
        <w:t>Gas de Santander</w:t>
      </w:r>
      <w:r w:rsidRPr="000F60FE">
        <w:rPr>
          <w:rFonts w:ascii="Bookman Old Style" w:hAnsi="Bookman Old Style"/>
          <w:szCs w:val="27"/>
        </w:rPr>
        <w:t xml:space="preserve"> atendiendo el procedimiento previsto en la Resolución CREG 063 de 2016 y la información del Sistema Único de Información – SUI</w:t>
      </w:r>
      <w:r w:rsidR="00C91B94">
        <w:rPr>
          <w:rFonts w:ascii="Bookman Old Style" w:hAnsi="Bookman Old Style"/>
          <w:szCs w:val="27"/>
        </w:rPr>
        <w:t xml:space="preserve">, la cual </w:t>
      </w:r>
      <w:r>
        <w:rPr>
          <w:rFonts w:ascii="Bookman Old Style" w:hAnsi="Bookman Old Style"/>
          <w:szCs w:val="27"/>
        </w:rPr>
        <w:t>es confirmada por la Superintendencia dentro de la respuesta al decreto de pruebas solicitado</w:t>
      </w:r>
      <w:r w:rsidRPr="000F60FE">
        <w:rPr>
          <w:rFonts w:ascii="Bookman Old Style" w:hAnsi="Bookman Old Style"/>
          <w:szCs w:val="27"/>
        </w:rPr>
        <w:t>.</w:t>
      </w:r>
      <w:r>
        <w:rPr>
          <w:rFonts w:ascii="Bookman Old Style" w:hAnsi="Bookman Old Style"/>
          <w:szCs w:val="27"/>
        </w:rPr>
        <w:t xml:space="preserve"> </w:t>
      </w:r>
      <w:r w:rsidRPr="000F60FE">
        <w:rPr>
          <w:rFonts w:ascii="Bookman Old Style" w:hAnsi="Bookman Old Style" w:cs="Arial"/>
          <w:spacing w:val="-5"/>
          <w:lang w:val="es-CO" w:eastAsia="en-US"/>
        </w:rPr>
        <w:t xml:space="preserve">En este sentido, los argumentos expuestos por la recurrente no son procedentes </w:t>
      </w:r>
      <w:proofErr w:type="gramStart"/>
      <w:r w:rsidRPr="000F60FE">
        <w:rPr>
          <w:rFonts w:ascii="Bookman Old Style" w:hAnsi="Bookman Old Style" w:cs="Arial"/>
          <w:spacing w:val="-5"/>
          <w:lang w:val="es-CO" w:eastAsia="en-US"/>
        </w:rPr>
        <w:t>y</w:t>
      </w:r>
      <w:proofErr w:type="gramEnd"/>
      <w:r w:rsidRPr="000F60FE">
        <w:rPr>
          <w:rFonts w:ascii="Bookman Old Style" w:hAnsi="Bookman Old Style" w:cs="Arial"/>
          <w:spacing w:val="-5"/>
          <w:lang w:val="es-CO" w:eastAsia="en-US"/>
        </w:rPr>
        <w:t xml:space="preserve"> por lo tanto, no conllevan a modificar o revocar lo resuelto en la Resolución CREG </w:t>
      </w:r>
      <w:r>
        <w:rPr>
          <w:rFonts w:ascii="Bookman Old Style" w:hAnsi="Bookman Old Style" w:cs="Arial"/>
          <w:spacing w:val="-5"/>
          <w:lang w:val="es-CO" w:eastAsia="en-US"/>
        </w:rPr>
        <w:t>168</w:t>
      </w:r>
      <w:r w:rsidRPr="000F60FE">
        <w:rPr>
          <w:rFonts w:ascii="Bookman Old Style" w:hAnsi="Bookman Old Style" w:cs="Arial"/>
          <w:spacing w:val="-5"/>
          <w:lang w:val="es-CO" w:eastAsia="en-US"/>
        </w:rPr>
        <w:t xml:space="preserve"> de 2017</w:t>
      </w:r>
      <w:r w:rsidRPr="000F60FE">
        <w:rPr>
          <w:rFonts w:ascii="Bookman Old Style" w:hAnsi="Bookman Old Style"/>
          <w:szCs w:val="27"/>
        </w:rPr>
        <w:t xml:space="preserve">. </w:t>
      </w:r>
    </w:p>
    <w:p w:rsidR="00DA1EF4" w:rsidRPr="00842277" w:rsidRDefault="00DA1EF4" w:rsidP="00DA1EF4">
      <w:pPr>
        <w:ind w:left="0" w:right="-142"/>
        <w:jc w:val="both"/>
        <w:rPr>
          <w:rFonts w:ascii="Bookman Old Style" w:hAnsi="Bookman Old Style"/>
          <w:sz w:val="22"/>
          <w:szCs w:val="27"/>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szCs w:val="27"/>
        </w:rPr>
        <w:t xml:space="preserve">La Comisión de Regulación de Energía y Gas, en su sesión No. </w:t>
      </w:r>
      <w:r>
        <w:rPr>
          <w:rFonts w:ascii="Bookman Old Style" w:hAnsi="Bookman Old Style"/>
          <w:szCs w:val="27"/>
        </w:rPr>
        <w:t>826</w:t>
      </w:r>
      <w:r w:rsidRPr="000F60FE">
        <w:rPr>
          <w:rFonts w:ascii="Bookman Old Style" w:hAnsi="Bookman Old Style"/>
          <w:szCs w:val="27"/>
        </w:rPr>
        <w:t xml:space="preserve"> del </w:t>
      </w:r>
      <w:r>
        <w:rPr>
          <w:rFonts w:ascii="Bookman Old Style" w:hAnsi="Bookman Old Style"/>
          <w:szCs w:val="27"/>
        </w:rPr>
        <w:t>18</w:t>
      </w:r>
      <w:r w:rsidRPr="000F60FE">
        <w:rPr>
          <w:rFonts w:ascii="Bookman Old Style" w:hAnsi="Bookman Old Style"/>
          <w:szCs w:val="27"/>
        </w:rPr>
        <w:t xml:space="preserve"> de </w:t>
      </w:r>
      <w:r>
        <w:rPr>
          <w:rFonts w:ascii="Bookman Old Style" w:hAnsi="Bookman Old Style"/>
          <w:szCs w:val="27"/>
        </w:rPr>
        <w:t>diciembre</w:t>
      </w:r>
      <w:r w:rsidRPr="000F60FE">
        <w:rPr>
          <w:rFonts w:ascii="Bookman Old Style" w:hAnsi="Bookman Old Style"/>
          <w:szCs w:val="27"/>
        </w:rPr>
        <w:t xml:space="preserve"> de 2017, acordó expedir la presente resolución mediante la cual se resuelve el recurso de reposición interpuesto por la empresa </w:t>
      </w:r>
      <w:r w:rsidR="00E415D4">
        <w:rPr>
          <w:rFonts w:ascii="Bookman Old Style" w:hAnsi="Bookman Old Style"/>
          <w:szCs w:val="27"/>
        </w:rPr>
        <w:t>Gas de Santander</w:t>
      </w:r>
      <w:r w:rsidR="00C91B94">
        <w:rPr>
          <w:rFonts w:ascii="Bookman Old Style" w:hAnsi="Bookman Old Style"/>
          <w:szCs w:val="27"/>
        </w:rPr>
        <w:t xml:space="preserve"> S.A</w:t>
      </w:r>
      <w:r>
        <w:rPr>
          <w:rFonts w:ascii="Bookman Old Style" w:hAnsi="Bookman Old Style"/>
          <w:szCs w:val="27"/>
        </w:rPr>
        <w:t>.</w:t>
      </w:r>
      <w:r w:rsidRPr="000F60FE">
        <w:rPr>
          <w:rFonts w:ascii="Bookman Old Style" w:hAnsi="Bookman Old Style"/>
          <w:szCs w:val="27"/>
        </w:rPr>
        <w:t xml:space="preserve"> E.S.P. contra la Resolución CREG </w:t>
      </w:r>
      <w:r>
        <w:rPr>
          <w:rFonts w:ascii="Bookman Old Style" w:hAnsi="Bookman Old Style"/>
          <w:szCs w:val="27"/>
        </w:rPr>
        <w:t>168</w:t>
      </w:r>
      <w:r w:rsidRPr="000F60FE">
        <w:rPr>
          <w:rFonts w:ascii="Bookman Old Style" w:hAnsi="Bookman Old Style"/>
          <w:szCs w:val="27"/>
        </w:rPr>
        <w:t xml:space="preserve"> de 2017.</w:t>
      </w:r>
    </w:p>
    <w:p w:rsidR="00C91B94" w:rsidRPr="00842277" w:rsidRDefault="00C91B94" w:rsidP="00DA1EF4">
      <w:pPr>
        <w:tabs>
          <w:tab w:val="right" w:pos="9498"/>
        </w:tabs>
        <w:ind w:left="0" w:right="-142"/>
        <w:jc w:val="both"/>
        <w:rPr>
          <w:rFonts w:ascii="Bookman Old Style" w:hAnsi="Bookman Old Style"/>
          <w:bCs/>
          <w:sz w:val="22"/>
        </w:rPr>
      </w:pPr>
    </w:p>
    <w:p w:rsidR="00DA1EF4" w:rsidRPr="000F60FE" w:rsidRDefault="00DA1EF4" w:rsidP="00DA1EF4">
      <w:pPr>
        <w:tabs>
          <w:tab w:val="right" w:pos="9498"/>
        </w:tabs>
        <w:ind w:left="0" w:right="-142"/>
        <w:jc w:val="center"/>
        <w:rPr>
          <w:rFonts w:ascii="Bookman Old Style" w:hAnsi="Bookman Old Style" w:cs="Arial"/>
        </w:rPr>
      </w:pPr>
      <w:r w:rsidRPr="000F60FE">
        <w:rPr>
          <w:rFonts w:ascii="Bookman Old Style" w:hAnsi="Bookman Old Style" w:cs="Arial"/>
          <w:b/>
          <w:spacing w:val="80"/>
        </w:rPr>
        <w:t>RESUELVE</w:t>
      </w:r>
      <w:r w:rsidRPr="000F60FE">
        <w:rPr>
          <w:rFonts w:ascii="Bookman Old Style" w:hAnsi="Bookman Old Style" w:cs="Arial"/>
        </w:rPr>
        <w:t>:</w:t>
      </w:r>
    </w:p>
    <w:p w:rsidR="00842277" w:rsidRPr="00842277" w:rsidRDefault="00842277" w:rsidP="00DA1EF4">
      <w:pPr>
        <w:tabs>
          <w:tab w:val="right" w:pos="9498"/>
        </w:tabs>
        <w:ind w:left="0" w:right="-142"/>
        <w:jc w:val="both"/>
        <w:rPr>
          <w:rFonts w:ascii="Bookman Old Style" w:hAnsi="Bookman Old Style" w:cs="Arial"/>
          <w:b/>
          <w:spacing w:val="-3"/>
          <w:sz w:val="22"/>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b/>
          <w:szCs w:val="27"/>
        </w:rPr>
        <w:t>Artículo 1</w:t>
      </w:r>
      <w:r w:rsidRPr="000F60FE">
        <w:rPr>
          <w:rFonts w:ascii="Bookman Old Style" w:hAnsi="Bookman Old Style"/>
          <w:szCs w:val="27"/>
        </w:rPr>
        <w:t>. No reponer</w:t>
      </w:r>
      <w:r w:rsidRPr="000F60FE">
        <w:rPr>
          <w:rFonts w:ascii="Bookman Old Style" w:hAnsi="Bookman Old Style"/>
          <w:b/>
          <w:szCs w:val="27"/>
        </w:rPr>
        <w:t xml:space="preserve"> </w:t>
      </w:r>
      <w:r w:rsidRPr="000F60FE">
        <w:rPr>
          <w:rFonts w:ascii="Bookman Old Style" w:hAnsi="Bookman Old Style"/>
          <w:szCs w:val="27"/>
        </w:rPr>
        <w:t xml:space="preserve">y confirmar en su integridad la Resolución CREG </w:t>
      </w:r>
      <w:r>
        <w:rPr>
          <w:rFonts w:ascii="Bookman Old Style" w:hAnsi="Bookman Old Style"/>
          <w:szCs w:val="27"/>
        </w:rPr>
        <w:t>168</w:t>
      </w:r>
      <w:r w:rsidRPr="000F60FE">
        <w:rPr>
          <w:rFonts w:ascii="Bookman Old Style" w:hAnsi="Bookman Old Style"/>
          <w:szCs w:val="27"/>
        </w:rPr>
        <w:t xml:space="preserve"> de 2017 en relación con la definición de la capacidad de compra de la empresa </w:t>
      </w:r>
      <w:r w:rsidR="00C63955">
        <w:rPr>
          <w:rFonts w:ascii="Bookman Old Style" w:hAnsi="Bookman Old Style"/>
          <w:szCs w:val="27"/>
        </w:rPr>
        <w:t>Gas de Santander</w:t>
      </w:r>
      <w:r w:rsidR="00C91B94">
        <w:rPr>
          <w:rFonts w:ascii="Bookman Old Style" w:hAnsi="Bookman Old Style"/>
          <w:szCs w:val="27"/>
        </w:rPr>
        <w:t xml:space="preserve"> </w:t>
      </w:r>
      <w:r w:rsidRPr="000F60FE">
        <w:rPr>
          <w:rFonts w:ascii="Bookman Old Style" w:hAnsi="Bookman Old Style"/>
          <w:szCs w:val="27"/>
        </w:rPr>
        <w:t>S.A. E.S.P. de acuerdo con la parte motiva de la presente Resolución.</w:t>
      </w:r>
    </w:p>
    <w:p w:rsidR="00842277" w:rsidRPr="000F60FE" w:rsidRDefault="00842277" w:rsidP="00DA1EF4">
      <w:pPr>
        <w:tabs>
          <w:tab w:val="right" w:pos="9498"/>
        </w:tabs>
        <w:ind w:left="0" w:right="-142"/>
        <w:jc w:val="both"/>
        <w:rPr>
          <w:rFonts w:ascii="Bookman Old Style" w:hAnsi="Bookman Old Style" w:cs="Arial"/>
          <w:b/>
          <w:bCs/>
          <w:color w:val="666666"/>
          <w:sz w:val="27"/>
          <w:szCs w:val="27"/>
          <w:lang w:val="es-CO" w:eastAsia="es-CO"/>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b/>
          <w:szCs w:val="27"/>
        </w:rPr>
        <w:t>Artículo 2.</w:t>
      </w:r>
      <w:r w:rsidRPr="000F60FE">
        <w:rPr>
          <w:rFonts w:ascii="Bookman Old Style" w:hAnsi="Bookman Old Style"/>
          <w:szCs w:val="27"/>
        </w:rPr>
        <w:t xml:space="preserve"> La presente resolución deberá notificarse a la empresa </w:t>
      </w:r>
      <w:r w:rsidR="00C63955">
        <w:rPr>
          <w:rFonts w:ascii="Bookman Old Style" w:hAnsi="Bookman Old Style"/>
          <w:szCs w:val="27"/>
        </w:rPr>
        <w:t>Gas de Santander</w:t>
      </w:r>
      <w:r w:rsidRPr="000F60FE">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DA1EF4" w:rsidRPr="0063005C" w:rsidRDefault="00DA1EF4" w:rsidP="00DA1EF4">
      <w:pPr>
        <w:tabs>
          <w:tab w:val="right" w:pos="9498"/>
        </w:tabs>
        <w:ind w:left="0" w:right="-142"/>
        <w:rPr>
          <w:rFonts w:ascii="Bookman Old Style" w:hAnsi="Bookman Old Style" w:cs="Arial"/>
          <w:sz w:val="22"/>
        </w:rPr>
      </w:pPr>
    </w:p>
    <w:p w:rsidR="00DA1EF4" w:rsidRPr="00E415D4" w:rsidRDefault="00DA1EF4" w:rsidP="00E415D4">
      <w:pPr>
        <w:ind w:left="-181"/>
        <w:jc w:val="center"/>
        <w:rPr>
          <w:rFonts w:ascii="Bookman Old Style" w:hAnsi="Bookman Old Style" w:cs="Arial"/>
          <w:b/>
        </w:rPr>
      </w:pPr>
      <w:r w:rsidRPr="0063005C">
        <w:rPr>
          <w:rFonts w:ascii="Bookman Old Style" w:hAnsi="Bookman Old Style" w:cs="Arial"/>
          <w:b/>
        </w:rPr>
        <w:t xml:space="preserve">     </w:t>
      </w:r>
      <w:r w:rsidR="00E415D4">
        <w:rPr>
          <w:rFonts w:ascii="Bookman Old Style" w:hAnsi="Bookman Old Style" w:cs="Arial"/>
          <w:b/>
        </w:rPr>
        <w:t>NOTIFÍQUESE Y CÚMPLASE</w:t>
      </w:r>
    </w:p>
    <w:p w:rsidR="00DA1EF4" w:rsidRDefault="00DA1EF4" w:rsidP="00DA1EF4">
      <w:pPr>
        <w:ind w:left="0"/>
        <w:rPr>
          <w:rFonts w:ascii="Bookman Old Style" w:hAnsi="Bookman Old Style" w:cs="Arial"/>
          <w:szCs w:val="20"/>
        </w:rPr>
      </w:pPr>
      <w:r w:rsidRPr="0063005C">
        <w:rPr>
          <w:rFonts w:ascii="Bookman Old Style" w:hAnsi="Bookman Old Style" w:cs="Arial"/>
          <w:szCs w:val="20"/>
        </w:rPr>
        <w:t>Dada en Bogotá, D.C.</w:t>
      </w:r>
    </w:p>
    <w:p w:rsidR="00C91B94" w:rsidRPr="00C63955" w:rsidRDefault="00C91B94" w:rsidP="00DA1EF4">
      <w:pPr>
        <w:ind w:left="0"/>
        <w:rPr>
          <w:rFonts w:ascii="Bookman Old Style" w:hAnsi="Bookman Old Style" w:cs="Arial"/>
          <w:sz w:val="40"/>
          <w:szCs w:val="20"/>
        </w:rPr>
      </w:pPr>
    </w:p>
    <w:p w:rsidR="00842277" w:rsidRDefault="00842277" w:rsidP="00DA1EF4">
      <w:pPr>
        <w:ind w:left="0"/>
        <w:rPr>
          <w:rFonts w:ascii="Bookman Old Style" w:hAnsi="Bookman Old Style" w:cs="Arial"/>
          <w:szCs w:val="20"/>
        </w:rPr>
      </w:pPr>
    </w:p>
    <w:p w:rsidR="00842277" w:rsidRPr="0063005C" w:rsidRDefault="00842277" w:rsidP="00DA1EF4">
      <w:pPr>
        <w:ind w:left="0"/>
        <w:rPr>
          <w:rFonts w:ascii="Bookman Old Style" w:hAnsi="Bookman Old Style" w:cs="Arial"/>
          <w:szCs w:val="20"/>
        </w:rPr>
      </w:pPr>
    </w:p>
    <w:tbl>
      <w:tblPr>
        <w:tblW w:w="8505" w:type="dxa"/>
        <w:jc w:val="center"/>
        <w:tblCellSpacing w:w="0" w:type="dxa"/>
        <w:tblCellMar>
          <w:left w:w="0" w:type="dxa"/>
          <w:right w:w="0" w:type="dxa"/>
        </w:tblCellMar>
        <w:tblLook w:val="04A0" w:firstRow="1" w:lastRow="0" w:firstColumn="1" w:lastColumn="0" w:noHBand="0" w:noVBand="1"/>
      </w:tblPr>
      <w:tblGrid>
        <w:gridCol w:w="4536"/>
        <w:gridCol w:w="3969"/>
      </w:tblGrid>
      <w:tr w:rsidR="00DA1EF4" w:rsidRPr="009377CA" w:rsidTr="0095328F">
        <w:trPr>
          <w:tblCellSpacing w:w="0" w:type="dxa"/>
          <w:jc w:val="center"/>
        </w:trPr>
        <w:tc>
          <w:tcPr>
            <w:tcW w:w="4536" w:type="dxa"/>
          </w:tcPr>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b/>
                <w:spacing w:val="-3"/>
              </w:rPr>
              <w:t>GERMÁN ARCE ZAPATA</w:t>
            </w:r>
          </w:p>
          <w:p w:rsidR="00DA1EF4" w:rsidRPr="009377CA" w:rsidRDefault="00DA1EF4" w:rsidP="0066171D">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rsidR="00DA1EF4" w:rsidRPr="009377CA" w:rsidRDefault="00DA1EF4" w:rsidP="0066171D">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8AD" w:rsidRDefault="002068AD" w:rsidP="006D45B0">
      <w:r>
        <w:separator/>
      </w:r>
    </w:p>
  </w:endnote>
  <w:endnote w:type="continuationSeparator" w:id="0">
    <w:p w:rsidR="002068AD" w:rsidRDefault="002068AD"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8AD" w:rsidRDefault="002068AD" w:rsidP="006D45B0">
      <w:r>
        <w:separator/>
      </w:r>
    </w:p>
  </w:footnote>
  <w:footnote w:type="continuationSeparator" w:id="0">
    <w:p w:rsidR="002068AD" w:rsidRDefault="002068AD" w:rsidP="006D45B0">
      <w:r>
        <w:continuationSeparator/>
      </w:r>
    </w:p>
  </w:footnote>
  <w:footnote w:id="1">
    <w:p w:rsidR="0066171D" w:rsidRPr="005C1BCA" w:rsidRDefault="0066171D" w:rsidP="006D45B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6171D" w:rsidRPr="00FD101E" w:rsidRDefault="0066171D"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66171D" w:rsidRPr="00FD101E" w:rsidRDefault="0066171D"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66171D" w:rsidRPr="00575874" w:rsidRDefault="0066171D" w:rsidP="006D45B0">
      <w:pPr>
        <w:pStyle w:val="Textonotapie"/>
      </w:pPr>
    </w:p>
  </w:footnote>
  <w:footnote w:id="3">
    <w:p w:rsidR="0066171D" w:rsidRPr="005B07AE" w:rsidRDefault="0066171D" w:rsidP="006D45B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66171D" w:rsidRPr="00CA077E" w:rsidRDefault="0066171D" w:rsidP="006D45B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rsidR="0066171D" w:rsidRPr="00CA077E" w:rsidRDefault="0066171D" w:rsidP="006D45B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rsidR="0066171D" w:rsidRPr="00FC2C01" w:rsidRDefault="0066171D" w:rsidP="006D45B0">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 </w:t>
      </w:r>
      <w:r w:rsidRPr="00FC2C01">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66171D" w:rsidRPr="00FC2C01" w:rsidRDefault="0066171D" w:rsidP="006D45B0">
      <w:pPr>
        <w:pStyle w:val="Textonotapie"/>
        <w:jc w:val="both"/>
        <w:rPr>
          <w:rFonts w:ascii="Bookman Old Style" w:hAnsi="Bookman Old Style" w:cs="Arial"/>
          <w:sz w:val="16"/>
          <w:szCs w:val="16"/>
        </w:rPr>
      </w:pPr>
    </w:p>
    <w:p w:rsidR="0066171D" w:rsidRDefault="0066171D" w:rsidP="006D45B0">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p w:rsidR="0066171D" w:rsidRDefault="0066171D" w:rsidP="006D45B0">
      <w:pPr>
        <w:pStyle w:val="Textonotapie"/>
        <w:jc w:val="both"/>
        <w:rPr>
          <w:rFonts w:ascii="Bookman Old Style" w:hAnsi="Bookman Old Style" w:cs="Arial"/>
          <w:sz w:val="16"/>
          <w:szCs w:val="16"/>
        </w:rPr>
      </w:pPr>
    </w:p>
    <w:p w:rsidR="0066171D" w:rsidRPr="002D569D" w:rsidRDefault="0066171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La notificación personal para dar cumplimiento a todas las diligencias previstas en el inciso anterior también podrá efectuarse mediante una cualquiera de las siguientes modalidades:</w:t>
      </w:r>
    </w:p>
    <w:p w:rsidR="0066171D" w:rsidRPr="002D569D" w:rsidRDefault="0066171D" w:rsidP="002D569D">
      <w:pPr>
        <w:pStyle w:val="Textonotapie"/>
        <w:jc w:val="both"/>
        <w:rPr>
          <w:rFonts w:ascii="Bookman Old Style" w:hAnsi="Bookman Old Style" w:cs="Arial"/>
          <w:sz w:val="16"/>
          <w:szCs w:val="16"/>
        </w:rPr>
      </w:pPr>
    </w:p>
    <w:p w:rsidR="0066171D" w:rsidRPr="002D569D" w:rsidRDefault="0066171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1. Por medio electrónico. Procederá siempre y cuando el interesado acepte ser notificado de esta manera.</w:t>
      </w:r>
    </w:p>
    <w:p w:rsidR="0066171D" w:rsidRPr="002D569D" w:rsidRDefault="0066171D" w:rsidP="002D569D">
      <w:pPr>
        <w:pStyle w:val="Textonotapie"/>
        <w:jc w:val="both"/>
        <w:rPr>
          <w:rFonts w:ascii="Bookman Old Style" w:hAnsi="Bookman Old Style" w:cs="Arial"/>
          <w:sz w:val="16"/>
          <w:szCs w:val="16"/>
        </w:rPr>
      </w:pPr>
    </w:p>
    <w:p w:rsidR="0066171D" w:rsidRPr="00CD67E2" w:rsidRDefault="0066171D" w:rsidP="006D45B0">
      <w:pPr>
        <w:pStyle w:val="Textonotapie"/>
        <w:jc w:val="both"/>
        <w:rPr>
          <w:rFonts w:ascii="Bookman Old Style" w:hAnsi="Bookman Old Style" w:cs="Arial"/>
          <w:sz w:val="16"/>
          <w:szCs w:val="16"/>
        </w:rPr>
      </w:pPr>
      <w:r w:rsidRPr="002D569D">
        <w:rPr>
          <w:rFonts w:ascii="Bookman Old Style" w:hAnsi="Bookman Old Style" w:cs="Arial"/>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r w:rsidRPr="00CD67E2">
        <w:rPr>
          <w:rFonts w:ascii="Bookman Old Style" w:hAnsi="Bookman Old Style" w:cs="Arial"/>
          <w:sz w:val="16"/>
          <w:szCs w:val="16"/>
        </w:rPr>
        <w:t>”</w:t>
      </w:r>
    </w:p>
  </w:footnote>
  <w:footnote w:id="7">
    <w:p w:rsidR="0066171D" w:rsidRPr="00FA7CDB" w:rsidRDefault="0066171D" w:rsidP="006D45B0">
      <w:pPr>
        <w:pStyle w:val="Textonotapie"/>
        <w:jc w:val="both"/>
        <w:rPr>
          <w:rFonts w:ascii="Bookman Old Style" w:hAnsi="Bookman Old Style" w:cs="Arial"/>
          <w:sz w:val="16"/>
          <w:szCs w:val="16"/>
        </w:rPr>
      </w:pPr>
    </w:p>
    <w:p w:rsidR="0066171D" w:rsidRPr="00FA7CDB" w:rsidRDefault="0066171D"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6171D" w:rsidRDefault="0066171D"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rsidR="0066171D" w:rsidRPr="000B6DCD" w:rsidRDefault="0066171D" w:rsidP="00DA1EF4">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1D" w:rsidRDefault="0066171D" w:rsidP="0066171D">
    <w:pPr>
      <w:pStyle w:val="Ttulo1"/>
      <w:ind w:right="6"/>
      <w:jc w:val="left"/>
      <w:rPr>
        <w:rFonts w:ascii="Bookman Old Style" w:hAnsi="Bookman Old Style" w:cs="Arial"/>
        <w:b w:val="0"/>
        <w:sz w:val="22"/>
        <w:szCs w:val="22"/>
      </w:rPr>
    </w:pPr>
  </w:p>
  <w:p w:rsidR="0066171D" w:rsidRPr="00951F79" w:rsidRDefault="0066171D"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73DF2">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73DF2" w:rsidRPr="00A73DF2">
        <w:rPr>
          <w:rFonts w:ascii="Bookman Old Style" w:hAnsi="Bookman Old Style" w:cs="Arial"/>
          <w:b w:val="0"/>
          <w:noProof/>
          <w:sz w:val="22"/>
          <w:szCs w:val="22"/>
        </w:rPr>
        <w:t>19</w:t>
      </w:r>
    </w:fldSimple>
  </w:p>
  <w:p w:rsidR="0066171D" w:rsidRDefault="0066171D"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EE51C"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66171D" w:rsidRPr="00616D65" w:rsidRDefault="0066171D"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004259AA">
      <w:rPr>
        <w:rFonts w:ascii="Bookman Old Style" w:hAnsi="Bookman Old Style" w:cs="Arial"/>
        <w:sz w:val="22"/>
        <w:szCs w:val="22"/>
      </w:rPr>
      <w:t>Gas de Santander</w:t>
    </w:r>
    <w:r>
      <w:rPr>
        <w:rFonts w:ascii="Bookman Old Style" w:hAnsi="Bookman Old Style" w:cs="Arial"/>
        <w:sz w:val="22"/>
        <w:szCs w:val="22"/>
      </w:rPr>
      <w:t xml:space="preserve"> 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168 de 2017.</w:t>
    </w:r>
  </w:p>
  <w:p w:rsidR="0066171D" w:rsidRPr="00730C9E" w:rsidRDefault="0066171D"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940DC"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1D" w:rsidRDefault="0066171D"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66171D" w:rsidRDefault="0066171D">
    <w:pPr>
      <w:pStyle w:val="Encabezado"/>
      <w:jc w:val="center"/>
      <w:rPr>
        <w:rFonts w:ascii="Arial" w:hAnsi="Arial" w:cs="Arial"/>
        <w:spacing w:val="20"/>
        <w:sz w:val="20"/>
      </w:rPr>
    </w:pPr>
  </w:p>
  <w:p w:rsidR="0066171D" w:rsidRDefault="0066171D"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F8221"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194F3F"/>
    <w:rsid w:val="002068AD"/>
    <w:rsid w:val="002D569D"/>
    <w:rsid w:val="002E5639"/>
    <w:rsid w:val="003D7378"/>
    <w:rsid w:val="004259AA"/>
    <w:rsid w:val="00583648"/>
    <w:rsid w:val="005F1EAF"/>
    <w:rsid w:val="005F3077"/>
    <w:rsid w:val="0066171D"/>
    <w:rsid w:val="006C0668"/>
    <w:rsid w:val="006C0EE5"/>
    <w:rsid w:val="006D45B0"/>
    <w:rsid w:val="007243A2"/>
    <w:rsid w:val="00842277"/>
    <w:rsid w:val="008A5DBB"/>
    <w:rsid w:val="008E5D9F"/>
    <w:rsid w:val="0095328F"/>
    <w:rsid w:val="0097344A"/>
    <w:rsid w:val="009B0CFD"/>
    <w:rsid w:val="00A73DF2"/>
    <w:rsid w:val="00B83F23"/>
    <w:rsid w:val="00C3759C"/>
    <w:rsid w:val="00C63955"/>
    <w:rsid w:val="00C91B94"/>
    <w:rsid w:val="00CB104A"/>
    <w:rsid w:val="00CD0F9E"/>
    <w:rsid w:val="00D2330C"/>
    <w:rsid w:val="00DA1EF4"/>
    <w:rsid w:val="00E415D4"/>
    <w:rsid w:val="00E60540"/>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character" w:customStyle="1" w:styleId="CharStyle3">
    <w:name w:val="Char Style 3"/>
    <w:basedOn w:val="Fuentedeprrafopredeter"/>
    <w:link w:val="Style2"/>
    <w:uiPriority w:val="99"/>
    <w:rsid w:val="0097344A"/>
    <w:rPr>
      <w:rFonts w:ascii="Arial" w:hAnsi="Arial" w:cs="Arial"/>
      <w:shd w:val="clear" w:color="auto" w:fill="FFFFFF"/>
    </w:rPr>
  </w:style>
  <w:style w:type="paragraph" w:customStyle="1" w:styleId="Style2">
    <w:name w:val="Style 2"/>
    <w:basedOn w:val="Normal"/>
    <w:link w:val="CharStyle3"/>
    <w:uiPriority w:val="99"/>
    <w:rsid w:val="0097344A"/>
    <w:pPr>
      <w:widowControl w:val="0"/>
      <w:shd w:val="clear" w:color="auto" w:fill="FFFFFF"/>
      <w:spacing w:after="540" w:line="240" w:lineRule="atLeast"/>
      <w:ind w:left="0"/>
      <w:jc w:val="both"/>
    </w:pPr>
    <w:rPr>
      <w:rFonts w:ascii="Arial" w:eastAsiaTheme="minorHAnsi" w:hAnsi="Arial" w:cs="Arial"/>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EC2A-D735-4274-B9FC-25334C7F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7576</Words>
  <Characters>41670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2017-12-28T15:41:00Z</dcterms:created>
  <dcterms:modified xsi:type="dcterms:W3CDTF">2017-12-28T15:41:00Z</dcterms:modified>
</cp:coreProperties>
</file>