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DB373" w14:textId="3E2CE51B" w:rsidR="00CA3CBA" w:rsidRPr="004B3B4B" w:rsidRDefault="00726809" w:rsidP="005B1078">
      <w:pPr>
        <w:pStyle w:val="Encabezado"/>
        <w:tabs>
          <w:tab w:val="clear" w:pos="8504"/>
          <w:tab w:val="left" w:pos="2977"/>
        </w:tabs>
        <w:ind w:left="0"/>
        <w:jc w:val="both"/>
        <w:rPr>
          <w:rFonts w:ascii="Bookman Old Style" w:hAnsi="Bookman Old Style"/>
          <w:color w:val="000000" w:themeColor="text1"/>
          <w:szCs w:val="24"/>
          <w:lang w:val="es-ES"/>
        </w:rPr>
      </w:pPr>
      <w:bookmarkStart w:id="0" w:name="_GoBack"/>
      <w:bookmarkEnd w:id="0"/>
      <w:r>
        <w:rPr>
          <w:rFonts w:ascii="Bookman Old Style" w:hAnsi="Bookman Old Style"/>
          <w:noProof/>
          <w:color w:val="000000" w:themeColor="text1"/>
          <w:szCs w:val="24"/>
          <w:highlight w:val="magenta"/>
          <w:lang w:val="es-ES"/>
        </w:rPr>
        <w:pict w14:anchorId="3B535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1.75pt;width:52.5pt;height:48.75pt;z-index:251657728" fillcolor="#0c9">
            <v:imagedata r:id="rId9" o:title=""/>
          </v:shape>
        </w:pict>
      </w:r>
    </w:p>
    <w:p w14:paraId="3183652F" w14:textId="77777777" w:rsidR="00F813A4" w:rsidRPr="004B3B4B" w:rsidRDefault="00F813A4" w:rsidP="005B1078">
      <w:pPr>
        <w:pStyle w:val="Encabezado"/>
        <w:tabs>
          <w:tab w:val="clear" w:pos="8504"/>
        </w:tabs>
        <w:ind w:left="0"/>
        <w:jc w:val="both"/>
        <w:rPr>
          <w:rFonts w:ascii="Bookman Old Style" w:hAnsi="Bookman Old Style"/>
          <w:color w:val="000000" w:themeColor="text1"/>
          <w:szCs w:val="24"/>
          <w:lang w:val="es-ES"/>
        </w:rPr>
      </w:pPr>
    </w:p>
    <w:p w14:paraId="1E42AE9E" w14:textId="77777777" w:rsidR="00F813A4" w:rsidRPr="004B3B4B" w:rsidRDefault="00F813A4" w:rsidP="005B1078">
      <w:pPr>
        <w:pStyle w:val="Ttulo4"/>
        <w:ind w:left="0"/>
        <w:rPr>
          <w:rFonts w:ascii="Bookman Old Style" w:hAnsi="Bookman Old Style"/>
          <w:b w:val="0"/>
          <w:bCs/>
          <w:noProof/>
          <w:sz w:val="24"/>
          <w:szCs w:val="24"/>
          <w:lang w:val="es-ES"/>
        </w:rPr>
      </w:pPr>
      <w:r w:rsidRPr="004B3B4B">
        <w:rPr>
          <w:rFonts w:ascii="Bookman Old Style" w:hAnsi="Bookman Old Style"/>
          <w:b w:val="0"/>
          <w:bCs/>
          <w:sz w:val="24"/>
          <w:szCs w:val="24"/>
        </w:rPr>
        <w:t>Ministerio de Minas y Energía</w:t>
      </w:r>
    </w:p>
    <w:p w14:paraId="7F31AFE6" w14:textId="77777777" w:rsidR="00F813A4" w:rsidRPr="004B3B4B" w:rsidRDefault="00F813A4" w:rsidP="005B1078">
      <w:pPr>
        <w:pStyle w:val="Ttulo4"/>
        <w:ind w:left="0"/>
        <w:rPr>
          <w:rFonts w:ascii="Bookman Old Style" w:hAnsi="Bookman Old Style"/>
          <w:b w:val="0"/>
          <w:bCs/>
          <w:sz w:val="24"/>
          <w:szCs w:val="24"/>
        </w:rPr>
      </w:pPr>
    </w:p>
    <w:p w14:paraId="3035F5DA" w14:textId="77777777" w:rsidR="00F813A4" w:rsidRPr="004B3B4B" w:rsidRDefault="00F813A4" w:rsidP="005B1078">
      <w:pPr>
        <w:pStyle w:val="Ttulo3"/>
        <w:ind w:left="0"/>
        <w:rPr>
          <w:rFonts w:ascii="Bookman Old Style" w:hAnsi="Bookman Old Style" w:cs="Arial"/>
          <w:spacing w:val="20"/>
          <w:szCs w:val="24"/>
        </w:rPr>
      </w:pPr>
      <w:r w:rsidRPr="004B3B4B">
        <w:rPr>
          <w:rFonts w:ascii="Bookman Old Style" w:hAnsi="Bookman Old Style" w:cs="Arial"/>
          <w:spacing w:val="20"/>
          <w:szCs w:val="24"/>
        </w:rPr>
        <w:t>COMISIÓN DE REGULACIÓN DE ENERGÍA Y GAS</w:t>
      </w:r>
    </w:p>
    <w:p w14:paraId="21258A3C" w14:textId="77777777" w:rsidR="00F813A4" w:rsidRPr="004B3B4B" w:rsidRDefault="00F813A4" w:rsidP="005B1078">
      <w:pPr>
        <w:pStyle w:val="Ttulo5"/>
        <w:ind w:left="0"/>
        <w:rPr>
          <w:rFonts w:ascii="Bookman Old Style" w:hAnsi="Bookman Old Style"/>
          <w:sz w:val="24"/>
          <w:szCs w:val="24"/>
        </w:rPr>
      </w:pPr>
    </w:p>
    <w:p w14:paraId="3834D1B3" w14:textId="77777777" w:rsidR="00F813A4" w:rsidRPr="004B3B4B" w:rsidRDefault="00F813A4" w:rsidP="005B1078">
      <w:pPr>
        <w:pStyle w:val="Ttulo5"/>
        <w:ind w:left="0"/>
        <w:rPr>
          <w:rFonts w:ascii="Bookman Old Style" w:hAnsi="Bookman Old Style"/>
          <w:sz w:val="24"/>
          <w:szCs w:val="24"/>
        </w:rPr>
      </w:pPr>
    </w:p>
    <w:p w14:paraId="5D5D98D1" w14:textId="05585B46" w:rsidR="00F813A4" w:rsidRPr="004B3B4B" w:rsidRDefault="00F813A4" w:rsidP="005B1078">
      <w:pPr>
        <w:pStyle w:val="Ttulo5"/>
        <w:ind w:left="0"/>
        <w:rPr>
          <w:rFonts w:ascii="Bookman Old Style" w:hAnsi="Bookman Old Style"/>
          <w:sz w:val="24"/>
          <w:szCs w:val="24"/>
        </w:rPr>
      </w:pPr>
      <w:r w:rsidRPr="004B3B4B">
        <w:rPr>
          <w:rFonts w:ascii="Bookman Old Style" w:hAnsi="Bookman Old Style"/>
          <w:sz w:val="24"/>
          <w:szCs w:val="24"/>
        </w:rPr>
        <w:t>RESOLUCIÓN No.                   DE 201</w:t>
      </w:r>
      <w:r w:rsidR="00BB14C5" w:rsidRPr="004B3B4B">
        <w:rPr>
          <w:rFonts w:ascii="Bookman Old Style" w:hAnsi="Bookman Old Style"/>
          <w:sz w:val="24"/>
          <w:szCs w:val="24"/>
        </w:rPr>
        <w:t>4</w:t>
      </w:r>
    </w:p>
    <w:p w14:paraId="6ABC6D21" w14:textId="77777777" w:rsidR="00F813A4" w:rsidRPr="004B3B4B" w:rsidRDefault="00F813A4" w:rsidP="005B1078">
      <w:pPr>
        <w:ind w:left="0"/>
        <w:jc w:val="center"/>
        <w:rPr>
          <w:rFonts w:ascii="Bookman Old Style" w:hAnsi="Bookman Old Style" w:cs="Arial"/>
          <w:b/>
          <w:snapToGrid w:val="0"/>
          <w:color w:val="000000"/>
          <w:lang w:val="es-ES_tradnl"/>
        </w:rPr>
      </w:pPr>
    </w:p>
    <w:p w14:paraId="59B377B5" w14:textId="77777777" w:rsidR="00F813A4" w:rsidRPr="004B3B4B" w:rsidRDefault="00F813A4" w:rsidP="005B1078">
      <w:pPr>
        <w:pStyle w:val="Ttulo3"/>
        <w:ind w:left="0"/>
        <w:rPr>
          <w:rFonts w:ascii="Bookman Old Style" w:hAnsi="Bookman Old Style"/>
          <w:b w:val="0"/>
          <w:szCs w:val="24"/>
        </w:rPr>
      </w:pPr>
      <w:r w:rsidRPr="004B3B4B">
        <w:rPr>
          <w:rFonts w:ascii="Bookman Old Style" w:hAnsi="Bookman Old Style"/>
          <w:b w:val="0"/>
          <w:szCs w:val="24"/>
        </w:rPr>
        <w:t>(                                  )</w:t>
      </w:r>
    </w:p>
    <w:p w14:paraId="209B77C7" w14:textId="77777777" w:rsidR="00F813A4" w:rsidRPr="004B3B4B" w:rsidRDefault="00F813A4" w:rsidP="005B1078">
      <w:pPr>
        <w:ind w:left="0"/>
        <w:rPr>
          <w:rFonts w:ascii="Bookman Old Style" w:hAnsi="Bookman Old Style"/>
          <w:bCs/>
          <w:lang w:val="es-CO"/>
        </w:rPr>
      </w:pPr>
    </w:p>
    <w:p w14:paraId="074EC6D7" w14:textId="77777777" w:rsidR="00F813A4" w:rsidRDefault="00F813A4" w:rsidP="005B1078">
      <w:pPr>
        <w:ind w:left="0"/>
        <w:rPr>
          <w:rFonts w:ascii="Bookman Old Style" w:hAnsi="Bookman Old Style"/>
          <w:bCs/>
          <w:lang w:val="es-CO"/>
        </w:rPr>
      </w:pPr>
    </w:p>
    <w:p w14:paraId="5B5E14B3" w14:textId="77777777" w:rsidR="00EF2641" w:rsidRDefault="00EF2641" w:rsidP="005B1078">
      <w:pPr>
        <w:ind w:left="0"/>
        <w:rPr>
          <w:rFonts w:ascii="Bookman Old Style" w:hAnsi="Bookman Old Style"/>
          <w:bCs/>
          <w:lang w:val="es-CO"/>
        </w:rPr>
      </w:pPr>
    </w:p>
    <w:p w14:paraId="434CF357" w14:textId="77777777" w:rsidR="00EF2641" w:rsidRPr="004B3B4B" w:rsidRDefault="00EF2641" w:rsidP="005B1078">
      <w:pPr>
        <w:ind w:left="0"/>
        <w:rPr>
          <w:rFonts w:ascii="Bookman Old Style" w:hAnsi="Bookman Old Style"/>
          <w:bCs/>
          <w:lang w:val="es-CO"/>
        </w:rPr>
      </w:pPr>
    </w:p>
    <w:p w14:paraId="716BB5E6" w14:textId="76E4EE3B" w:rsidR="00F813A4" w:rsidRPr="004B3B4B" w:rsidRDefault="00F813A4" w:rsidP="00EF2641">
      <w:pPr>
        <w:ind w:left="0"/>
        <w:jc w:val="both"/>
        <w:rPr>
          <w:rFonts w:ascii="Bookman Old Style" w:hAnsi="Bookman Old Style" w:cs="Arial"/>
          <w:b/>
          <w:bCs/>
          <w:color w:val="000000" w:themeColor="text1"/>
          <w:lang w:eastAsia="es-CO"/>
        </w:rPr>
      </w:pPr>
      <w:r w:rsidRPr="004B3B4B">
        <w:rPr>
          <w:rFonts w:ascii="Bookman Old Style" w:hAnsi="Bookman Old Style"/>
        </w:rPr>
        <w:t>Por la cual se ordena hacer público un proyecto de resolución</w:t>
      </w:r>
      <w:r w:rsidR="00D11BA0" w:rsidRPr="004B3B4B">
        <w:rPr>
          <w:rFonts w:ascii="Bookman Old Style" w:hAnsi="Bookman Old Style"/>
        </w:rPr>
        <w:t xml:space="preserve"> de carácter general,</w:t>
      </w:r>
      <w:r w:rsidRPr="004B3B4B">
        <w:rPr>
          <w:rFonts w:ascii="Bookman Old Style" w:hAnsi="Bookman Old Style"/>
        </w:rPr>
        <w:t xml:space="preserve"> </w:t>
      </w:r>
      <w:r w:rsidRPr="004B3B4B">
        <w:rPr>
          <w:rFonts w:ascii="Bookman Old Style" w:hAnsi="Bookman Old Style" w:cs="Arial"/>
          <w:color w:val="000000" w:themeColor="text1"/>
          <w:lang w:eastAsia="es-CO"/>
        </w:rPr>
        <w:t xml:space="preserve">“Por la cual se dictan disposiciones para la </w:t>
      </w:r>
      <w:r w:rsidR="004F4668" w:rsidRPr="004B3B4B">
        <w:rPr>
          <w:rFonts w:ascii="Bookman Old Style" w:hAnsi="Bookman Old Style" w:cs="Arial"/>
          <w:color w:val="000000" w:themeColor="text1"/>
          <w:lang w:eastAsia="es-CO"/>
        </w:rPr>
        <w:t>constitución del fideicomiso o patrimonio autónomo que administrará las garantías de cumplimiento de puesta en operación y de cumplimiento de que trata el artículo 30 de la Resolución CREG 124 de 201</w:t>
      </w:r>
      <w:r w:rsidR="00E31CD2" w:rsidRPr="004B3B4B">
        <w:rPr>
          <w:rFonts w:ascii="Bookman Old Style" w:hAnsi="Bookman Old Style" w:cs="Arial"/>
          <w:color w:val="000000" w:themeColor="text1"/>
          <w:lang w:eastAsia="es-CO"/>
        </w:rPr>
        <w:t>3</w:t>
      </w:r>
      <w:r w:rsidR="00BF18EE" w:rsidRPr="004B3B4B">
        <w:rPr>
          <w:rFonts w:ascii="Bookman Old Style" w:hAnsi="Bookman Old Style" w:cs="Arial"/>
          <w:color w:val="000000" w:themeColor="text1"/>
          <w:lang w:eastAsia="es-CO"/>
        </w:rPr>
        <w:t>, modificado por el artículo 3 de la Resolución CREG 032 de 2014</w:t>
      </w:r>
      <w:r w:rsidRPr="004B3B4B">
        <w:rPr>
          <w:rFonts w:ascii="Bookman Old Style" w:hAnsi="Bookman Old Style" w:cs="Arial"/>
          <w:color w:val="000000" w:themeColor="text1"/>
          <w:lang w:eastAsia="es-CO"/>
        </w:rPr>
        <w:t>”</w:t>
      </w:r>
    </w:p>
    <w:p w14:paraId="742EECC3" w14:textId="5BCB6013" w:rsidR="00F813A4" w:rsidRPr="004B3B4B" w:rsidRDefault="00F813A4" w:rsidP="005B1078">
      <w:pPr>
        <w:ind w:left="0"/>
        <w:jc w:val="center"/>
        <w:rPr>
          <w:rFonts w:ascii="Bookman Old Style" w:hAnsi="Bookman Old Style"/>
        </w:rPr>
      </w:pPr>
    </w:p>
    <w:p w14:paraId="2AD54806" w14:textId="77777777" w:rsidR="00F813A4" w:rsidRPr="004B3B4B" w:rsidRDefault="00F813A4" w:rsidP="005B1078">
      <w:pPr>
        <w:ind w:left="0"/>
        <w:jc w:val="center"/>
        <w:rPr>
          <w:rFonts w:ascii="Bookman Old Style" w:hAnsi="Bookman Old Style"/>
        </w:rPr>
      </w:pPr>
    </w:p>
    <w:p w14:paraId="5338D729" w14:textId="0BBB17D2" w:rsidR="00F813A4" w:rsidRPr="004B3B4B" w:rsidRDefault="00F813A4" w:rsidP="005B1078">
      <w:pPr>
        <w:ind w:left="0"/>
        <w:jc w:val="center"/>
        <w:rPr>
          <w:rFonts w:ascii="Bookman Old Style" w:hAnsi="Bookman Old Style"/>
          <w:b/>
        </w:rPr>
      </w:pPr>
      <w:r w:rsidRPr="004B3B4B">
        <w:rPr>
          <w:rFonts w:ascii="Bookman Old Style" w:hAnsi="Bookman Old Style"/>
          <w:b/>
        </w:rPr>
        <w:t>LA COMISIÓN DE REGULACIÓN DE ENERGÍA Y GAS</w:t>
      </w:r>
    </w:p>
    <w:p w14:paraId="46A31696" w14:textId="77777777" w:rsidR="00F813A4" w:rsidRPr="004B3B4B" w:rsidRDefault="00F813A4" w:rsidP="005B1078">
      <w:pPr>
        <w:ind w:left="0"/>
        <w:rPr>
          <w:rFonts w:ascii="Bookman Old Style" w:hAnsi="Bookman Old Style"/>
        </w:rPr>
      </w:pPr>
    </w:p>
    <w:p w14:paraId="79A65866" w14:textId="77777777" w:rsidR="00F813A4" w:rsidRPr="004B3B4B" w:rsidRDefault="00F813A4" w:rsidP="005B1078">
      <w:pPr>
        <w:ind w:left="0"/>
        <w:rPr>
          <w:rFonts w:ascii="Bookman Old Style" w:hAnsi="Bookman Old Style"/>
        </w:rPr>
      </w:pPr>
    </w:p>
    <w:p w14:paraId="7D9A2E12" w14:textId="4794367C" w:rsidR="00F813A4" w:rsidRPr="004B3B4B" w:rsidRDefault="00F813A4" w:rsidP="005B1078">
      <w:pPr>
        <w:pStyle w:val="Textoindependiente3"/>
        <w:ind w:left="0"/>
        <w:rPr>
          <w:rFonts w:ascii="Bookman Old Style" w:hAnsi="Bookman Old Style"/>
          <w:b w:val="0"/>
        </w:rPr>
      </w:pPr>
      <w:r w:rsidRPr="004B3B4B">
        <w:rPr>
          <w:rFonts w:ascii="Bookman Old Style" w:hAnsi="Bookman Old Style"/>
          <w:b w:val="0"/>
        </w:rPr>
        <w:t>En ejercicio de sus atribuciones legales, en especial las conferidas por la Ley 142 de 1994, y en desarrollo del</w:t>
      </w:r>
      <w:r w:rsidRPr="004B3B4B">
        <w:rPr>
          <w:rFonts w:ascii="Bookman Old Style" w:hAnsi="Bookman Old Style"/>
          <w:b w:val="0"/>
          <w:lang w:val="es-CO"/>
        </w:rPr>
        <w:t xml:space="preserve"> </w:t>
      </w:r>
      <w:r w:rsidRPr="004B3B4B">
        <w:rPr>
          <w:rFonts w:ascii="Bookman Old Style" w:hAnsi="Bookman Old Style"/>
          <w:b w:val="0"/>
        </w:rPr>
        <w:t>Decreto 2253 de 1994</w:t>
      </w:r>
      <w:r w:rsidR="004B3B4B">
        <w:rPr>
          <w:rFonts w:ascii="Bookman Old Style" w:hAnsi="Bookman Old Style"/>
          <w:b w:val="0"/>
          <w:lang w:val="es-CO"/>
        </w:rPr>
        <w:t>,</w:t>
      </w:r>
      <w:r w:rsidRPr="004B3B4B">
        <w:rPr>
          <w:rFonts w:ascii="Bookman Old Style" w:hAnsi="Bookman Old Style"/>
          <w:b w:val="0"/>
          <w:lang w:val="es-CO"/>
        </w:rPr>
        <w:t xml:space="preserve"> y</w:t>
      </w:r>
    </w:p>
    <w:p w14:paraId="1EE673D5" w14:textId="77777777" w:rsidR="00F813A4" w:rsidRPr="004B3B4B" w:rsidRDefault="00F813A4" w:rsidP="005B1078">
      <w:pPr>
        <w:ind w:left="0"/>
        <w:rPr>
          <w:rFonts w:ascii="Bookman Old Style" w:hAnsi="Bookman Old Style"/>
          <w:lang w:val="x-none"/>
        </w:rPr>
      </w:pPr>
    </w:p>
    <w:p w14:paraId="09F67FA2" w14:textId="77777777" w:rsidR="00F813A4" w:rsidRPr="004B3B4B" w:rsidRDefault="00F813A4" w:rsidP="005B1078">
      <w:pPr>
        <w:ind w:left="0"/>
        <w:rPr>
          <w:rFonts w:ascii="Bookman Old Style" w:hAnsi="Bookman Old Style"/>
        </w:rPr>
      </w:pPr>
    </w:p>
    <w:p w14:paraId="508B27BE" w14:textId="77777777" w:rsidR="00F813A4" w:rsidRPr="004B3B4B" w:rsidRDefault="00F813A4" w:rsidP="005B1078">
      <w:pPr>
        <w:ind w:left="0"/>
        <w:jc w:val="center"/>
        <w:rPr>
          <w:rFonts w:ascii="Bookman Old Style" w:hAnsi="Bookman Old Style"/>
          <w:b/>
        </w:rPr>
      </w:pPr>
      <w:r w:rsidRPr="004B3B4B">
        <w:rPr>
          <w:rFonts w:ascii="Bookman Old Style" w:hAnsi="Bookman Old Style"/>
          <w:b/>
        </w:rPr>
        <w:t>C O N S I D E R A N D O  Q U E:</w:t>
      </w:r>
    </w:p>
    <w:p w14:paraId="05807F37" w14:textId="77777777" w:rsidR="00F813A4" w:rsidRPr="004B3B4B" w:rsidRDefault="00F813A4" w:rsidP="005B1078">
      <w:pPr>
        <w:ind w:left="0"/>
        <w:jc w:val="center"/>
        <w:rPr>
          <w:rFonts w:ascii="Bookman Old Style" w:hAnsi="Bookman Old Style"/>
          <w:b/>
        </w:rPr>
      </w:pPr>
    </w:p>
    <w:p w14:paraId="2D9D16A1" w14:textId="77777777" w:rsidR="00F813A4" w:rsidRPr="004B3B4B" w:rsidRDefault="00F813A4" w:rsidP="005B1078">
      <w:pPr>
        <w:ind w:left="0"/>
        <w:jc w:val="center"/>
        <w:rPr>
          <w:rFonts w:ascii="Bookman Old Style" w:hAnsi="Bookman Old Style"/>
          <w:b/>
        </w:rPr>
      </w:pPr>
    </w:p>
    <w:p w14:paraId="7E79FA6C" w14:textId="5B4A8822" w:rsidR="00F813A4" w:rsidRPr="004B3B4B" w:rsidRDefault="00F813A4" w:rsidP="005B1078">
      <w:pPr>
        <w:ind w:left="0"/>
        <w:jc w:val="both"/>
        <w:rPr>
          <w:rFonts w:ascii="Bookman Old Style" w:hAnsi="Bookman Old Style" w:cs="Arial"/>
        </w:rPr>
      </w:pPr>
      <w:r w:rsidRPr="004B3B4B">
        <w:rPr>
          <w:rFonts w:ascii="Bookman Old Style" w:hAnsi="Bookman Old Style" w:cs="Arial"/>
        </w:rPr>
        <w:t>Conforme a lo dispuesto por el artículo 8 del Código de Procedimiento Administrativo y de lo Contencioso Administrativo la Comisión debe hacer público</w:t>
      </w:r>
      <w:r w:rsidR="004B3B4B">
        <w:rPr>
          <w:rFonts w:ascii="Bookman Old Style" w:hAnsi="Bookman Old Style" w:cs="Arial"/>
        </w:rPr>
        <w:t>s</w:t>
      </w:r>
      <w:r w:rsidRPr="004B3B4B">
        <w:rPr>
          <w:rFonts w:ascii="Bookman Old Style" w:hAnsi="Bookman Old Style" w:cs="Arial"/>
        </w:rPr>
        <w:t xml:space="preserve"> en su página web todos los proyectos de resolución de carácter general que pretenda adoptar.</w:t>
      </w:r>
    </w:p>
    <w:p w14:paraId="2888FC91" w14:textId="77777777" w:rsidR="00F813A4" w:rsidRPr="004B3B4B" w:rsidRDefault="00F813A4" w:rsidP="005B1078">
      <w:pPr>
        <w:ind w:left="0"/>
        <w:jc w:val="both"/>
        <w:rPr>
          <w:rFonts w:ascii="Bookman Old Style" w:hAnsi="Bookman Old Style" w:cs="Arial"/>
        </w:rPr>
      </w:pPr>
    </w:p>
    <w:p w14:paraId="2A4E1FEB" w14:textId="1BFAFFDA" w:rsidR="00F813A4" w:rsidRPr="004B3B4B" w:rsidRDefault="00F813A4" w:rsidP="005B1078">
      <w:pPr>
        <w:tabs>
          <w:tab w:val="left" w:pos="0"/>
        </w:tabs>
        <w:ind w:left="0"/>
        <w:jc w:val="both"/>
        <w:rPr>
          <w:rFonts w:ascii="Bookman Old Style" w:hAnsi="Bookman Old Style"/>
        </w:rPr>
      </w:pPr>
      <w:r w:rsidRPr="004B3B4B">
        <w:rPr>
          <w:rFonts w:ascii="Bookman Old Style" w:hAnsi="Bookman Old Style"/>
        </w:rPr>
        <w:t xml:space="preserve">La Comisión de Regulación de Energía y Gas, en su sesión No. </w:t>
      </w:r>
      <w:r w:rsidR="004B3B4B">
        <w:rPr>
          <w:rFonts w:ascii="Bookman Old Style" w:hAnsi="Bookman Old Style"/>
        </w:rPr>
        <w:t>611</w:t>
      </w:r>
      <w:r w:rsidR="006F1914" w:rsidRPr="004B3B4B">
        <w:rPr>
          <w:rFonts w:ascii="Bookman Old Style" w:hAnsi="Bookman Old Style"/>
        </w:rPr>
        <w:t xml:space="preserve"> </w:t>
      </w:r>
      <w:r w:rsidRPr="004B3B4B">
        <w:rPr>
          <w:rFonts w:ascii="Bookman Old Style" w:hAnsi="Bookman Old Style"/>
        </w:rPr>
        <w:t xml:space="preserve">del </w:t>
      </w:r>
      <w:r w:rsidR="004B3B4B">
        <w:rPr>
          <w:rFonts w:ascii="Bookman Old Style" w:hAnsi="Bookman Old Style"/>
        </w:rPr>
        <w:t>20</w:t>
      </w:r>
      <w:r w:rsidR="004B3B4B" w:rsidRPr="004B3B4B">
        <w:rPr>
          <w:rFonts w:ascii="Bookman Old Style" w:hAnsi="Bookman Old Style"/>
        </w:rPr>
        <w:t xml:space="preserve"> </w:t>
      </w:r>
      <w:r w:rsidRPr="004B3B4B">
        <w:rPr>
          <w:rFonts w:ascii="Bookman Old Style" w:hAnsi="Bookman Old Style"/>
        </w:rPr>
        <w:t xml:space="preserve">de </w:t>
      </w:r>
      <w:r w:rsidR="006F1914" w:rsidRPr="004B3B4B">
        <w:rPr>
          <w:rFonts w:ascii="Bookman Old Style" w:hAnsi="Bookman Old Style"/>
        </w:rPr>
        <w:t>junio</w:t>
      </w:r>
      <w:r w:rsidRPr="004B3B4B">
        <w:rPr>
          <w:rFonts w:ascii="Bookman Old Style" w:hAnsi="Bookman Old Style"/>
        </w:rPr>
        <w:t xml:space="preserve"> de 201</w:t>
      </w:r>
      <w:r w:rsidR="006F1914" w:rsidRPr="004B3B4B">
        <w:rPr>
          <w:rFonts w:ascii="Bookman Old Style" w:hAnsi="Bookman Old Style"/>
        </w:rPr>
        <w:t>4</w:t>
      </w:r>
      <w:r w:rsidRPr="004B3B4B">
        <w:rPr>
          <w:rFonts w:ascii="Bookman Old Style" w:hAnsi="Bookman Old Style"/>
        </w:rPr>
        <w:t xml:space="preserve">, aprobó hacer público el proyecto de resolución </w:t>
      </w:r>
      <w:r w:rsidRPr="004B3B4B">
        <w:rPr>
          <w:rFonts w:ascii="Bookman Old Style" w:hAnsi="Bookman Old Style" w:cs="Arial"/>
          <w:color w:val="000000" w:themeColor="text1"/>
          <w:lang w:eastAsia="es-CO"/>
        </w:rPr>
        <w:t>“</w:t>
      </w:r>
      <w:r w:rsidR="000D34A3" w:rsidRPr="004B3B4B">
        <w:rPr>
          <w:rFonts w:ascii="Bookman Old Style" w:hAnsi="Bookman Old Style" w:cs="Arial"/>
          <w:color w:val="000000" w:themeColor="text1"/>
          <w:lang w:eastAsia="es-CO"/>
        </w:rPr>
        <w:t>Por la cual se dictan disposiciones para la constitución del fideicomiso o patrimonio autónomo que administrará las garantías de cumplimiento de puesta en operación y de cumplimiento de que trata el artículo 30 de la Resolución CREG 124 de 2014</w:t>
      </w:r>
      <w:r w:rsidR="007B59D7" w:rsidRPr="004B3B4B">
        <w:rPr>
          <w:rFonts w:ascii="Bookman Old Style" w:hAnsi="Bookman Old Style" w:cs="Arial"/>
          <w:color w:val="000000" w:themeColor="text1"/>
          <w:lang w:eastAsia="es-CO"/>
        </w:rPr>
        <w:t>, modificado por el artículo 3 de la Resolución CREG 032 de 2014</w:t>
      </w:r>
      <w:r w:rsidR="000D34A3" w:rsidRPr="004B3B4B">
        <w:rPr>
          <w:rFonts w:ascii="Bookman Old Style" w:hAnsi="Bookman Old Style" w:cs="Arial"/>
          <w:color w:val="000000" w:themeColor="text1"/>
          <w:lang w:eastAsia="es-CO"/>
        </w:rPr>
        <w:t>”</w:t>
      </w:r>
      <w:r w:rsidRPr="004B3B4B">
        <w:rPr>
          <w:rFonts w:ascii="Bookman Old Style" w:hAnsi="Bookman Old Style" w:cs="Arial"/>
          <w:color w:val="000000" w:themeColor="text1"/>
          <w:lang w:eastAsia="es-CO"/>
        </w:rPr>
        <w:t>.</w:t>
      </w:r>
    </w:p>
    <w:p w14:paraId="122B3AAA" w14:textId="77777777" w:rsidR="00F813A4" w:rsidRPr="004B3B4B" w:rsidRDefault="00F813A4" w:rsidP="005B1078">
      <w:pPr>
        <w:ind w:left="0"/>
        <w:rPr>
          <w:rFonts w:ascii="Bookman Old Style" w:hAnsi="Bookman Old Style"/>
        </w:rPr>
      </w:pPr>
    </w:p>
    <w:p w14:paraId="1F763964" w14:textId="77777777" w:rsidR="00F813A4" w:rsidRPr="004B3B4B" w:rsidRDefault="00F813A4" w:rsidP="005B1078">
      <w:pPr>
        <w:suppressAutoHyphens/>
        <w:ind w:left="0"/>
        <w:jc w:val="center"/>
        <w:rPr>
          <w:rFonts w:ascii="Bookman Old Style" w:hAnsi="Bookman Old Style"/>
          <w:b/>
          <w:spacing w:val="-3"/>
        </w:rPr>
      </w:pPr>
    </w:p>
    <w:p w14:paraId="15847C8F" w14:textId="77777777" w:rsidR="00F813A4" w:rsidRPr="004B3B4B" w:rsidRDefault="00F813A4" w:rsidP="005B1078">
      <w:pPr>
        <w:suppressAutoHyphens/>
        <w:ind w:left="0"/>
        <w:jc w:val="center"/>
        <w:rPr>
          <w:rFonts w:ascii="Bookman Old Style" w:hAnsi="Bookman Old Style"/>
          <w:spacing w:val="-3"/>
        </w:rPr>
      </w:pPr>
      <w:r w:rsidRPr="004B3B4B">
        <w:rPr>
          <w:rFonts w:ascii="Bookman Old Style" w:hAnsi="Bookman Old Style"/>
          <w:b/>
          <w:spacing w:val="-3"/>
        </w:rPr>
        <w:t>R E S U E L V E:</w:t>
      </w:r>
    </w:p>
    <w:p w14:paraId="16AB3B84" w14:textId="77777777" w:rsidR="00F813A4" w:rsidRPr="004B3B4B" w:rsidRDefault="00F813A4" w:rsidP="005B1078">
      <w:pPr>
        <w:ind w:left="0"/>
        <w:jc w:val="center"/>
        <w:rPr>
          <w:rFonts w:ascii="Bookman Old Style" w:hAnsi="Bookman Old Style"/>
        </w:rPr>
      </w:pPr>
    </w:p>
    <w:p w14:paraId="57A8AA21" w14:textId="77777777" w:rsidR="00A45C43" w:rsidRPr="004B3B4B" w:rsidRDefault="00A45C43" w:rsidP="005B1078">
      <w:pPr>
        <w:ind w:left="0"/>
        <w:jc w:val="center"/>
        <w:rPr>
          <w:rFonts w:ascii="Bookman Old Style" w:hAnsi="Bookman Old Style"/>
        </w:rPr>
      </w:pPr>
    </w:p>
    <w:p w14:paraId="1A3CFC06" w14:textId="094C69CC" w:rsidR="00875000" w:rsidRPr="004B3B4B" w:rsidRDefault="00F145B9" w:rsidP="00875000">
      <w:pPr>
        <w:tabs>
          <w:tab w:val="left" w:pos="0"/>
        </w:tabs>
        <w:ind w:left="0"/>
        <w:jc w:val="both"/>
        <w:rPr>
          <w:rFonts w:ascii="Bookman Old Style" w:hAnsi="Bookman Old Style"/>
        </w:rPr>
      </w:pPr>
      <w:r w:rsidRPr="004B3B4B">
        <w:rPr>
          <w:rFonts w:ascii="Bookman Old Style" w:hAnsi="Bookman Old Style"/>
          <w:b/>
        </w:rPr>
        <w:t xml:space="preserve">Artículo </w:t>
      </w:r>
      <w:r w:rsidR="00F813A4" w:rsidRPr="004B3B4B">
        <w:rPr>
          <w:rFonts w:ascii="Bookman Old Style" w:hAnsi="Bookman Old Style"/>
          <w:b/>
        </w:rPr>
        <w:t>1.</w:t>
      </w:r>
      <w:r w:rsidR="00F813A4" w:rsidRPr="004B3B4B">
        <w:rPr>
          <w:rFonts w:ascii="Bookman Old Style" w:hAnsi="Bookman Old Style"/>
        </w:rPr>
        <w:t xml:space="preserve"> </w:t>
      </w:r>
      <w:r w:rsidR="00F813A4" w:rsidRPr="004B3B4B">
        <w:rPr>
          <w:rFonts w:ascii="Bookman Old Style" w:hAnsi="Bookman Old Style" w:cs="Arial"/>
        </w:rPr>
        <w:t xml:space="preserve">Hágase público el siguiente proyecto de resolución </w:t>
      </w:r>
      <w:r w:rsidR="00875000" w:rsidRPr="004B3B4B">
        <w:rPr>
          <w:rFonts w:ascii="Bookman Old Style" w:hAnsi="Bookman Old Style" w:cs="Arial"/>
          <w:color w:val="000000" w:themeColor="text1"/>
          <w:lang w:eastAsia="es-CO"/>
        </w:rPr>
        <w:t xml:space="preserve">“Por la cual se dictan disposiciones para la constitución del fideicomiso o patrimonio autónomo que administrará las garantías de cumplimiento de puesta en </w:t>
      </w:r>
      <w:r w:rsidR="00875000" w:rsidRPr="004B3B4B">
        <w:rPr>
          <w:rFonts w:ascii="Bookman Old Style" w:hAnsi="Bookman Old Style" w:cs="Arial"/>
          <w:color w:val="000000" w:themeColor="text1"/>
          <w:lang w:eastAsia="es-CO"/>
        </w:rPr>
        <w:lastRenderedPageBreak/>
        <w:t>operación y de cumplimiento de que trata el artículo 30 de la Resolución CREG 124 de 2014</w:t>
      </w:r>
      <w:r w:rsidR="00BF18EE" w:rsidRPr="004B3B4B">
        <w:rPr>
          <w:rFonts w:ascii="Bookman Old Style" w:hAnsi="Bookman Old Style" w:cs="Arial"/>
          <w:color w:val="000000" w:themeColor="text1"/>
          <w:lang w:eastAsia="es-CO"/>
        </w:rPr>
        <w:t>, modificado por el artículo 3 de la Resolución CREG 032 de 2014</w:t>
      </w:r>
      <w:r w:rsidR="00875000" w:rsidRPr="004B3B4B">
        <w:rPr>
          <w:rFonts w:ascii="Bookman Old Style" w:hAnsi="Bookman Old Style" w:cs="Arial"/>
          <w:color w:val="000000" w:themeColor="text1"/>
          <w:lang w:eastAsia="es-CO"/>
        </w:rPr>
        <w:t>”.</w:t>
      </w:r>
    </w:p>
    <w:p w14:paraId="03CD73E8" w14:textId="46071EFF" w:rsidR="00F813A4" w:rsidRPr="004B3B4B" w:rsidRDefault="00F813A4" w:rsidP="00875000">
      <w:pPr>
        <w:tabs>
          <w:tab w:val="left" w:pos="0"/>
        </w:tabs>
        <w:ind w:left="0"/>
        <w:jc w:val="both"/>
        <w:rPr>
          <w:rFonts w:ascii="Bookman Old Style" w:hAnsi="Bookman Old Style"/>
        </w:rPr>
      </w:pPr>
    </w:p>
    <w:p w14:paraId="7BE42CD9" w14:textId="05163048" w:rsidR="00F813A4" w:rsidRPr="004B3B4B" w:rsidRDefault="00F145B9" w:rsidP="005B1078">
      <w:pPr>
        <w:ind w:left="0"/>
        <w:jc w:val="both"/>
        <w:rPr>
          <w:rFonts w:ascii="Bookman Old Style" w:hAnsi="Bookman Old Style"/>
        </w:rPr>
      </w:pPr>
      <w:r w:rsidRPr="004B3B4B">
        <w:rPr>
          <w:rFonts w:ascii="Bookman Old Style" w:hAnsi="Bookman Old Style"/>
          <w:b/>
        </w:rPr>
        <w:t xml:space="preserve">Artículo </w:t>
      </w:r>
      <w:r w:rsidR="00F813A4" w:rsidRPr="004B3B4B">
        <w:rPr>
          <w:rFonts w:ascii="Bookman Old Style" w:hAnsi="Bookman Old Style"/>
          <w:b/>
        </w:rPr>
        <w:t>2.</w:t>
      </w:r>
      <w:r w:rsidR="00F813A4" w:rsidRPr="004B3B4B">
        <w:rPr>
          <w:rFonts w:ascii="Bookman Old Style" w:hAnsi="Bookman Old Style" w:cs="Arial"/>
          <w:lang w:val="es-CO" w:eastAsia="es-CO"/>
        </w:rPr>
        <w:t xml:space="preserve"> Se invita a los agentes, a los usuarios, a las autoridades locales municipales y departamentales competentes, a la Superintendencia de Servicios Públicos Domiciliarios</w:t>
      </w:r>
      <w:r w:rsidR="00E40453" w:rsidRPr="004B3B4B">
        <w:rPr>
          <w:rFonts w:ascii="Bookman Old Style" w:hAnsi="Bookman Old Style" w:cs="Arial"/>
          <w:lang w:val="es-CO" w:eastAsia="es-CO"/>
        </w:rPr>
        <w:t xml:space="preserve"> y a la Superintendencia de Industria y Comercio</w:t>
      </w:r>
      <w:r w:rsidR="00F813A4" w:rsidRPr="004B3B4B">
        <w:rPr>
          <w:rFonts w:ascii="Bookman Old Style" w:hAnsi="Bookman Old Style" w:cs="Arial"/>
          <w:lang w:val="es-CO" w:eastAsia="es-CO"/>
        </w:rPr>
        <w:t>, para que remitan sus observaciones o sugerencias sobre la propuesta</w:t>
      </w:r>
      <w:r w:rsidR="004B3B4B">
        <w:rPr>
          <w:rFonts w:ascii="Bookman Old Style" w:hAnsi="Bookman Old Style" w:cs="Arial"/>
          <w:lang w:val="es-CO" w:eastAsia="es-CO"/>
        </w:rPr>
        <w:t xml:space="preserve"> dentro de los diez (10) días hábiles siguientes a su publicación en la página web de la CREG</w:t>
      </w:r>
      <w:r w:rsidR="00F813A4" w:rsidRPr="004B3B4B">
        <w:rPr>
          <w:rFonts w:ascii="Bookman Old Style" w:hAnsi="Bookman Old Style" w:cs="Arial"/>
          <w:lang w:val="es-CO" w:eastAsia="es-CO"/>
        </w:rPr>
        <w:t>.</w:t>
      </w:r>
    </w:p>
    <w:p w14:paraId="7B99690E" w14:textId="77777777" w:rsidR="00F813A4" w:rsidRPr="004B3B4B" w:rsidRDefault="00F813A4" w:rsidP="005B1078">
      <w:pPr>
        <w:ind w:left="0"/>
        <w:jc w:val="both"/>
        <w:rPr>
          <w:rFonts w:ascii="Bookman Old Style" w:hAnsi="Bookman Old Style"/>
        </w:rPr>
      </w:pPr>
    </w:p>
    <w:p w14:paraId="47603167" w14:textId="3E784C27" w:rsidR="00F813A4" w:rsidRPr="004B3B4B" w:rsidRDefault="00F145B9" w:rsidP="005B1078">
      <w:pPr>
        <w:tabs>
          <w:tab w:val="left" w:pos="0"/>
        </w:tabs>
        <w:ind w:left="0"/>
        <w:jc w:val="both"/>
        <w:rPr>
          <w:rFonts w:ascii="Bookman Old Style" w:hAnsi="Bookman Old Style" w:cs="Arial"/>
        </w:rPr>
      </w:pPr>
      <w:r w:rsidRPr="004B3B4B">
        <w:rPr>
          <w:rFonts w:ascii="Bookman Old Style" w:hAnsi="Bookman Old Style" w:cs="Arial"/>
          <w:b/>
          <w:bCs/>
        </w:rPr>
        <w:t xml:space="preserve">Artículo </w:t>
      </w:r>
      <w:r w:rsidR="00F813A4" w:rsidRPr="004B3B4B">
        <w:rPr>
          <w:rFonts w:ascii="Bookman Old Style" w:hAnsi="Bookman Old Style" w:cs="Arial"/>
          <w:b/>
          <w:bCs/>
        </w:rPr>
        <w:t>3</w:t>
      </w:r>
      <w:r w:rsidR="00F813A4" w:rsidRPr="004B3B4B">
        <w:rPr>
          <w:rFonts w:ascii="Bookman Old Style" w:hAnsi="Bookman Old Style" w:cs="Arial"/>
          <w:b/>
        </w:rPr>
        <w:t>.</w:t>
      </w:r>
      <w:r w:rsidR="00F813A4" w:rsidRPr="004B3B4B">
        <w:rPr>
          <w:rFonts w:ascii="Bookman Old Style" w:hAnsi="Bookman Old Style" w:cs="Arial"/>
        </w:rPr>
        <w:t xml:space="preserve"> </w:t>
      </w:r>
      <w:r w:rsidR="00F71DB1" w:rsidRPr="004B3B4B">
        <w:rPr>
          <w:rFonts w:ascii="Bookman Old Style" w:hAnsi="Bookman Old Style" w:cs="Arial"/>
        </w:rPr>
        <w:t xml:space="preserve">Las observaciones y sugerencias sobre el proyecto deberán dirigirse a </w:t>
      </w:r>
      <w:r w:rsidR="00510059" w:rsidRPr="004B3B4B">
        <w:rPr>
          <w:rFonts w:ascii="Bookman Old Style" w:hAnsi="Bookman Old Style" w:cs="Arial"/>
        </w:rPr>
        <w:t xml:space="preserve">Carlos Fernando </w:t>
      </w:r>
      <w:proofErr w:type="spellStart"/>
      <w:r w:rsidR="00510059" w:rsidRPr="004B3B4B">
        <w:rPr>
          <w:rFonts w:ascii="Bookman Old Style" w:hAnsi="Bookman Old Style" w:cs="Arial"/>
        </w:rPr>
        <w:t>Eraso</w:t>
      </w:r>
      <w:proofErr w:type="spellEnd"/>
      <w:r w:rsidR="00510059" w:rsidRPr="004B3B4B">
        <w:rPr>
          <w:rFonts w:ascii="Bookman Old Style" w:hAnsi="Bookman Old Style" w:cs="Arial"/>
        </w:rPr>
        <w:t xml:space="preserve"> Calero</w:t>
      </w:r>
      <w:r w:rsidR="00F71DB1" w:rsidRPr="004B3B4B">
        <w:rPr>
          <w:rFonts w:ascii="Bookman Old Style" w:hAnsi="Bookman Old Style" w:cs="Arial"/>
        </w:rPr>
        <w:t xml:space="preserve">, Director Ejecutivo de la Comisión, a la siguiente dirección: Avenida Calle 116 No. 7-15, Edificio Torre </w:t>
      </w:r>
      <w:proofErr w:type="spellStart"/>
      <w:r w:rsidR="00F71DB1" w:rsidRPr="004B3B4B">
        <w:rPr>
          <w:rFonts w:ascii="Bookman Old Style" w:hAnsi="Bookman Old Style" w:cs="Arial"/>
        </w:rPr>
        <w:t>Cusezar</w:t>
      </w:r>
      <w:proofErr w:type="spellEnd"/>
      <w:r w:rsidR="00F71DB1" w:rsidRPr="004B3B4B">
        <w:rPr>
          <w:rFonts w:ascii="Bookman Old Style" w:hAnsi="Bookman Old Style" w:cs="Arial"/>
        </w:rPr>
        <w:t>, Interior 2, Oficina 901 o al correo electrónico creg@creg.gov.co.</w:t>
      </w:r>
    </w:p>
    <w:p w14:paraId="505404DF" w14:textId="77777777" w:rsidR="00F813A4" w:rsidRPr="004B3B4B" w:rsidRDefault="00F813A4" w:rsidP="005B1078">
      <w:pPr>
        <w:ind w:left="0"/>
        <w:rPr>
          <w:rFonts w:ascii="Bookman Old Style" w:hAnsi="Bookman Old Style"/>
        </w:rPr>
      </w:pPr>
    </w:p>
    <w:p w14:paraId="424BD1A7" w14:textId="3DA93AEE" w:rsidR="00F813A4" w:rsidRPr="004B3B4B" w:rsidRDefault="00F145B9" w:rsidP="005B1078">
      <w:pPr>
        <w:tabs>
          <w:tab w:val="left" w:pos="0"/>
        </w:tabs>
        <w:ind w:left="0"/>
        <w:jc w:val="both"/>
        <w:rPr>
          <w:rFonts w:ascii="Bookman Old Style" w:hAnsi="Bookman Old Style" w:cs="Arial"/>
        </w:rPr>
      </w:pPr>
      <w:r w:rsidRPr="004B3B4B">
        <w:rPr>
          <w:rFonts w:ascii="Bookman Old Style" w:hAnsi="Bookman Old Style" w:cs="Arial"/>
          <w:b/>
          <w:bCs/>
        </w:rPr>
        <w:t xml:space="preserve">Artículo </w:t>
      </w:r>
      <w:r w:rsidR="00F813A4" w:rsidRPr="004B3B4B">
        <w:rPr>
          <w:rFonts w:ascii="Bookman Old Style" w:hAnsi="Bookman Old Style" w:cs="Arial"/>
          <w:b/>
          <w:bCs/>
        </w:rPr>
        <w:t>4</w:t>
      </w:r>
      <w:r w:rsidR="00F813A4" w:rsidRPr="004B3B4B">
        <w:rPr>
          <w:rFonts w:ascii="Bookman Old Style" w:hAnsi="Bookman Old Style" w:cs="Arial"/>
        </w:rPr>
        <w:t>. La presente Resolución no deroga disposiciones vigentes por tratarse de un acto de trámite.</w:t>
      </w:r>
    </w:p>
    <w:p w14:paraId="71B6CA0F" w14:textId="77777777" w:rsidR="00F813A4" w:rsidRPr="004B3B4B" w:rsidRDefault="00F813A4" w:rsidP="005B1078">
      <w:pPr>
        <w:ind w:left="0"/>
        <w:rPr>
          <w:rFonts w:ascii="Bookman Old Style" w:hAnsi="Bookman Old Style"/>
        </w:rPr>
      </w:pPr>
    </w:p>
    <w:p w14:paraId="0C728BDA" w14:textId="77777777" w:rsidR="00F813A4" w:rsidRPr="004B3B4B" w:rsidRDefault="00F813A4" w:rsidP="005B1078">
      <w:pPr>
        <w:ind w:left="0"/>
        <w:rPr>
          <w:rFonts w:ascii="Bookman Old Style" w:hAnsi="Bookman Old Style"/>
        </w:rPr>
      </w:pPr>
    </w:p>
    <w:p w14:paraId="216BDAFA" w14:textId="77777777" w:rsidR="00F813A4" w:rsidRPr="004B3B4B" w:rsidRDefault="00F813A4" w:rsidP="005B1078">
      <w:pPr>
        <w:ind w:left="0"/>
        <w:jc w:val="center"/>
        <w:rPr>
          <w:rFonts w:ascii="Bookman Old Style" w:hAnsi="Bookman Old Style"/>
          <w:b/>
        </w:rPr>
      </w:pPr>
      <w:r w:rsidRPr="004B3B4B">
        <w:rPr>
          <w:rFonts w:ascii="Bookman Old Style" w:hAnsi="Bookman Old Style"/>
          <w:b/>
        </w:rPr>
        <w:t>PUBLÍQUESE Y CÚMPLASE</w:t>
      </w:r>
    </w:p>
    <w:p w14:paraId="739AB0DB" w14:textId="77777777" w:rsidR="00F813A4" w:rsidRPr="004B3B4B" w:rsidRDefault="00F813A4" w:rsidP="005B1078">
      <w:pPr>
        <w:ind w:left="0"/>
        <w:rPr>
          <w:rFonts w:ascii="Bookman Old Style" w:hAnsi="Bookman Old Style"/>
        </w:rPr>
      </w:pPr>
    </w:p>
    <w:p w14:paraId="107FA8AA" w14:textId="77777777" w:rsidR="00F813A4" w:rsidRPr="004B3B4B" w:rsidRDefault="00F813A4" w:rsidP="005B1078">
      <w:pPr>
        <w:ind w:left="0"/>
        <w:rPr>
          <w:rFonts w:ascii="Bookman Old Style" w:hAnsi="Bookman Old Style"/>
        </w:rPr>
      </w:pPr>
    </w:p>
    <w:p w14:paraId="0C7632D7" w14:textId="77777777" w:rsidR="00F813A4" w:rsidRPr="004B3B4B" w:rsidRDefault="00F813A4" w:rsidP="005B1078">
      <w:pPr>
        <w:ind w:left="0"/>
        <w:rPr>
          <w:rFonts w:ascii="Bookman Old Style" w:hAnsi="Bookman Old Style"/>
        </w:rPr>
      </w:pPr>
      <w:r w:rsidRPr="004B3B4B">
        <w:rPr>
          <w:rFonts w:ascii="Bookman Old Style" w:hAnsi="Bookman Old Style"/>
        </w:rPr>
        <w:t>Dada en Bogotá, D.C.</w:t>
      </w:r>
    </w:p>
    <w:p w14:paraId="2D89149C" w14:textId="77777777" w:rsidR="00F813A4" w:rsidRDefault="00F813A4" w:rsidP="005B1078">
      <w:pPr>
        <w:ind w:left="0"/>
        <w:rPr>
          <w:rFonts w:ascii="Bookman Old Style" w:hAnsi="Bookman Old Style"/>
        </w:rPr>
      </w:pPr>
    </w:p>
    <w:p w14:paraId="58FF3CD2" w14:textId="77777777" w:rsidR="004D0817" w:rsidRDefault="004D0817" w:rsidP="005B1078">
      <w:pPr>
        <w:ind w:left="0"/>
        <w:rPr>
          <w:rFonts w:ascii="Bookman Old Style" w:hAnsi="Bookman Old Style"/>
        </w:rPr>
      </w:pPr>
    </w:p>
    <w:p w14:paraId="18B8CFA6" w14:textId="77777777" w:rsidR="004D0817" w:rsidRDefault="004D0817" w:rsidP="005B1078">
      <w:pPr>
        <w:ind w:left="0"/>
        <w:rPr>
          <w:rFonts w:ascii="Bookman Old Style" w:hAnsi="Bookman Old Style"/>
        </w:rPr>
      </w:pPr>
    </w:p>
    <w:p w14:paraId="0502DA0A" w14:textId="77777777" w:rsidR="004D0817" w:rsidRDefault="004D0817" w:rsidP="005B1078">
      <w:pPr>
        <w:ind w:left="0"/>
        <w:rPr>
          <w:rFonts w:ascii="Bookman Old Style" w:hAnsi="Bookman Old Style"/>
        </w:rPr>
      </w:pPr>
    </w:p>
    <w:p w14:paraId="52CD2120" w14:textId="77777777" w:rsidR="004D0817" w:rsidRDefault="004D0817" w:rsidP="005B1078">
      <w:pPr>
        <w:ind w:left="0"/>
        <w:rPr>
          <w:rFonts w:ascii="Bookman Old Style" w:hAnsi="Bookman Old Style"/>
        </w:rPr>
      </w:pPr>
    </w:p>
    <w:p w14:paraId="227CA47D" w14:textId="77777777" w:rsidR="004D0817" w:rsidRPr="004B3B4B" w:rsidRDefault="004D0817" w:rsidP="005B1078">
      <w:pPr>
        <w:ind w:left="0"/>
        <w:rPr>
          <w:rFonts w:ascii="Bookman Old Style" w:hAnsi="Bookman Old Style"/>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4D0817" w:rsidRPr="00C2343E" w14:paraId="13C954EC" w14:textId="77777777" w:rsidTr="007F238F">
        <w:tc>
          <w:tcPr>
            <w:tcW w:w="4820" w:type="dxa"/>
            <w:hideMark/>
          </w:tcPr>
          <w:p w14:paraId="344FD57D" w14:textId="52C989D0" w:rsidR="004D0817" w:rsidRPr="00C2343E" w:rsidRDefault="004D0817" w:rsidP="004D0817">
            <w:pPr>
              <w:snapToGrid w:val="0"/>
              <w:ind w:left="0"/>
              <w:jc w:val="both"/>
              <w:rPr>
                <w:rFonts w:ascii="Bookman Old Style" w:hAnsi="Bookman Old Style" w:cs="Arial"/>
                <w:b/>
                <w:bCs/>
              </w:rPr>
            </w:pPr>
            <w:r w:rsidRPr="00C2343E">
              <w:rPr>
                <w:rFonts w:ascii="Bookman Old Style" w:hAnsi="Bookman Old Style" w:cs="Arial"/>
                <w:b/>
                <w:bCs/>
              </w:rPr>
              <w:t xml:space="preserve">    </w:t>
            </w:r>
            <w:r>
              <w:rPr>
                <w:rFonts w:ascii="Bookman Old Style" w:hAnsi="Bookman Old Style" w:cs="Arial"/>
                <w:b/>
                <w:bCs/>
              </w:rPr>
              <w:t>ANGELA P. ROJAS COMBARIZA</w:t>
            </w:r>
          </w:p>
        </w:tc>
        <w:tc>
          <w:tcPr>
            <w:tcW w:w="4678" w:type="dxa"/>
            <w:hideMark/>
          </w:tcPr>
          <w:p w14:paraId="75BDF768" w14:textId="77777777" w:rsidR="004D0817" w:rsidRPr="00C2343E" w:rsidRDefault="004D0817" w:rsidP="007F238F">
            <w:pPr>
              <w:snapToGrid w:val="0"/>
              <w:ind w:left="0"/>
              <w:jc w:val="both"/>
              <w:rPr>
                <w:rFonts w:ascii="Bookman Old Style" w:hAnsi="Bookman Old Style" w:cs="Arial"/>
                <w:b/>
                <w:bCs/>
              </w:rPr>
            </w:pPr>
            <w:r w:rsidRPr="00C2343E">
              <w:rPr>
                <w:rFonts w:ascii="Bookman Old Style" w:hAnsi="Bookman Old Style" w:cs="Arial"/>
                <w:b/>
                <w:bCs/>
              </w:rPr>
              <w:t xml:space="preserve">CARLOS FERNANDO ERASO CALERO </w:t>
            </w:r>
          </w:p>
        </w:tc>
      </w:tr>
      <w:tr w:rsidR="004D0817" w:rsidRPr="00C2343E" w14:paraId="69C90271" w14:textId="77777777" w:rsidTr="007F238F">
        <w:tc>
          <w:tcPr>
            <w:tcW w:w="4820" w:type="dxa"/>
            <w:hideMark/>
          </w:tcPr>
          <w:p w14:paraId="2DCB8E78" w14:textId="2393A424" w:rsidR="004D0817" w:rsidRPr="00C2343E" w:rsidRDefault="004D0817" w:rsidP="007F238F">
            <w:pPr>
              <w:snapToGrid w:val="0"/>
              <w:jc w:val="both"/>
              <w:rPr>
                <w:rFonts w:ascii="Bookman Old Style" w:hAnsi="Bookman Old Style" w:cs="Arial"/>
              </w:rPr>
            </w:pPr>
            <w:r w:rsidRPr="00C2343E">
              <w:rPr>
                <w:rFonts w:ascii="Bookman Old Style" w:hAnsi="Bookman Old Style" w:cs="Arial"/>
              </w:rPr>
              <w:t xml:space="preserve">    Viceministr</w:t>
            </w:r>
            <w:r>
              <w:rPr>
                <w:rFonts w:ascii="Bookman Old Style" w:hAnsi="Bookman Old Style" w:cs="Arial"/>
              </w:rPr>
              <w:t>a</w:t>
            </w:r>
            <w:r w:rsidRPr="00C2343E">
              <w:rPr>
                <w:rFonts w:ascii="Bookman Old Style" w:hAnsi="Bookman Old Style" w:cs="Arial"/>
              </w:rPr>
              <w:t xml:space="preserve"> de Energía </w:t>
            </w:r>
            <w:r>
              <w:rPr>
                <w:rFonts w:ascii="Bookman Old Style" w:hAnsi="Bookman Old Style" w:cs="Arial"/>
              </w:rPr>
              <w:t>(E)</w:t>
            </w:r>
          </w:p>
          <w:p w14:paraId="752555ED" w14:textId="7A0B45CF" w:rsidR="004D0817" w:rsidRDefault="004D0817" w:rsidP="007F238F">
            <w:pPr>
              <w:snapToGrid w:val="0"/>
              <w:ind w:left="0"/>
              <w:jc w:val="center"/>
              <w:rPr>
                <w:rFonts w:ascii="Bookman Old Style" w:hAnsi="Bookman Old Style" w:cs="Arial"/>
              </w:rPr>
            </w:pPr>
            <w:r w:rsidRPr="00C2343E">
              <w:rPr>
                <w:rFonts w:ascii="Bookman Old Style" w:hAnsi="Bookman Old Style" w:cs="Arial"/>
              </w:rPr>
              <w:t>Delegad</w:t>
            </w:r>
            <w:r>
              <w:rPr>
                <w:rFonts w:ascii="Bookman Old Style" w:hAnsi="Bookman Old Style" w:cs="Arial"/>
              </w:rPr>
              <w:t>a</w:t>
            </w:r>
            <w:r w:rsidRPr="00C2343E">
              <w:rPr>
                <w:rFonts w:ascii="Bookman Old Style" w:hAnsi="Bookman Old Style" w:cs="Arial"/>
              </w:rPr>
              <w:t xml:space="preserve"> del Ministro de Minas y Energía</w:t>
            </w:r>
          </w:p>
          <w:p w14:paraId="345E581D" w14:textId="2057D98D" w:rsidR="004D0817" w:rsidRPr="00C2343E" w:rsidRDefault="004D0817" w:rsidP="004D0817">
            <w:pPr>
              <w:snapToGrid w:val="0"/>
              <w:ind w:left="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President</w:t>
            </w:r>
            <w:r>
              <w:rPr>
                <w:rFonts w:ascii="Bookman Old Style" w:hAnsi="Bookman Old Style" w:cs="Arial"/>
              </w:rPr>
              <w:t>a</w:t>
            </w:r>
          </w:p>
        </w:tc>
        <w:tc>
          <w:tcPr>
            <w:tcW w:w="4678" w:type="dxa"/>
            <w:hideMark/>
          </w:tcPr>
          <w:p w14:paraId="2267237C" w14:textId="77777777" w:rsidR="004D0817" w:rsidRPr="00C2343E" w:rsidRDefault="004D0817" w:rsidP="007F238F">
            <w:pPr>
              <w:snapToGrid w:val="0"/>
              <w:jc w:val="both"/>
              <w:rPr>
                <w:rFonts w:ascii="Bookman Old Style" w:hAnsi="Bookman Old Style" w:cs="Arial"/>
              </w:rPr>
            </w:pPr>
            <w:r w:rsidRPr="00C2343E">
              <w:rPr>
                <w:rFonts w:ascii="Bookman Old Style" w:hAnsi="Bookman Old Style" w:cs="Arial"/>
              </w:rPr>
              <w:t xml:space="preserve">          Director Ejecutivo</w:t>
            </w:r>
          </w:p>
        </w:tc>
      </w:tr>
    </w:tbl>
    <w:p w14:paraId="5F6FA44E" w14:textId="77777777" w:rsidR="004D0817" w:rsidRPr="00F93339" w:rsidRDefault="004D0817" w:rsidP="004D0817">
      <w:pPr>
        <w:jc w:val="center"/>
        <w:rPr>
          <w:rFonts w:ascii="Bookman Old Style" w:hAnsi="Bookman Old Style"/>
        </w:rPr>
      </w:pPr>
    </w:p>
    <w:p w14:paraId="7EE8687A" w14:textId="77777777" w:rsidR="00F813A4" w:rsidRPr="004B3B4B" w:rsidRDefault="00F813A4" w:rsidP="005B1078">
      <w:pPr>
        <w:ind w:left="0"/>
        <w:rPr>
          <w:rFonts w:ascii="Bookman Old Style" w:hAnsi="Bookman Old Style"/>
        </w:rPr>
      </w:pPr>
    </w:p>
    <w:p w14:paraId="34FD1F49" w14:textId="77777777" w:rsidR="00F813A4" w:rsidRPr="004B3B4B" w:rsidRDefault="00F813A4" w:rsidP="005B1078">
      <w:pPr>
        <w:ind w:left="0"/>
        <w:rPr>
          <w:rFonts w:ascii="Bookman Old Style" w:hAnsi="Bookman Old Style"/>
        </w:rPr>
      </w:pPr>
    </w:p>
    <w:p w14:paraId="4A72FCEE" w14:textId="77777777" w:rsidR="00F813A4" w:rsidRPr="004B3B4B" w:rsidRDefault="00F813A4" w:rsidP="005B1078">
      <w:pPr>
        <w:pStyle w:val="Ttulo4"/>
        <w:tabs>
          <w:tab w:val="right" w:pos="9356"/>
        </w:tabs>
        <w:ind w:left="0"/>
        <w:rPr>
          <w:rFonts w:ascii="Bookman Old Style" w:hAnsi="Bookman Old Style"/>
          <w:b w:val="0"/>
          <w:bCs/>
          <w:color w:val="000000" w:themeColor="text1"/>
          <w:sz w:val="24"/>
          <w:szCs w:val="24"/>
          <w:lang w:val="es-ES"/>
        </w:rPr>
      </w:pPr>
    </w:p>
    <w:p w14:paraId="385E0D74" w14:textId="77777777" w:rsidR="00F813A4" w:rsidRPr="004B3B4B" w:rsidRDefault="00F813A4" w:rsidP="005B1078">
      <w:pPr>
        <w:pStyle w:val="Ttulo4"/>
        <w:tabs>
          <w:tab w:val="right" w:pos="9356"/>
        </w:tabs>
        <w:ind w:left="0"/>
        <w:rPr>
          <w:rFonts w:ascii="Bookman Old Style" w:hAnsi="Bookman Old Style"/>
          <w:b w:val="0"/>
          <w:bCs/>
          <w:color w:val="000000" w:themeColor="text1"/>
          <w:sz w:val="24"/>
          <w:szCs w:val="24"/>
          <w:lang w:val="es-ES"/>
        </w:rPr>
      </w:pPr>
    </w:p>
    <w:p w14:paraId="0B36F090" w14:textId="55B77A7C" w:rsidR="00F813A4" w:rsidRPr="004B3B4B" w:rsidRDefault="00F813A4" w:rsidP="005B1078">
      <w:pPr>
        <w:ind w:left="0"/>
        <w:rPr>
          <w:rFonts w:ascii="Bookman Old Style" w:hAnsi="Bookman Old Style"/>
          <w:bCs/>
          <w:snapToGrid w:val="0"/>
          <w:color w:val="000000" w:themeColor="text1"/>
          <w:spacing w:val="20"/>
          <w:lang w:eastAsia="x-none"/>
        </w:rPr>
      </w:pPr>
      <w:r w:rsidRPr="004B3B4B">
        <w:rPr>
          <w:rFonts w:ascii="Bookman Old Style" w:hAnsi="Bookman Old Style"/>
          <w:b/>
          <w:bCs/>
          <w:color w:val="000000" w:themeColor="text1"/>
        </w:rPr>
        <w:br w:type="page"/>
      </w:r>
    </w:p>
    <w:p w14:paraId="7AE2CD65" w14:textId="5BFD4F53" w:rsidR="00F813A4" w:rsidRPr="004B3B4B" w:rsidRDefault="00683F0F" w:rsidP="005B1078">
      <w:pPr>
        <w:pStyle w:val="Ttulo4"/>
        <w:tabs>
          <w:tab w:val="right" w:pos="9356"/>
        </w:tabs>
        <w:ind w:left="0"/>
        <w:rPr>
          <w:rFonts w:ascii="Bookman Old Style" w:hAnsi="Bookman Old Style"/>
          <w:bCs/>
          <w:color w:val="000000" w:themeColor="text1"/>
          <w:sz w:val="24"/>
          <w:szCs w:val="24"/>
          <w:lang w:val="es-ES"/>
        </w:rPr>
      </w:pPr>
      <w:r w:rsidRPr="004B3B4B">
        <w:rPr>
          <w:rFonts w:ascii="Bookman Old Style" w:hAnsi="Bookman Old Style"/>
          <w:bCs/>
          <w:color w:val="000000" w:themeColor="text1"/>
          <w:sz w:val="24"/>
          <w:szCs w:val="24"/>
          <w:lang w:val="es-ES"/>
        </w:rPr>
        <w:lastRenderedPageBreak/>
        <w:t>PROYECTO DE RESOLUCIÓN</w:t>
      </w:r>
    </w:p>
    <w:p w14:paraId="343D051B" w14:textId="77777777" w:rsidR="00683F0F" w:rsidRPr="004B3B4B" w:rsidRDefault="00683F0F" w:rsidP="00683F0F">
      <w:pPr>
        <w:rPr>
          <w:rFonts w:ascii="Bookman Old Style" w:hAnsi="Bookman Old Style"/>
          <w:lang w:eastAsia="x-none"/>
        </w:rPr>
      </w:pPr>
    </w:p>
    <w:p w14:paraId="1FD9132C" w14:textId="77777777" w:rsidR="00683F0F" w:rsidRPr="004B3B4B" w:rsidRDefault="00683F0F" w:rsidP="00EF2641">
      <w:pPr>
        <w:jc w:val="both"/>
        <w:rPr>
          <w:rFonts w:ascii="Bookman Old Style" w:hAnsi="Bookman Old Style"/>
          <w:lang w:eastAsia="x-none"/>
        </w:rPr>
      </w:pPr>
    </w:p>
    <w:p w14:paraId="3A2F0909" w14:textId="70EC96C5" w:rsidR="00D07BE3" w:rsidRPr="004B3B4B" w:rsidRDefault="00D07BE3" w:rsidP="00EF2641">
      <w:pPr>
        <w:tabs>
          <w:tab w:val="left" w:pos="0"/>
        </w:tabs>
        <w:ind w:left="0"/>
        <w:jc w:val="both"/>
        <w:rPr>
          <w:rFonts w:ascii="Bookman Old Style" w:hAnsi="Bookman Old Style"/>
        </w:rPr>
      </w:pPr>
      <w:r w:rsidRPr="004B3B4B">
        <w:rPr>
          <w:rFonts w:ascii="Bookman Old Style" w:hAnsi="Bookman Old Style" w:cs="Arial"/>
          <w:color w:val="000000" w:themeColor="text1"/>
          <w:lang w:eastAsia="es-CO"/>
        </w:rPr>
        <w:t>“Por la cual se dictan disposiciones para la constitución del fideicomiso o patrimonio autónomo que administrará las garantías de cumplimiento de puesta en operación y de cumplimiento de que trata el artículo 30 de la Resolución CREG 124 de 201</w:t>
      </w:r>
      <w:r w:rsidR="00E31CD2" w:rsidRPr="004B3B4B">
        <w:rPr>
          <w:rFonts w:ascii="Bookman Old Style" w:hAnsi="Bookman Old Style" w:cs="Arial"/>
          <w:color w:val="000000" w:themeColor="text1"/>
          <w:lang w:eastAsia="es-CO"/>
        </w:rPr>
        <w:t>3</w:t>
      </w:r>
      <w:r w:rsidR="00BF18EE" w:rsidRPr="004B3B4B">
        <w:rPr>
          <w:rFonts w:ascii="Bookman Old Style" w:hAnsi="Bookman Old Style" w:cs="Arial"/>
          <w:color w:val="000000" w:themeColor="text1"/>
          <w:lang w:eastAsia="es-CO"/>
        </w:rPr>
        <w:t>, modificado por el artículo 3 de la Resolución CREG 032 de 2014</w:t>
      </w:r>
      <w:r w:rsidRPr="004B3B4B">
        <w:rPr>
          <w:rFonts w:ascii="Bookman Old Style" w:hAnsi="Bookman Old Style" w:cs="Arial"/>
          <w:color w:val="000000" w:themeColor="text1"/>
          <w:lang w:eastAsia="es-CO"/>
        </w:rPr>
        <w:t>”.</w:t>
      </w:r>
    </w:p>
    <w:p w14:paraId="7A37F858" w14:textId="56D0D35B" w:rsidR="00CD5DB7" w:rsidRPr="004B3B4B" w:rsidRDefault="00CD5DB7" w:rsidP="005B1078">
      <w:pPr>
        <w:ind w:left="0"/>
        <w:jc w:val="center"/>
        <w:rPr>
          <w:rFonts w:ascii="Bookman Old Style" w:hAnsi="Bookman Old Style" w:cs="Arial"/>
          <w:b/>
          <w:bCs/>
          <w:color w:val="000000" w:themeColor="text1"/>
          <w:lang w:eastAsia="es-CO"/>
        </w:rPr>
      </w:pPr>
    </w:p>
    <w:p w14:paraId="503F2F85" w14:textId="77777777" w:rsidR="00CD5DB7" w:rsidRPr="004B3B4B" w:rsidRDefault="00CD5DB7" w:rsidP="005B1078">
      <w:pPr>
        <w:ind w:left="0"/>
        <w:jc w:val="center"/>
        <w:rPr>
          <w:rFonts w:ascii="Bookman Old Style" w:hAnsi="Bookman Old Style" w:cs="Arial"/>
          <w:b/>
          <w:bCs/>
          <w:color w:val="000000" w:themeColor="text1"/>
          <w:lang w:eastAsia="es-CO"/>
        </w:rPr>
      </w:pPr>
    </w:p>
    <w:p w14:paraId="230EDC5B" w14:textId="77777777" w:rsidR="00CD5DB7" w:rsidRPr="004B3B4B" w:rsidRDefault="00CD5DB7" w:rsidP="005B1078">
      <w:pPr>
        <w:ind w:left="0"/>
        <w:jc w:val="center"/>
        <w:rPr>
          <w:rFonts w:ascii="Bookman Old Style" w:hAnsi="Bookman Old Style" w:cs="Arial"/>
          <w:color w:val="000000" w:themeColor="text1"/>
          <w:lang w:eastAsia="es-CO"/>
        </w:rPr>
      </w:pPr>
      <w:r w:rsidRPr="004B3B4B">
        <w:rPr>
          <w:rFonts w:ascii="Bookman Old Style" w:hAnsi="Bookman Old Style" w:cs="Arial"/>
          <w:b/>
          <w:bCs/>
          <w:color w:val="000000" w:themeColor="text1"/>
          <w:lang w:eastAsia="es-CO"/>
        </w:rPr>
        <w:t>LA COMISIÓN DE REGULACIÓN DE ENERGÍA Y GAS</w:t>
      </w:r>
    </w:p>
    <w:p w14:paraId="0C285D23" w14:textId="77777777" w:rsidR="00CD5DB7" w:rsidRPr="004B3B4B" w:rsidRDefault="00CD5DB7" w:rsidP="005B1078">
      <w:pPr>
        <w:ind w:left="0"/>
        <w:rPr>
          <w:rFonts w:ascii="Bookman Old Style" w:hAnsi="Bookman Old Style" w:cs="Arial"/>
          <w:color w:val="000000" w:themeColor="text1"/>
          <w:lang w:eastAsia="es-CO"/>
        </w:rPr>
      </w:pPr>
    </w:p>
    <w:p w14:paraId="0389C589" w14:textId="77777777" w:rsidR="00CD5DB7" w:rsidRPr="004B3B4B" w:rsidRDefault="00CD5DB7" w:rsidP="005B1078">
      <w:pPr>
        <w:ind w:left="0"/>
        <w:rPr>
          <w:rFonts w:ascii="Bookman Old Style" w:hAnsi="Bookman Old Style" w:cs="Arial"/>
          <w:color w:val="000000" w:themeColor="text1"/>
          <w:lang w:eastAsia="es-CO"/>
        </w:rPr>
      </w:pPr>
    </w:p>
    <w:p w14:paraId="576BC6A0" w14:textId="2A11EEA7" w:rsidR="00CD5DB7" w:rsidRPr="004B3B4B" w:rsidRDefault="00CD5DB7" w:rsidP="005B1078">
      <w:pPr>
        <w:ind w:left="0"/>
        <w:jc w:val="center"/>
        <w:rPr>
          <w:rFonts w:ascii="Bookman Old Style" w:hAnsi="Bookman Old Style" w:cs="Arial"/>
          <w:color w:val="000000" w:themeColor="text1"/>
          <w:lang w:eastAsia="es-CO"/>
        </w:rPr>
      </w:pPr>
      <w:r w:rsidRPr="004B3B4B">
        <w:rPr>
          <w:rFonts w:ascii="Bookman Old Style" w:hAnsi="Bookman Old Style" w:cs="Arial"/>
          <w:color w:val="000000" w:themeColor="text1"/>
          <w:lang w:eastAsia="es-CO"/>
        </w:rPr>
        <w:t xml:space="preserve">En ejercicio de sus </w:t>
      </w:r>
      <w:r w:rsidR="006E24AF" w:rsidRPr="004B3B4B">
        <w:rPr>
          <w:rFonts w:ascii="Bookman Old Style" w:hAnsi="Bookman Old Style" w:cs="Arial"/>
          <w:color w:val="000000" w:themeColor="text1"/>
          <w:lang w:eastAsia="es-CO"/>
        </w:rPr>
        <w:t xml:space="preserve">facultades </w:t>
      </w:r>
      <w:r w:rsidRPr="004B3B4B">
        <w:rPr>
          <w:rFonts w:ascii="Bookman Old Style" w:hAnsi="Bookman Old Style" w:cs="Arial"/>
          <w:color w:val="000000" w:themeColor="text1"/>
          <w:lang w:eastAsia="es-CO"/>
        </w:rPr>
        <w:t xml:space="preserve">legales, en especial </w:t>
      </w:r>
      <w:r w:rsidR="00F72BA7" w:rsidRPr="004B3B4B">
        <w:rPr>
          <w:rFonts w:ascii="Bookman Old Style" w:hAnsi="Bookman Old Style" w:cs="Arial"/>
          <w:color w:val="000000" w:themeColor="text1"/>
          <w:lang w:eastAsia="es-CO"/>
        </w:rPr>
        <w:t xml:space="preserve">de </w:t>
      </w:r>
      <w:r w:rsidRPr="004B3B4B">
        <w:rPr>
          <w:rFonts w:ascii="Bookman Old Style" w:hAnsi="Bookman Old Style" w:cs="Arial"/>
          <w:color w:val="000000" w:themeColor="text1"/>
          <w:lang w:eastAsia="es-CO"/>
        </w:rPr>
        <w:t xml:space="preserve">las conferidas por la Ley 142 de 1994, </w:t>
      </w:r>
      <w:r w:rsidR="0019169B" w:rsidRPr="004B3B4B">
        <w:rPr>
          <w:rFonts w:ascii="Bookman Old Style" w:hAnsi="Bookman Old Style" w:cs="Arial"/>
          <w:color w:val="000000" w:themeColor="text1"/>
          <w:lang w:eastAsia="es-CO"/>
        </w:rPr>
        <w:t xml:space="preserve">y </w:t>
      </w:r>
      <w:r w:rsidR="009608BF" w:rsidRPr="004B3B4B">
        <w:rPr>
          <w:rFonts w:ascii="Bookman Old Style" w:hAnsi="Bookman Old Style" w:cs="Arial"/>
          <w:color w:val="000000" w:themeColor="text1"/>
          <w:lang w:eastAsia="es-CO"/>
        </w:rPr>
        <w:t>en desarrollo de</w:t>
      </w:r>
      <w:r w:rsidR="00E6570C" w:rsidRPr="004B3B4B">
        <w:rPr>
          <w:rFonts w:ascii="Bookman Old Style" w:hAnsi="Bookman Old Style" w:cs="Arial"/>
          <w:color w:val="000000" w:themeColor="text1"/>
          <w:lang w:eastAsia="es-CO"/>
        </w:rPr>
        <w:t>l Decreto</w:t>
      </w:r>
      <w:r w:rsidR="00813C04" w:rsidRPr="004B3B4B">
        <w:rPr>
          <w:rFonts w:ascii="Bookman Old Style" w:hAnsi="Bookman Old Style" w:cs="Arial"/>
          <w:color w:val="000000" w:themeColor="text1"/>
          <w:lang w:eastAsia="es-CO"/>
        </w:rPr>
        <w:t xml:space="preserve"> </w:t>
      </w:r>
      <w:r w:rsidRPr="004B3B4B">
        <w:rPr>
          <w:rFonts w:ascii="Bookman Old Style" w:hAnsi="Bookman Old Style" w:cs="Arial"/>
          <w:color w:val="000000" w:themeColor="text1"/>
          <w:lang w:eastAsia="es-CO"/>
        </w:rPr>
        <w:t>2253 de 1994, y</w:t>
      </w:r>
    </w:p>
    <w:p w14:paraId="5CAFC842" w14:textId="77777777" w:rsidR="00CD5DB7" w:rsidRPr="004B3B4B" w:rsidRDefault="00CD5DB7" w:rsidP="005B1078">
      <w:pPr>
        <w:ind w:left="0"/>
        <w:rPr>
          <w:rFonts w:ascii="Bookman Old Style" w:hAnsi="Bookman Old Style" w:cs="Arial"/>
          <w:color w:val="000000" w:themeColor="text1"/>
          <w:lang w:eastAsia="es-CO"/>
        </w:rPr>
      </w:pPr>
    </w:p>
    <w:p w14:paraId="5EA2678A" w14:textId="77777777" w:rsidR="00CD5DB7" w:rsidRPr="004B3B4B" w:rsidRDefault="00CD5DB7" w:rsidP="005B1078">
      <w:pPr>
        <w:ind w:left="0"/>
        <w:rPr>
          <w:rFonts w:ascii="Bookman Old Style" w:hAnsi="Bookman Old Style" w:cs="Arial"/>
          <w:color w:val="000000" w:themeColor="text1"/>
          <w:lang w:eastAsia="es-CO"/>
        </w:rPr>
      </w:pPr>
    </w:p>
    <w:p w14:paraId="176AF1A0" w14:textId="77777777" w:rsidR="00CD5DB7" w:rsidRPr="004B3B4B" w:rsidRDefault="00CD5DB7" w:rsidP="005B1078">
      <w:pPr>
        <w:ind w:left="0"/>
        <w:jc w:val="center"/>
        <w:rPr>
          <w:rFonts w:ascii="Bookman Old Style" w:hAnsi="Bookman Old Style" w:cs="Arial"/>
          <w:b/>
          <w:bCs/>
          <w:color w:val="000000" w:themeColor="text1"/>
          <w:lang w:val="pt-BR" w:eastAsia="es-CO"/>
        </w:rPr>
      </w:pPr>
      <w:r w:rsidRPr="004B3B4B">
        <w:rPr>
          <w:rFonts w:ascii="Bookman Old Style" w:hAnsi="Bookman Old Style" w:cs="Arial"/>
          <w:b/>
          <w:bCs/>
          <w:color w:val="000000" w:themeColor="text1"/>
          <w:lang w:val="pt-BR" w:eastAsia="es-CO"/>
        </w:rPr>
        <w:t>C O N S I D E R A N D O</w:t>
      </w:r>
      <w:proofErr w:type="gramStart"/>
      <w:r w:rsidR="00F27F24" w:rsidRPr="004B3B4B">
        <w:rPr>
          <w:rFonts w:ascii="Bookman Old Style" w:hAnsi="Bookman Old Style" w:cs="Arial"/>
          <w:b/>
          <w:bCs/>
          <w:color w:val="000000" w:themeColor="text1"/>
          <w:lang w:val="pt-BR" w:eastAsia="es-CO"/>
        </w:rPr>
        <w:t xml:space="preserve">  </w:t>
      </w:r>
      <w:proofErr w:type="gramEnd"/>
      <w:r w:rsidR="00F27F24" w:rsidRPr="004B3B4B">
        <w:rPr>
          <w:rFonts w:ascii="Bookman Old Style" w:hAnsi="Bookman Old Style" w:cs="Arial"/>
          <w:b/>
          <w:bCs/>
          <w:color w:val="000000" w:themeColor="text1"/>
          <w:lang w:val="pt-BR" w:eastAsia="es-CO"/>
        </w:rPr>
        <w:t>Q U E</w:t>
      </w:r>
      <w:r w:rsidRPr="004B3B4B">
        <w:rPr>
          <w:rFonts w:ascii="Bookman Old Style" w:hAnsi="Bookman Old Style" w:cs="Arial"/>
          <w:b/>
          <w:bCs/>
          <w:color w:val="000000" w:themeColor="text1"/>
          <w:lang w:val="pt-BR" w:eastAsia="es-CO"/>
        </w:rPr>
        <w:t>:</w:t>
      </w:r>
    </w:p>
    <w:p w14:paraId="7CC44E74" w14:textId="77777777" w:rsidR="00CD5DB7" w:rsidRPr="004B3B4B" w:rsidRDefault="00CD5DB7" w:rsidP="005B1078">
      <w:pPr>
        <w:ind w:left="0"/>
        <w:jc w:val="center"/>
        <w:rPr>
          <w:rFonts w:ascii="Bookman Old Style" w:hAnsi="Bookman Old Style" w:cs="Arial"/>
          <w:color w:val="000000" w:themeColor="text1"/>
          <w:lang w:val="pt-BR" w:eastAsia="es-CO"/>
        </w:rPr>
      </w:pPr>
    </w:p>
    <w:p w14:paraId="1202B559" w14:textId="77777777" w:rsidR="00CD5DB7" w:rsidRPr="004B3B4B" w:rsidRDefault="00CD5DB7" w:rsidP="005B1078">
      <w:pPr>
        <w:ind w:left="0"/>
        <w:jc w:val="both"/>
        <w:rPr>
          <w:rFonts w:ascii="Bookman Old Style" w:hAnsi="Bookman Old Style" w:cs="Arial"/>
          <w:color w:val="000000" w:themeColor="text1"/>
          <w:lang w:val="pt-BR"/>
        </w:rPr>
      </w:pPr>
    </w:p>
    <w:p w14:paraId="3D984F5F"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De acuerdo con lo establecido en el literal a) del numeral 74.1 del artículo 74 de la Ley 142 de 1994, es función de la Comisión de Regulación de Energía y Gas, CREG, regular el ejercicio de las actividades de los sectores de energía y gas combustible para asegurar la disponibilidad de una oferta energética eficiente, propiciar la competencia en el sector de minas y energía, proponer la adopción de las medidas necesarias para impedir abusos de posición dominante y buscar la liberación gradual de los mercados hacia la libre competencia.</w:t>
      </w:r>
    </w:p>
    <w:p w14:paraId="1729B2E0" w14:textId="77777777" w:rsidR="00316E0F" w:rsidRPr="007F1878" w:rsidRDefault="00316E0F" w:rsidP="00316E0F">
      <w:pPr>
        <w:ind w:left="0"/>
        <w:jc w:val="both"/>
        <w:rPr>
          <w:rFonts w:ascii="Bookman Old Style" w:hAnsi="Bookman Old Style" w:cs="Arial"/>
          <w:color w:val="000000" w:themeColor="text1"/>
        </w:rPr>
      </w:pPr>
    </w:p>
    <w:p w14:paraId="35BFFA2A"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De acuerdo con lo establecido en el literal c) del numeral 74.1 del artículo 74 de la Ley 142 de 1994, es función de la CREG establecer el reglamento de operación para regular el funcionamiento del mercado mayorista de energía y gas combustible.</w:t>
      </w:r>
    </w:p>
    <w:p w14:paraId="20ECFF57" w14:textId="77777777" w:rsidR="00316E0F" w:rsidRPr="007F1878" w:rsidRDefault="00316E0F" w:rsidP="00316E0F">
      <w:pPr>
        <w:ind w:left="0"/>
        <w:jc w:val="both"/>
        <w:rPr>
          <w:rFonts w:ascii="Bookman Old Style" w:hAnsi="Bookman Old Style" w:cs="Arial"/>
          <w:color w:val="000000" w:themeColor="text1"/>
        </w:rPr>
      </w:pPr>
    </w:p>
    <w:p w14:paraId="3F0C7D87" w14:textId="77777777" w:rsidR="00316E0F"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Conforme al artículo 4 del Decreto 1260 de 2013 corresponde a la CREG establecer la metodología para seleccionar y remunerar los servicios del gestor del mercado de gas natural, asegurando la neutralidad, la transparencia, la objetividad y la total independencia del prestador de los mismos, así como la experiencia comprobada en las actividades a desarrollar. También corresponde a la CREG definir el alcance de los servicios a cargo del gestor del mercado de gas natural, responsable de facilitar las negociaciones y de recopilar y publicar información operativa y transaccional del mercado de gas natural.</w:t>
      </w:r>
    </w:p>
    <w:p w14:paraId="5D388479" w14:textId="77777777" w:rsidR="00316E0F" w:rsidRPr="007F1878" w:rsidRDefault="00316E0F" w:rsidP="00316E0F">
      <w:pPr>
        <w:ind w:left="0"/>
        <w:jc w:val="both"/>
        <w:rPr>
          <w:rFonts w:ascii="Bookman Old Style" w:hAnsi="Bookman Old Style" w:cs="Arial"/>
          <w:color w:val="000000" w:themeColor="text1"/>
        </w:rPr>
      </w:pPr>
    </w:p>
    <w:p w14:paraId="5C3F0D64"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 xml:space="preserve">El artículo 2 del Decreto 1710 de 2013 modificó el artículo 20 del Decreto 2100 de 2011 y dispuso que </w:t>
      </w:r>
      <w:r w:rsidRPr="007F1878">
        <w:rPr>
          <w:rFonts w:ascii="Bookman Old Style" w:hAnsi="Bookman Old Style" w:cs="Arial"/>
          <w:i/>
          <w:color w:val="000000" w:themeColor="text1"/>
        </w:rPr>
        <w:t xml:space="preserve">“(l)a CREG, en desarrollo de su función de expedir el reglamento de operación del mercado mayorista de gas natural de que trata el literal c) del artículo 74.1 de la Ley 142 de 1994, establecerá el alcance de los </w:t>
      </w:r>
      <w:r w:rsidRPr="007F1878">
        <w:rPr>
          <w:rFonts w:ascii="Bookman Old Style" w:hAnsi="Bookman Old Style" w:cs="Arial"/>
          <w:i/>
          <w:color w:val="000000" w:themeColor="text1"/>
        </w:rPr>
        <w:lastRenderedPageBreak/>
        <w:t>servicios que prestará un gestor de los mecanismos de comercialización y de la información, las reglas para la selección de este gestor y las condiciones de prestación de sus servicios. Estas reglas y condiciones deberán asegurar la neutralidad, transparencia, objetividad e independencia del gestor, así como su experiencia comprobada en las actividades a desarrollar. Así mismo, la CREG determinará la forma y remuneración de los servicios del gestor”</w:t>
      </w:r>
      <w:r w:rsidRPr="007F1878">
        <w:rPr>
          <w:rFonts w:ascii="Bookman Old Style" w:hAnsi="Bookman Old Style" w:cs="Arial"/>
          <w:color w:val="000000" w:themeColor="text1"/>
        </w:rPr>
        <w:t xml:space="preserve">. También dispuso que </w:t>
      </w:r>
      <w:r w:rsidRPr="007F1878">
        <w:rPr>
          <w:rFonts w:ascii="Bookman Old Style" w:hAnsi="Bookman Old Style" w:cs="Arial"/>
          <w:i/>
          <w:color w:val="000000" w:themeColor="text1"/>
        </w:rPr>
        <w:t>“(l</w:t>
      </w:r>
      <w:proofErr w:type="gramStart"/>
      <w:r w:rsidRPr="007F1878">
        <w:rPr>
          <w:rFonts w:ascii="Bookman Old Style" w:hAnsi="Bookman Old Style" w:cs="Arial"/>
          <w:i/>
          <w:color w:val="000000" w:themeColor="text1"/>
        </w:rPr>
        <w:t>)a</w:t>
      </w:r>
      <w:proofErr w:type="gramEnd"/>
      <w:r w:rsidRPr="007F1878">
        <w:rPr>
          <w:rFonts w:ascii="Bookman Old Style" w:hAnsi="Bookman Old Style" w:cs="Arial"/>
          <w:i/>
          <w:color w:val="000000" w:themeColor="text1"/>
        </w:rPr>
        <w:t xml:space="preserve"> CREG seleccionará al gestor del mercado mediante un concurso sujeto a los principios de transparencia y selección objetiva que garanticen la libre concurrencia”</w:t>
      </w:r>
      <w:r w:rsidRPr="007F1878">
        <w:rPr>
          <w:rFonts w:ascii="Bookman Old Style" w:hAnsi="Bookman Old Style" w:cs="Arial"/>
          <w:color w:val="000000" w:themeColor="text1"/>
        </w:rPr>
        <w:t>.</w:t>
      </w:r>
    </w:p>
    <w:p w14:paraId="79F1A3B2" w14:textId="77777777" w:rsidR="00316E0F" w:rsidRPr="007F1878" w:rsidRDefault="00316E0F" w:rsidP="00316E0F">
      <w:pPr>
        <w:ind w:left="0"/>
        <w:jc w:val="both"/>
        <w:rPr>
          <w:rFonts w:ascii="Bookman Old Style" w:hAnsi="Bookman Old Style" w:cs="Arial"/>
          <w:color w:val="000000" w:themeColor="text1"/>
        </w:rPr>
      </w:pPr>
    </w:p>
    <w:p w14:paraId="4621D2DC"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La CREG expidió disposiciones relacionadas con aspectos comerciales del mercado mayorista de gas natural, que hacen parte del reglamento de operación de gas natural, mediante la Resolución CREG 089 de 2013.</w:t>
      </w:r>
    </w:p>
    <w:p w14:paraId="1AA30AAE" w14:textId="77777777" w:rsidR="00316E0F" w:rsidRPr="007F1878" w:rsidRDefault="00316E0F" w:rsidP="00316E0F">
      <w:pPr>
        <w:ind w:left="0"/>
        <w:jc w:val="both"/>
        <w:rPr>
          <w:rFonts w:ascii="Bookman Old Style" w:hAnsi="Bookman Old Style" w:cs="Arial"/>
          <w:color w:val="000000" w:themeColor="text1"/>
        </w:rPr>
      </w:pPr>
    </w:p>
    <w:p w14:paraId="7BDD76FF" w14:textId="77777777" w:rsidR="00316E0F" w:rsidRPr="007F1878" w:rsidRDefault="00316E0F" w:rsidP="00316E0F">
      <w:pPr>
        <w:ind w:left="0"/>
        <w:jc w:val="both"/>
        <w:rPr>
          <w:rFonts w:ascii="Bookman Old Style" w:hAnsi="Bookman Old Style" w:cs="Arial"/>
          <w:color w:val="000000" w:themeColor="text1"/>
        </w:rPr>
      </w:pPr>
      <w:r w:rsidRPr="007F1878">
        <w:rPr>
          <w:rFonts w:ascii="Bookman Old Style" w:hAnsi="Bookman Old Style" w:cs="Arial"/>
          <w:color w:val="000000" w:themeColor="text1"/>
        </w:rPr>
        <w:t xml:space="preserve">El Título II de la Resolución CREG 089 de 2013 establece servicios a cargo del gestor del mercado, así como aspectos relativos a su selección y remuneración. En cuanto a la selección, el artículo 7 de la Resolución CREG 089 de 2013 dispuso que </w:t>
      </w:r>
      <w:r w:rsidRPr="007F1878">
        <w:rPr>
          <w:rFonts w:ascii="Bookman Old Style" w:hAnsi="Bookman Old Style" w:cs="Arial"/>
          <w:i/>
          <w:color w:val="000000" w:themeColor="text1"/>
        </w:rPr>
        <w:t>“(c</w:t>
      </w:r>
      <w:proofErr w:type="gramStart"/>
      <w:r w:rsidRPr="007F1878">
        <w:rPr>
          <w:rFonts w:ascii="Bookman Old Style" w:hAnsi="Bookman Old Style" w:cs="Arial"/>
          <w:i/>
          <w:color w:val="000000" w:themeColor="text1"/>
        </w:rPr>
        <w:t>)</w:t>
      </w:r>
      <w:proofErr w:type="spellStart"/>
      <w:r w:rsidRPr="007F1878">
        <w:rPr>
          <w:rFonts w:ascii="Bookman Old Style" w:hAnsi="Bookman Old Style" w:cs="Arial"/>
          <w:i/>
          <w:color w:val="000000" w:themeColor="text1"/>
        </w:rPr>
        <w:t>on</w:t>
      </w:r>
      <w:proofErr w:type="spellEnd"/>
      <w:proofErr w:type="gramEnd"/>
      <w:r w:rsidRPr="007F1878">
        <w:rPr>
          <w:rFonts w:ascii="Bookman Old Style" w:hAnsi="Bookman Old Style" w:cs="Arial"/>
          <w:i/>
          <w:color w:val="000000" w:themeColor="text1"/>
        </w:rPr>
        <w:t xml:space="preserve"> la periodicidad que determine la CREG, ésta adelantará un concurso público para seleccionar al gestor del mercado que prestará los servicios establecidos en el Artículo 6 de esta Resolución. Dicho concurso estará sujeto a los principios de transparencia y selección objetiva y a la metodología definida por la CREG en resolución aparte”</w:t>
      </w:r>
      <w:r w:rsidRPr="007F1878">
        <w:rPr>
          <w:rFonts w:ascii="Bookman Old Style" w:hAnsi="Bookman Old Style" w:cs="Arial"/>
          <w:color w:val="000000" w:themeColor="text1"/>
        </w:rPr>
        <w:t>.</w:t>
      </w:r>
    </w:p>
    <w:p w14:paraId="7A2B00E8" w14:textId="77777777" w:rsidR="00316E0F" w:rsidRPr="007F1878" w:rsidRDefault="00316E0F" w:rsidP="00316E0F">
      <w:pPr>
        <w:ind w:left="0"/>
        <w:jc w:val="both"/>
        <w:rPr>
          <w:rFonts w:ascii="Bookman Old Style" w:hAnsi="Bookman Old Style" w:cs="Arial"/>
          <w:color w:val="000000" w:themeColor="text1"/>
        </w:rPr>
      </w:pPr>
    </w:p>
    <w:p w14:paraId="5ECEB040" w14:textId="77777777" w:rsidR="00316E0F" w:rsidRPr="002D3C72" w:rsidRDefault="00316E0F" w:rsidP="00316E0F">
      <w:pPr>
        <w:ind w:left="0"/>
        <w:jc w:val="both"/>
        <w:rPr>
          <w:rFonts w:ascii="Bookman Old Style" w:hAnsi="Bookman Old Style" w:cs="Arial"/>
          <w:b/>
          <w:bCs/>
          <w:color w:val="000000" w:themeColor="text1"/>
          <w:lang w:eastAsia="es-CO"/>
        </w:rPr>
      </w:pPr>
      <w:r w:rsidRPr="002D3C72">
        <w:rPr>
          <w:rFonts w:ascii="Bookman Old Style" w:hAnsi="Bookman Old Style" w:cs="Arial"/>
        </w:rPr>
        <w:t>La CREG expidió la Resolución 124 de 2013, p</w:t>
      </w:r>
      <w:r w:rsidRPr="002D3C72">
        <w:rPr>
          <w:rFonts w:ascii="Bookman Old Style" w:hAnsi="Bookman Old Style" w:cs="Arial"/>
          <w:color w:val="000000" w:themeColor="text1"/>
          <w:lang w:eastAsia="es-CO"/>
        </w:rPr>
        <w:t xml:space="preserve">or la cual se establecen las </w:t>
      </w:r>
      <w:r w:rsidRPr="002D3C72">
        <w:rPr>
          <w:rFonts w:ascii="Bookman Old Style" w:hAnsi="Bookman Old Style" w:cs="Arial"/>
        </w:rPr>
        <w:t>reglas para la selección del gestor del mercado de gas natural, las condiciones</w:t>
      </w:r>
      <w:r w:rsidRPr="002D3C72">
        <w:rPr>
          <w:rFonts w:ascii="Bookman Old Style" w:hAnsi="Bookman Old Style" w:cs="Arial"/>
          <w:color w:val="000000" w:themeColor="text1"/>
          <w:lang w:eastAsia="es-CO"/>
        </w:rPr>
        <w:t xml:space="preserve"> en que prestará sus servicios y su remuneración, como parte del reglamento de operación de gas natural.</w:t>
      </w:r>
    </w:p>
    <w:p w14:paraId="48A1F12D" w14:textId="77777777" w:rsidR="00CE03C4" w:rsidRPr="002D3C72" w:rsidRDefault="00CE03C4" w:rsidP="00CE03C4">
      <w:pPr>
        <w:ind w:left="0"/>
        <w:jc w:val="both"/>
        <w:rPr>
          <w:rFonts w:ascii="Bookman Old Style" w:hAnsi="Bookman Old Style" w:cs="Arial"/>
          <w:color w:val="000000" w:themeColor="text1"/>
        </w:rPr>
      </w:pPr>
    </w:p>
    <w:p w14:paraId="397A7AE2" w14:textId="3E911FF0" w:rsidR="00D07BE3" w:rsidRPr="004B3B4B" w:rsidRDefault="00D07BE3" w:rsidP="00CE03C4">
      <w:pPr>
        <w:ind w:left="0"/>
        <w:jc w:val="both"/>
        <w:rPr>
          <w:rFonts w:ascii="Bookman Old Style" w:hAnsi="Bookman Old Style" w:cs="Arial"/>
          <w:color w:val="000000" w:themeColor="text1"/>
        </w:rPr>
      </w:pPr>
      <w:r w:rsidRPr="004B3B4B">
        <w:rPr>
          <w:rFonts w:ascii="Bookman Old Style" w:hAnsi="Bookman Old Style" w:cs="Arial"/>
          <w:color w:val="000000" w:themeColor="text1"/>
        </w:rPr>
        <w:t>El artículo 30 de la Resolución CREG 124 de 2013, modificado por el artículo 3 de</w:t>
      </w:r>
      <w:r w:rsidR="00867907" w:rsidRPr="004B3B4B">
        <w:rPr>
          <w:rFonts w:ascii="Bookman Old Style" w:hAnsi="Bookman Old Style" w:cs="Arial"/>
          <w:color w:val="000000" w:themeColor="text1"/>
        </w:rPr>
        <w:t xml:space="preserve"> la Resolución CREG 032 de 2014, estableció el requerimiento de tres (3) garantías en el proceso de selección y puesta en operación del ge</w:t>
      </w:r>
      <w:r w:rsidR="00A63936" w:rsidRPr="004B3B4B">
        <w:rPr>
          <w:rFonts w:ascii="Bookman Old Style" w:hAnsi="Bookman Old Style" w:cs="Arial"/>
          <w:color w:val="000000" w:themeColor="text1"/>
        </w:rPr>
        <w:t>stor del mercado de gas natural: i) garantía de seriedad de la propuesta</w:t>
      </w:r>
      <w:r w:rsidR="002D3C72">
        <w:rPr>
          <w:rFonts w:ascii="Bookman Old Style" w:hAnsi="Bookman Old Style" w:cs="Arial"/>
          <w:color w:val="000000" w:themeColor="text1"/>
        </w:rPr>
        <w:t>;</w:t>
      </w:r>
      <w:r w:rsidR="00A63936" w:rsidRPr="004B3B4B">
        <w:rPr>
          <w:rFonts w:ascii="Bookman Old Style" w:hAnsi="Bookman Old Style" w:cs="Arial"/>
          <w:color w:val="000000" w:themeColor="text1"/>
        </w:rPr>
        <w:t xml:space="preserve"> ii) garantía de cumplimiento de puesta en operación</w:t>
      </w:r>
      <w:r w:rsidR="002D3C72">
        <w:rPr>
          <w:rFonts w:ascii="Bookman Old Style" w:hAnsi="Bookman Old Style" w:cs="Arial"/>
          <w:color w:val="000000" w:themeColor="text1"/>
        </w:rPr>
        <w:t>;</w:t>
      </w:r>
      <w:r w:rsidR="00A63936" w:rsidRPr="004B3B4B">
        <w:rPr>
          <w:rFonts w:ascii="Bookman Old Style" w:hAnsi="Bookman Old Style" w:cs="Arial"/>
          <w:color w:val="000000" w:themeColor="text1"/>
        </w:rPr>
        <w:t xml:space="preserve"> y iii) garantía de cumplimiento.</w:t>
      </w:r>
    </w:p>
    <w:p w14:paraId="7FBFD58E" w14:textId="77777777" w:rsidR="00A63936" w:rsidRPr="004B3B4B" w:rsidRDefault="00A63936" w:rsidP="00CE03C4">
      <w:pPr>
        <w:ind w:left="0"/>
        <w:jc w:val="both"/>
        <w:rPr>
          <w:rFonts w:ascii="Bookman Old Style" w:hAnsi="Bookman Old Style" w:cs="Arial"/>
          <w:color w:val="000000" w:themeColor="text1"/>
        </w:rPr>
      </w:pPr>
    </w:p>
    <w:p w14:paraId="2719D247" w14:textId="28BD7034" w:rsidR="00A63936" w:rsidRPr="004B3B4B" w:rsidRDefault="00A63936" w:rsidP="00A63936">
      <w:pPr>
        <w:ind w:left="0"/>
        <w:jc w:val="both"/>
        <w:rPr>
          <w:rFonts w:ascii="Bookman Old Style" w:hAnsi="Bookman Old Style" w:cs="Arial"/>
          <w:color w:val="000000" w:themeColor="text1"/>
        </w:rPr>
      </w:pPr>
      <w:r w:rsidRPr="004B3B4B">
        <w:rPr>
          <w:rFonts w:ascii="Bookman Old Style" w:hAnsi="Bookman Old Style" w:cs="Arial"/>
          <w:color w:val="000000" w:themeColor="text1"/>
        </w:rPr>
        <w:t xml:space="preserve">Para el caso de la garantía de seriedad de la propuesta, en el parágrafo 1 del </w:t>
      </w:r>
      <w:r w:rsidR="00821C87">
        <w:rPr>
          <w:rFonts w:ascii="Bookman Old Style" w:hAnsi="Bookman Old Style" w:cs="Arial"/>
          <w:color w:val="000000" w:themeColor="text1"/>
        </w:rPr>
        <w:t>mencionado</w:t>
      </w:r>
      <w:r w:rsidRPr="004B3B4B">
        <w:rPr>
          <w:rFonts w:ascii="Bookman Old Style" w:hAnsi="Bookman Old Style" w:cs="Arial"/>
          <w:color w:val="000000" w:themeColor="text1"/>
        </w:rPr>
        <w:t xml:space="preserve"> artículo se estableció </w:t>
      </w:r>
      <w:r w:rsidR="00493F7C" w:rsidRPr="004B3B4B">
        <w:rPr>
          <w:rFonts w:ascii="Bookman Old Style" w:hAnsi="Bookman Old Style" w:cs="Arial"/>
          <w:color w:val="000000" w:themeColor="text1"/>
        </w:rPr>
        <w:t xml:space="preserve">que </w:t>
      </w:r>
      <w:r w:rsidRPr="004B3B4B">
        <w:rPr>
          <w:rFonts w:ascii="Bookman Old Style" w:hAnsi="Bookman Old Style" w:cs="Arial"/>
          <w:color w:val="000000" w:themeColor="text1"/>
        </w:rPr>
        <w:t>la CREG, por intermedio del patrimonio autóno</w:t>
      </w:r>
      <w:r w:rsidR="009C67B3" w:rsidRPr="004B3B4B">
        <w:rPr>
          <w:rFonts w:ascii="Bookman Old Style" w:hAnsi="Bookman Old Style" w:cs="Arial"/>
          <w:color w:val="000000" w:themeColor="text1"/>
        </w:rPr>
        <w:t>mo Fideicomiso CREG, constituiría</w:t>
      </w:r>
      <w:r w:rsidRPr="004B3B4B">
        <w:rPr>
          <w:rFonts w:ascii="Bookman Old Style" w:hAnsi="Bookman Old Style" w:cs="Arial"/>
          <w:color w:val="000000" w:themeColor="text1"/>
        </w:rPr>
        <w:t xml:space="preserve"> un fideicomiso o patrimonio autónomo para efectos de que una </w:t>
      </w:r>
      <w:r w:rsidR="00493F7C" w:rsidRPr="004B3B4B">
        <w:rPr>
          <w:rFonts w:ascii="Bookman Old Style" w:hAnsi="Bookman Old Style" w:cs="Arial"/>
          <w:color w:val="000000" w:themeColor="text1"/>
        </w:rPr>
        <w:t>fiduciaria recibiera</w:t>
      </w:r>
      <w:r w:rsidRPr="004B3B4B">
        <w:rPr>
          <w:rFonts w:ascii="Bookman Old Style" w:hAnsi="Bookman Old Style" w:cs="Arial"/>
          <w:color w:val="000000" w:themeColor="text1"/>
        </w:rPr>
        <w:t>, apr</w:t>
      </w:r>
      <w:r w:rsidR="00493F7C" w:rsidRPr="004B3B4B">
        <w:rPr>
          <w:rFonts w:ascii="Bookman Old Style" w:hAnsi="Bookman Old Style" w:cs="Arial"/>
          <w:color w:val="000000" w:themeColor="text1"/>
        </w:rPr>
        <w:t>obara,</w:t>
      </w:r>
      <w:r w:rsidRPr="004B3B4B">
        <w:rPr>
          <w:rFonts w:ascii="Bookman Old Style" w:hAnsi="Bookman Old Style" w:cs="Arial"/>
          <w:color w:val="000000" w:themeColor="text1"/>
        </w:rPr>
        <w:t xml:space="preserve"> </w:t>
      </w:r>
      <w:r w:rsidR="00493F7C" w:rsidRPr="004B3B4B">
        <w:rPr>
          <w:rFonts w:ascii="Bookman Old Style" w:hAnsi="Bookman Old Style" w:cs="Arial"/>
          <w:color w:val="000000" w:themeColor="text1"/>
        </w:rPr>
        <w:t>administra</w:t>
      </w:r>
      <w:r w:rsidR="0010237C" w:rsidRPr="004B3B4B">
        <w:rPr>
          <w:rFonts w:ascii="Bookman Old Style" w:hAnsi="Bookman Old Style" w:cs="Arial"/>
          <w:color w:val="000000" w:themeColor="text1"/>
        </w:rPr>
        <w:t>ra</w:t>
      </w:r>
      <w:r w:rsidR="00493F7C" w:rsidRPr="004B3B4B">
        <w:rPr>
          <w:rFonts w:ascii="Bookman Old Style" w:hAnsi="Bookman Old Style" w:cs="Arial"/>
          <w:color w:val="000000" w:themeColor="text1"/>
        </w:rPr>
        <w:t xml:space="preserve">, ejecutara, si fuera del caso, </w:t>
      </w:r>
      <w:r w:rsidRPr="004B3B4B">
        <w:rPr>
          <w:rFonts w:ascii="Bookman Old Style" w:hAnsi="Bookman Old Style" w:cs="Arial"/>
          <w:color w:val="000000" w:themeColor="text1"/>
        </w:rPr>
        <w:t>las garantías a los acreedores de las obligaciones incumplidas cuando h</w:t>
      </w:r>
      <w:r w:rsidR="00493F7C" w:rsidRPr="004B3B4B">
        <w:rPr>
          <w:rFonts w:ascii="Bookman Old Style" w:hAnsi="Bookman Old Style" w:cs="Arial"/>
          <w:color w:val="000000" w:themeColor="text1"/>
        </w:rPr>
        <w:t xml:space="preserve">ubiera </w:t>
      </w:r>
      <w:r w:rsidRPr="004B3B4B">
        <w:rPr>
          <w:rFonts w:ascii="Bookman Old Style" w:hAnsi="Bookman Old Style" w:cs="Arial"/>
          <w:color w:val="000000" w:themeColor="text1"/>
        </w:rPr>
        <w:t>lugar a ello</w:t>
      </w:r>
      <w:r w:rsidR="00493F7C" w:rsidRPr="004B3B4B">
        <w:rPr>
          <w:rFonts w:ascii="Bookman Old Style" w:hAnsi="Bookman Old Style" w:cs="Arial"/>
          <w:color w:val="000000" w:themeColor="text1"/>
        </w:rPr>
        <w:t>.</w:t>
      </w:r>
    </w:p>
    <w:p w14:paraId="7504F15B" w14:textId="77777777" w:rsidR="009C67B3" w:rsidRPr="004B3B4B" w:rsidRDefault="009C67B3" w:rsidP="00A63936">
      <w:pPr>
        <w:ind w:left="0"/>
        <w:jc w:val="both"/>
        <w:rPr>
          <w:rFonts w:ascii="Bookman Old Style" w:hAnsi="Bookman Old Style" w:cs="Arial"/>
          <w:color w:val="000000" w:themeColor="text1"/>
        </w:rPr>
      </w:pPr>
    </w:p>
    <w:p w14:paraId="59AC255C" w14:textId="475B8AA9" w:rsidR="009C67B3" w:rsidRPr="004B3B4B" w:rsidRDefault="009C67B3" w:rsidP="00A63936">
      <w:pPr>
        <w:ind w:left="0"/>
        <w:jc w:val="both"/>
        <w:rPr>
          <w:rFonts w:ascii="Bookman Old Style" w:hAnsi="Bookman Old Style" w:cs="Arial"/>
          <w:color w:val="000000" w:themeColor="text1"/>
        </w:rPr>
      </w:pPr>
      <w:r w:rsidRPr="004B3B4B">
        <w:rPr>
          <w:rFonts w:ascii="Bookman Old Style" w:hAnsi="Bookman Old Style" w:cs="Arial"/>
          <w:color w:val="000000" w:themeColor="text1"/>
        </w:rPr>
        <w:t>La CREG, en atención a la anterior disposición</w:t>
      </w:r>
      <w:r w:rsidR="00821C87">
        <w:rPr>
          <w:rFonts w:ascii="Bookman Old Style" w:hAnsi="Bookman Old Style" w:cs="Arial"/>
          <w:color w:val="000000" w:themeColor="text1"/>
        </w:rPr>
        <w:t xml:space="preserve"> y</w:t>
      </w:r>
      <w:r w:rsidRPr="004B3B4B">
        <w:rPr>
          <w:rFonts w:ascii="Bookman Old Style" w:hAnsi="Bookman Old Style" w:cs="Arial"/>
          <w:color w:val="000000" w:themeColor="text1"/>
        </w:rPr>
        <w:t xml:space="preserve"> después de un proceso de </w:t>
      </w:r>
      <w:r w:rsidR="00821C87">
        <w:rPr>
          <w:rFonts w:ascii="Bookman Old Style" w:hAnsi="Bookman Old Style" w:cs="Arial"/>
          <w:color w:val="000000" w:themeColor="text1"/>
        </w:rPr>
        <w:t>selección objetiva</w:t>
      </w:r>
      <w:r w:rsidRPr="004B3B4B">
        <w:rPr>
          <w:rFonts w:ascii="Bookman Old Style" w:hAnsi="Bookman Old Style" w:cs="Arial"/>
          <w:color w:val="000000" w:themeColor="text1"/>
        </w:rPr>
        <w:t>, contrató a la Sociedad Fiduciaria de Desarrollo Agropecuario S.A. para que administrara las garantías de seriedad de la</w:t>
      </w:r>
      <w:r w:rsidR="00821C87">
        <w:rPr>
          <w:rFonts w:ascii="Bookman Old Style" w:hAnsi="Bookman Old Style" w:cs="Arial"/>
          <w:color w:val="000000" w:themeColor="text1"/>
        </w:rPr>
        <w:t>s</w:t>
      </w:r>
      <w:r w:rsidRPr="004B3B4B">
        <w:rPr>
          <w:rFonts w:ascii="Bookman Old Style" w:hAnsi="Bookman Old Style" w:cs="Arial"/>
          <w:color w:val="000000" w:themeColor="text1"/>
        </w:rPr>
        <w:t xml:space="preserve"> propuesta</w:t>
      </w:r>
      <w:r w:rsidR="00821C87">
        <w:rPr>
          <w:rFonts w:ascii="Bookman Old Style" w:hAnsi="Bookman Old Style" w:cs="Arial"/>
          <w:color w:val="000000" w:themeColor="text1"/>
        </w:rPr>
        <w:t>s</w:t>
      </w:r>
      <w:r w:rsidRPr="004B3B4B">
        <w:rPr>
          <w:rFonts w:ascii="Bookman Old Style" w:hAnsi="Bookman Old Style" w:cs="Arial"/>
          <w:color w:val="000000" w:themeColor="text1"/>
        </w:rPr>
        <w:t xml:space="preserve"> que se recibieran.</w:t>
      </w:r>
    </w:p>
    <w:p w14:paraId="0D348405" w14:textId="77777777" w:rsidR="00867907" w:rsidRPr="004B3B4B" w:rsidRDefault="00867907" w:rsidP="00CE03C4">
      <w:pPr>
        <w:ind w:left="0"/>
        <w:jc w:val="both"/>
        <w:rPr>
          <w:rFonts w:ascii="Bookman Old Style" w:hAnsi="Bookman Old Style" w:cs="Arial"/>
          <w:color w:val="000000" w:themeColor="text1"/>
        </w:rPr>
      </w:pPr>
    </w:p>
    <w:p w14:paraId="0EB3AECD" w14:textId="6A048D09" w:rsidR="00867907" w:rsidRPr="004B3B4B" w:rsidRDefault="00A81AC9" w:rsidP="00CE03C4">
      <w:pPr>
        <w:ind w:left="0"/>
        <w:jc w:val="both"/>
        <w:rPr>
          <w:rFonts w:ascii="Bookman Old Style" w:hAnsi="Bookman Old Style" w:cs="Arial"/>
          <w:color w:val="000000" w:themeColor="text1"/>
        </w:rPr>
      </w:pPr>
      <w:r w:rsidRPr="004B3B4B">
        <w:rPr>
          <w:rFonts w:ascii="Bookman Old Style" w:hAnsi="Bookman Old Style" w:cs="Arial"/>
          <w:color w:val="000000" w:themeColor="text1"/>
        </w:rPr>
        <w:lastRenderedPageBreak/>
        <w:t xml:space="preserve">Por otra parte, </w:t>
      </w:r>
      <w:r w:rsidR="00821C87" w:rsidRPr="004B3B4B">
        <w:rPr>
          <w:rFonts w:ascii="Bookman Old Style" w:hAnsi="Bookman Old Style" w:cs="Arial"/>
          <w:color w:val="000000" w:themeColor="text1"/>
        </w:rPr>
        <w:t>en el parágrafo 2</w:t>
      </w:r>
      <w:r w:rsidR="00821C87">
        <w:rPr>
          <w:rFonts w:ascii="Bookman Old Style" w:hAnsi="Bookman Old Style" w:cs="Arial"/>
          <w:color w:val="000000" w:themeColor="text1"/>
        </w:rPr>
        <w:t xml:space="preserve"> d</w:t>
      </w:r>
      <w:r w:rsidRPr="004B3B4B">
        <w:rPr>
          <w:rFonts w:ascii="Bookman Old Style" w:hAnsi="Bookman Old Style" w:cs="Arial"/>
          <w:color w:val="000000" w:themeColor="text1"/>
        </w:rPr>
        <w:t>el mismo artículo</w:t>
      </w:r>
      <w:r w:rsidR="007B59D7" w:rsidRPr="004B3B4B">
        <w:rPr>
          <w:rFonts w:ascii="Bookman Old Style" w:hAnsi="Bookman Old Style" w:cs="Arial"/>
          <w:color w:val="000000" w:themeColor="text1"/>
        </w:rPr>
        <w:t xml:space="preserve"> se establece que </w:t>
      </w:r>
      <w:r w:rsidRPr="004B3B4B">
        <w:rPr>
          <w:rFonts w:ascii="Bookman Old Style" w:hAnsi="Bookman Old Style" w:cs="Arial"/>
          <w:color w:val="000000" w:themeColor="text1"/>
        </w:rPr>
        <w:t>p</w:t>
      </w:r>
      <w:r w:rsidR="00493F7C" w:rsidRPr="004B3B4B">
        <w:rPr>
          <w:rFonts w:ascii="Bookman Old Style" w:hAnsi="Bookman Old Style" w:cs="Arial"/>
          <w:color w:val="000000" w:themeColor="text1"/>
        </w:rPr>
        <w:t xml:space="preserve">ara el caso de las garantías de </w:t>
      </w:r>
      <w:r w:rsidR="00821C87" w:rsidRPr="00821C87">
        <w:rPr>
          <w:rFonts w:ascii="Bookman Old Style" w:hAnsi="Bookman Old Style" w:cs="Arial"/>
          <w:color w:val="000000" w:themeColor="text1"/>
        </w:rPr>
        <w:t>cumplimiento de puesta en operación</w:t>
      </w:r>
      <w:r w:rsidR="00493F7C" w:rsidRPr="004B3B4B">
        <w:rPr>
          <w:rFonts w:ascii="Bookman Old Style" w:hAnsi="Bookman Old Style" w:cs="Arial"/>
          <w:color w:val="000000" w:themeColor="text1"/>
        </w:rPr>
        <w:t xml:space="preserve"> y de cumplimiento el proponente seleccionado como gestor del mercado debería constituir un fideicomiso o patrimonio autónomo con una sociedad fiduciaria para efectos de administrar dichas garantías de acuerdo con las reglas que definiera la CREG en resolución aparte.</w:t>
      </w:r>
    </w:p>
    <w:p w14:paraId="4189B538" w14:textId="77777777" w:rsidR="00493F7C" w:rsidRPr="004B3B4B" w:rsidRDefault="00493F7C" w:rsidP="00CE03C4">
      <w:pPr>
        <w:ind w:left="0"/>
        <w:jc w:val="both"/>
        <w:rPr>
          <w:rFonts w:ascii="Bookman Old Style" w:hAnsi="Bookman Old Style" w:cs="Arial"/>
          <w:color w:val="000000" w:themeColor="text1"/>
        </w:rPr>
      </w:pPr>
    </w:p>
    <w:p w14:paraId="45912ACC" w14:textId="46F6B175" w:rsidR="00493F7C" w:rsidRPr="004B3B4B" w:rsidRDefault="00FD685F" w:rsidP="00CE03C4">
      <w:pPr>
        <w:ind w:left="0"/>
        <w:jc w:val="both"/>
        <w:rPr>
          <w:rFonts w:ascii="Bookman Old Style" w:hAnsi="Bookman Old Style" w:cs="Arial"/>
          <w:color w:val="000000" w:themeColor="text1"/>
        </w:rPr>
      </w:pPr>
      <w:r w:rsidRPr="004B3B4B">
        <w:rPr>
          <w:rFonts w:ascii="Bookman Old Style" w:hAnsi="Bookman Old Style" w:cs="Arial"/>
          <w:color w:val="000000" w:themeColor="text1"/>
        </w:rPr>
        <w:t xml:space="preserve">Teniendo en cuenta lo anteriormente expuesto, </w:t>
      </w:r>
      <w:r w:rsidR="00821C87">
        <w:rPr>
          <w:rFonts w:ascii="Bookman Old Style" w:hAnsi="Bookman Old Style" w:cs="Arial"/>
          <w:color w:val="000000" w:themeColor="text1"/>
        </w:rPr>
        <w:t>en esta R</w:t>
      </w:r>
      <w:r w:rsidR="00103A33" w:rsidRPr="004B3B4B">
        <w:rPr>
          <w:rFonts w:ascii="Bookman Old Style" w:hAnsi="Bookman Old Style" w:cs="Arial"/>
          <w:color w:val="000000" w:themeColor="text1"/>
        </w:rPr>
        <w:t xml:space="preserve">esolución se establecen las disposiciones que debe atender el proponente que resulte seleccionado cuando constituya el fideicomiso o patrimonio autónomo para administrar </w:t>
      </w:r>
      <w:r w:rsidR="00821C87" w:rsidRPr="00821C87">
        <w:rPr>
          <w:rFonts w:ascii="Bookman Old Style" w:hAnsi="Bookman Old Style" w:cs="Arial"/>
          <w:color w:val="000000" w:themeColor="text1"/>
        </w:rPr>
        <w:t>las garantías de cumplimiento de puesta en operación y de cumplimiento</w:t>
      </w:r>
      <w:r w:rsidR="00103A33" w:rsidRPr="004B3B4B">
        <w:rPr>
          <w:rFonts w:ascii="Bookman Old Style" w:hAnsi="Bookman Old Style" w:cs="Arial"/>
          <w:color w:val="000000" w:themeColor="text1"/>
        </w:rPr>
        <w:t>.</w:t>
      </w:r>
    </w:p>
    <w:p w14:paraId="59E60B02" w14:textId="77777777" w:rsidR="00CE03C4" w:rsidRPr="004B3B4B" w:rsidRDefault="00CE03C4" w:rsidP="00CE03C4">
      <w:pPr>
        <w:ind w:left="0"/>
        <w:jc w:val="both"/>
        <w:rPr>
          <w:rFonts w:ascii="Bookman Old Style" w:hAnsi="Bookman Old Style" w:cs="Arial"/>
          <w:color w:val="000000" w:themeColor="text1"/>
        </w:rPr>
      </w:pPr>
    </w:p>
    <w:p w14:paraId="5D387EEB" w14:textId="25BC9646" w:rsidR="00C80A9C" w:rsidRPr="004B3B4B" w:rsidRDefault="00C80A9C" w:rsidP="00C80A9C">
      <w:pPr>
        <w:ind w:left="0"/>
        <w:jc w:val="both"/>
        <w:rPr>
          <w:rFonts w:ascii="Bookman Old Style" w:hAnsi="Bookman Old Style" w:cs="Arial"/>
          <w:color w:val="000000" w:themeColor="text1"/>
        </w:rPr>
      </w:pPr>
      <w:r w:rsidRPr="004B3B4B">
        <w:rPr>
          <w:rFonts w:ascii="Bookman Old Style" w:hAnsi="Bookman Old Style" w:cs="Arial"/>
          <w:color w:val="000000" w:themeColor="text1"/>
        </w:rPr>
        <w:t>La administración de las garantías cubre los procesos de: i) recibir; ii) aprobar o rechazar; iii) custodiar; iv) ejecutar las garantías de seriedad de las propuestas, si es del caso; v) trasladar los recursos producto de la ejecución de las garantías a los beneficiarios del fideicomiso o patrimonio autónomo; y vi) devolver las garantías si las mismas no son ejecutadas, de conformidad con lo establecido en la Resolución CREG 124 de 2013, o aquellas que la modifiquen, adicionen o sustituyan.</w:t>
      </w:r>
    </w:p>
    <w:p w14:paraId="60B00EE6" w14:textId="77777777" w:rsidR="00C80A9C" w:rsidRPr="004B3B4B" w:rsidRDefault="00C80A9C" w:rsidP="00CE03C4">
      <w:pPr>
        <w:ind w:left="0"/>
        <w:jc w:val="both"/>
        <w:rPr>
          <w:rFonts w:ascii="Bookman Old Style" w:hAnsi="Bookman Old Style" w:cs="Arial"/>
          <w:color w:val="000000" w:themeColor="text1"/>
        </w:rPr>
      </w:pPr>
    </w:p>
    <w:p w14:paraId="5F5E64BB" w14:textId="07E7ABDF" w:rsidR="00FD685F" w:rsidRPr="004B3B4B" w:rsidRDefault="00FD685F" w:rsidP="00FD685F">
      <w:pPr>
        <w:pStyle w:val="Textosinformato"/>
        <w:jc w:val="both"/>
        <w:rPr>
          <w:rFonts w:ascii="Bookman Old Style" w:hAnsi="Bookman Old Style" w:cs="Tahoma"/>
          <w:color w:val="000000" w:themeColor="text1"/>
          <w:sz w:val="24"/>
          <w:szCs w:val="24"/>
        </w:rPr>
      </w:pPr>
      <w:r w:rsidRPr="004B3B4B">
        <w:rPr>
          <w:rFonts w:ascii="Bookman Old Style" w:hAnsi="Bookman Old Style" w:cs="Arial"/>
          <w:color w:val="000000" w:themeColor="text1"/>
          <w:sz w:val="24"/>
          <w:szCs w:val="24"/>
          <w:shd w:val="clear" w:color="auto" w:fill="FFFFFF"/>
        </w:rPr>
        <w:t xml:space="preserve">Teniendo en cuenta lo establecido en el artículo 4 del Decreto 2897 de 2010, reglamentario de la Ley 1340 de 2009, no es necesaria la remisión del presente acto administrativo a la Superintendencia de Industria y Comercio, ya que en éste se aclaran condiciones en que son exigibles conductas previamente impuestas en la Resolución CREG </w:t>
      </w:r>
      <w:r w:rsidR="00821C87">
        <w:rPr>
          <w:rFonts w:ascii="Bookman Old Style" w:hAnsi="Bookman Old Style" w:cs="Arial"/>
          <w:color w:val="000000" w:themeColor="text1"/>
          <w:sz w:val="24"/>
          <w:szCs w:val="24"/>
          <w:shd w:val="clear" w:color="auto" w:fill="FFFFFF"/>
        </w:rPr>
        <w:t>124</w:t>
      </w:r>
      <w:r w:rsidRPr="004B3B4B">
        <w:rPr>
          <w:rFonts w:ascii="Bookman Old Style" w:hAnsi="Bookman Old Style" w:cs="Arial"/>
          <w:color w:val="000000" w:themeColor="text1"/>
          <w:sz w:val="24"/>
          <w:szCs w:val="24"/>
          <w:shd w:val="clear" w:color="auto" w:fill="FFFFFF"/>
        </w:rPr>
        <w:t xml:space="preserve"> de 2013.</w:t>
      </w:r>
    </w:p>
    <w:p w14:paraId="7BA761C3" w14:textId="77777777" w:rsidR="00FD685F" w:rsidRPr="004B3B4B" w:rsidRDefault="00FD685F" w:rsidP="00C80A9C">
      <w:pPr>
        <w:ind w:left="0"/>
        <w:jc w:val="both"/>
        <w:rPr>
          <w:rFonts w:ascii="Bookman Old Style" w:hAnsi="Bookman Old Style" w:cs="Arial"/>
          <w:color w:val="000000" w:themeColor="text1"/>
        </w:rPr>
      </w:pPr>
    </w:p>
    <w:p w14:paraId="1C82232A" w14:textId="77777777" w:rsidR="00225A8C" w:rsidRPr="004B3B4B" w:rsidRDefault="00225A8C" w:rsidP="00C80A9C">
      <w:pPr>
        <w:ind w:left="0"/>
        <w:jc w:val="both"/>
        <w:rPr>
          <w:rFonts w:ascii="Bookman Old Style" w:hAnsi="Bookman Old Style" w:cs="Arial"/>
          <w:color w:val="000000" w:themeColor="text1"/>
        </w:rPr>
      </w:pPr>
      <w:r w:rsidRPr="004B3B4B">
        <w:rPr>
          <w:rFonts w:ascii="Bookman Old Style" w:hAnsi="Bookman Old Style" w:cs="Arial"/>
          <w:color w:val="000000" w:themeColor="text1"/>
        </w:rPr>
        <w:t>Según lo previsto en el artículo 8 del Código de Procedimiento Administrativo y de lo Contencioso Administrativo, la regulación que mediante la presente resolución se adopta ha surtido el proceso de publicidad previo correspondiente.</w:t>
      </w:r>
    </w:p>
    <w:p w14:paraId="054206B8" w14:textId="77777777" w:rsidR="00CE03C4" w:rsidRPr="004B3B4B" w:rsidRDefault="00CE03C4" w:rsidP="00CE03C4">
      <w:pPr>
        <w:ind w:left="0"/>
        <w:jc w:val="both"/>
        <w:rPr>
          <w:rFonts w:ascii="Bookman Old Style" w:hAnsi="Bookman Old Style" w:cs="Arial"/>
          <w:color w:val="000000" w:themeColor="text1"/>
        </w:rPr>
      </w:pPr>
    </w:p>
    <w:p w14:paraId="51087B96" w14:textId="77777777" w:rsidR="00CE03C4" w:rsidRPr="004B3B4B" w:rsidRDefault="00CE03C4" w:rsidP="00CE03C4">
      <w:pPr>
        <w:ind w:left="0"/>
        <w:jc w:val="both"/>
        <w:rPr>
          <w:rFonts w:ascii="Bookman Old Style" w:hAnsi="Bookman Old Style" w:cs="Arial"/>
          <w:color w:val="000000" w:themeColor="text1"/>
        </w:rPr>
      </w:pPr>
    </w:p>
    <w:p w14:paraId="4D7A12EA" w14:textId="77777777" w:rsidR="00CE03C4" w:rsidRPr="004B3B4B" w:rsidRDefault="00CE03C4" w:rsidP="00CE03C4">
      <w:pPr>
        <w:ind w:left="0"/>
        <w:jc w:val="center"/>
        <w:rPr>
          <w:rFonts w:ascii="Bookman Old Style" w:hAnsi="Bookman Old Style" w:cs="Arial"/>
          <w:b/>
          <w:bCs/>
          <w:color w:val="000000" w:themeColor="text1"/>
          <w:lang w:val="pt-BR"/>
        </w:rPr>
      </w:pPr>
      <w:r w:rsidRPr="004B3B4B">
        <w:rPr>
          <w:rFonts w:ascii="Bookman Old Style" w:hAnsi="Bookman Old Style" w:cs="Arial"/>
          <w:b/>
          <w:bCs/>
          <w:color w:val="000000" w:themeColor="text1"/>
          <w:lang w:val="pt-BR"/>
        </w:rPr>
        <w:t>R E S U E L V E:</w:t>
      </w:r>
    </w:p>
    <w:p w14:paraId="5F348AA6" w14:textId="77777777" w:rsidR="00CE03C4" w:rsidRPr="004B3B4B" w:rsidRDefault="00CE03C4" w:rsidP="00CE03C4">
      <w:pPr>
        <w:ind w:left="0"/>
        <w:jc w:val="both"/>
        <w:rPr>
          <w:rFonts w:ascii="Bookman Old Style" w:hAnsi="Bookman Old Style" w:cs="Arial"/>
          <w:color w:val="000000" w:themeColor="text1"/>
          <w:lang w:val="pt-BR"/>
        </w:rPr>
      </w:pPr>
    </w:p>
    <w:p w14:paraId="7DB7F4DE" w14:textId="77777777" w:rsidR="00CE03C4" w:rsidRPr="004B3B4B" w:rsidRDefault="00CE03C4" w:rsidP="00CE03C4">
      <w:pPr>
        <w:ind w:left="0"/>
        <w:jc w:val="both"/>
        <w:rPr>
          <w:rFonts w:ascii="Bookman Old Style" w:hAnsi="Bookman Old Style" w:cs="Arial"/>
          <w:color w:val="000000" w:themeColor="text1"/>
          <w:lang w:val="pt-BR"/>
        </w:rPr>
      </w:pPr>
    </w:p>
    <w:p w14:paraId="5D0BA325" w14:textId="3F1884AE" w:rsidR="00796DF5" w:rsidRPr="004B3B4B" w:rsidRDefault="00CE03C4" w:rsidP="00CE03C4">
      <w:pPr>
        <w:ind w:left="0"/>
        <w:jc w:val="both"/>
        <w:rPr>
          <w:rFonts w:ascii="Bookman Old Style" w:hAnsi="Bookman Old Style" w:cs="Arial"/>
          <w:bCs/>
          <w:color w:val="000000" w:themeColor="text1"/>
        </w:rPr>
      </w:pPr>
      <w:r w:rsidRPr="004B3B4B">
        <w:rPr>
          <w:rFonts w:ascii="Bookman Old Style" w:hAnsi="Bookman Old Style" w:cs="Arial"/>
          <w:b/>
          <w:bCs/>
          <w:color w:val="000000" w:themeColor="text1"/>
        </w:rPr>
        <w:t xml:space="preserve">Artículo 1. </w:t>
      </w:r>
      <w:r w:rsidR="008336A4" w:rsidRPr="004B3B4B">
        <w:rPr>
          <w:rFonts w:ascii="Bookman Old Style" w:hAnsi="Bookman Old Style" w:cs="Arial"/>
          <w:b/>
          <w:bCs/>
          <w:color w:val="000000" w:themeColor="text1"/>
        </w:rPr>
        <w:t>Objeto</w:t>
      </w:r>
      <w:r w:rsidRPr="004B3B4B">
        <w:rPr>
          <w:rFonts w:ascii="Bookman Old Style" w:hAnsi="Bookman Old Style" w:cs="Arial"/>
          <w:b/>
          <w:bCs/>
          <w:color w:val="000000" w:themeColor="text1"/>
        </w:rPr>
        <w:t xml:space="preserve">. </w:t>
      </w:r>
      <w:r w:rsidR="00FD685F" w:rsidRPr="004B3B4B">
        <w:rPr>
          <w:rFonts w:ascii="Bookman Old Style" w:hAnsi="Bookman Old Style" w:cs="Arial"/>
          <w:bCs/>
          <w:color w:val="000000" w:themeColor="text1"/>
        </w:rPr>
        <w:t xml:space="preserve">El objeto de la presente </w:t>
      </w:r>
      <w:r w:rsidR="007D0713" w:rsidRPr="004B3B4B">
        <w:rPr>
          <w:rFonts w:ascii="Bookman Old Style" w:hAnsi="Bookman Old Style" w:cs="Arial"/>
          <w:bCs/>
          <w:color w:val="000000" w:themeColor="text1"/>
        </w:rPr>
        <w:t xml:space="preserve">Resolución </w:t>
      </w:r>
      <w:r w:rsidR="00FD685F" w:rsidRPr="004B3B4B">
        <w:rPr>
          <w:rFonts w:ascii="Bookman Old Style" w:hAnsi="Bookman Old Style" w:cs="Arial"/>
          <w:bCs/>
          <w:color w:val="000000" w:themeColor="text1"/>
        </w:rPr>
        <w:t>consiste en d</w:t>
      </w:r>
      <w:r w:rsidR="008336A4" w:rsidRPr="004B3B4B">
        <w:rPr>
          <w:rFonts w:ascii="Bookman Old Style" w:hAnsi="Bookman Old Style" w:cs="Arial"/>
          <w:bCs/>
          <w:color w:val="000000" w:themeColor="text1"/>
        </w:rPr>
        <w:t>ictar las disposiciones generales que deberá tener en cuenta el proponente que resulte seleccionado como gestor del mercado</w:t>
      </w:r>
      <w:r w:rsidR="007D0713">
        <w:rPr>
          <w:rFonts w:ascii="Bookman Old Style" w:hAnsi="Bookman Old Style" w:cs="Arial"/>
          <w:bCs/>
          <w:color w:val="000000" w:themeColor="text1"/>
        </w:rPr>
        <w:t xml:space="preserve"> de gas natural</w:t>
      </w:r>
      <w:r w:rsidR="00FD685F" w:rsidRPr="004B3B4B">
        <w:rPr>
          <w:rFonts w:ascii="Bookman Old Style" w:hAnsi="Bookman Old Style" w:cs="Arial"/>
          <w:bCs/>
          <w:color w:val="000000" w:themeColor="text1"/>
        </w:rPr>
        <w:t xml:space="preserve">, al momento de </w:t>
      </w:r>
      <w:r w:rsidR="008336A4" w:rsidRPr="004B3B4B">
        <w:rPr>
          <w:rFonts w:ascii="Bookman Old Style" w:hAnsi="Bookman Old Style" w:cs="Arial"/>
          <w:bCs/>
          <w:color w:val="000000" w:themeColor="text1"/>
        </w:rPr>
        <w:t>constitu</w:t>
      </w:r>
      <w:r w:rsidR="00FD685F" w:rsidRPr="004B3B4B">
        <w:rPr>
          <w:rFonts w:ascii="Bookman Old Style" w:hAnsi="Bookman Old Style" w:cs="Arial"/>
          <w:bCs/>
          <w:color w:val="000000" w:themeColor="text1"/>
        </w:rPr>
        <w:t>ir</w:t>
      </w:r>
      <w:r w:rsidR="008336A4" w:rsidRPr="004B3B4B">
        <w:rPr>
          <w:rFonts w:ascii="Bookman Old Style" w:hAnsi="Bookman Old Style" w:cs="Arial"/>
          <w:bCs/>
          <w:color w:val="000000" w:themeColor="text1"/>
        </w:rPr>
        <w:t xml:space="preserve"> el fideicomiso o patrimonio autónomo</w:t>
      </w:r>
      <w:r w:rsidR="007D0713">
        <w:rPr>
          <w:rFonts w:ascii="Bookman Old Style" w:hAnsi="Bookman Old Style" w:cs="Arial"/>
          <w:bCs/>
          <w:color w:val="000000" w:themeColor="text1"/>
        </w:rPr>
        <w:t xml:space="preserve"> para </w:t>
      </w:r>
      <w:r w:rsidR="008336A4" w:rsidRPr="004B3B4B">
        <w:rPr>
          <w:rFonts w:ascii="Bookman Old Style" w:hAnsi="Bookman Old Style" w:cs="Arial"/>
          <w:bCs/>
          <w:color w:val="000000" w:themeColor="text1"/>
        </w:rPr>
        <w:t xml:space="preserve">administrar </w:t>
      </w:r>
      <w:r w:rsidR="007D0713" w:rsidRPr="004B3B4B">
        <w:rPr>
          <w:rFonts w:ascii="Bookman Old Style" w:hAnsi="Bookman Old Style" w:cs="Arial"/>
          <w:color w:val="000000" w:themeColor="text1"/>
        </w:rPr>
        <w:t xml:space="preserve">las garantías de </w:t>
      </w:r>
      <w:r w:rsidR="007D0713" w:rsidRPr="00821C87">
        <w:rPr>
          <w:rFonts w:ascii="Bookman Old Style" w:hAnsi="Bookman Old Style" w:cs="Arial"/>
          <w:color w:val="000000" w:themeColor="text1"/>
        </w:rPr>
        <w:t>cumplimiento de puesta en operación</w:t>
      </w:r>
      <w:r w:rsidR="007D0713" w:rsidRPr="004B3B4B">
        <w:rPr>
          <w:rFonts w:ascii="Bookman Old Style" w:hAnsi="Bookman Old Style" w:cs="Arial"/>
          <w:color w:val="000000" w:themeColor="text1"/>
        </w:rPr>
        <w:t xml:space="preserve"> y de cumplimiento</w:t>
      </w:r>
      <w:r w:rsidR="00796DF5" w:rsidRPr="004B3B4B">
        <w:rPr>
          <w:rFonts w:ascii="Bookman Old Style" w:hAnsi="Bookman Old Style" w:cs="Arial"/>
          <w:bCs/>
          <w:color w:val="000000" w:themeColor="text1"/>
        </w:rPr>
        <w:t>, de que trata e</w:t>
      </w:r>
      <w:r w:rsidR="00796DF5" w:rsidRPr="004B3B4B">
        <w:rPr>
          <w:rFonts w:ascii="Bookman Old Style" w:hAnsi="Bookman Old Style" w:cs="Arial"/>
          <w:color w:val="000000" w:themeColor="text1"/>
        </w:rPr>
        <w:t>l artículo 30 de la Resolución CREG 124 de 2013, modificado por el artículo 3 de la Resolución CREG 032 de 2014.</w:t>
      </w:r>
    </w:p>
    <w:p w14:paraId="681736D7" w14:textId="77777777" w:rsidR="00CE03C4" w:rsidRPr="004B3B4B" w:rsidRDefault="00CE03C4" w:rsidP="00CE03C4">
      <w:pPr>
        <w:ind w:left="0"/>
        <w:jc w:val="both"/>
        <w:rPr>
          <w:rFonts w:ascii="Bookman Old Style" w:hAnsi="Bookman Old Style" w:cs="Arial"/>
          <w:color w:val="000000" w:themeColor="text1"/>
        </w:rPr>
      </w:pPr>
    </w:p>
    <w:p w14:paraId="5E3BF09C" w14:textId="329BBD25" w:rsidR="007134B0" w:rsidRPr="004B3B4B" w:rsidRDefault="00CE03C4" w:rsidP="007134B0">
      <w:pPr>
        <w:ind w:left="0"/>
        <w:jc w:val="both"/>
        <w:rPr>
          <w:rFonts w:ascii="Bookman Old Style" w:hAnsi="Bookman Old Style" w:cs="Arial"/>
          <w:bCs/>
          <w:color w:val="000000" w:themeColor="text1"/>
        </w:rPr>
      </w:pPr>
      <w:r w:rsidRPr="004B3B4B">
        <w:rPr>
          <w:rFonts w:ascii="Bookman Old Style" w:hAnsi="Bookman Old Style" w:cs="Arial"/>
          <w:b/>
          <w:color w:val="000000" w:themeColor="text1"/>
        </w:rPr>
        <w:t xml:space="preserve">Artículo 2. </w:t>
      </w:r>
      <w:r w:rsidR="000F2EE7" w:rsidRPr="004B3B4B">
        <w:rPr>
          <w:rFonts w:ascii="Bookman Old Style" w:hAnsi="Bookman Old Style" w:cs="Arial"/>
          <w:b/>
          <w:color w:val="000000" w:themeColor="text1"/>
        </w:rPr>
        <w:t xml:space="preserve">Disposiciones generales para la constitución del fideicomiso </w:t>
      </w:r>
      <w:r w:rsidR="0043471F" w:rsidRPr="004B3B4B">
        <w:rPr>
          <w:rFonts w:ascii="Bookman Old Style" w:hAnsi="Bookman Old Style" w:cs="Arial"/>
          <w:b/>
          <w:color w:val="000000" w:themeColor="text1"/>
        </w:rPr>
        <w:t xml:space="preserve">o </w:t>
      </w:r>
      <w:r w:rsidR="000F2EE7" w:rsidRPr="004B3B4B">
        <w:rPr>
          <w:rFonts w:ascii="Bookman Old Style" w:hAnsi="Bookman Old Style" w:cs="Arial"/>
          <w:b/>
          <w:color w:val="000000" w:themeColor="text1"/>
        </w:rPr>
        <w:t>patrimonio autónomo a cargo del proponente que resulte seleccionado como gestor del mercado.</w:t>
      </w:r>
      <w:r w:rsidRPr="004B3B4B">
        <w:rPr>
          <w:rFonts w:ascii="Bookman Old Style" w:hAnsi="Bookman Old Style" w:cs="Arial"/>
          <w:b/>
          <w:color w:val="000000" w:themeColor="text1"/>
        </w:rPr>
        <w:t xml:space="preserve"> </w:t>
      </w:r>
      <w:r w:rsidR="000F2EE7" w:rsidRPr="004B3B4B">
        <w:rPr>
          <w:rFonts w:ascii="Bookman Old Style" w:hAnsi="Bookman Old Style" w:cs="Arial"/>
          <w:color w:val="000000" w:themeColor="text1"/>
        </w:rPr>
        <w:t xml:space="preserve">Adóptense las disposiciones contenidas en el Anexo </w:t>
      </w:r>
      <w:r w:rsidR="000F2EE7" w:rsidRPr="004B3B4B">
        <w:rPr>
          <w:rFonts w:ascii="Bookman Old Style" w:hAnsi="Bookman Old Style" w:cs="Arial"/>
          <w:color w:val="000000" w:themeColor="text1"/>
        </w:rPr>
        <w:lastRenderedPageBreak/>
        <w:t xml:space="preserve">de la presente Resolución para la constitución del fideicomiso o patrimonio autónomo que deberá constituir el proponente que resulte seleccionado como gestor del mercado para la administración de </w:t>
      </w:r>
      <w:r w:rsidR="007D0713" w:rsidRPr="004B3B4B">
        <w:rPr>
          <w:rFonts w:ascii="Bookman Old Style" w:hAnsi="Bookman Old Style" w:cs="Arial"/>
          <w:color w:val="000000" w:themeColor="text1"/>
        </w:rPr>
        <w:t xml:space="preserve">las garantías de </w:t>
      </w:r>
      <w:r w:rsidR="007D0713" w:rsidRPr="00821C87">
        <w:rPr>
          <w:rFonts w:ascii="Bookman Old Style" w:hAnsi="Bookman Old Style" w:cs="Arial"/>
          <w:color w:val="000000" w:themeColor="text1"/>
        </w:rPr>
        <w:t>cumplimiento de puesta en operación</w:t>
      </w:r>
      <w:r w:rsidR="007D0713" w:rsidRPr="004B3B4B">
        <w:rPr>
          <w:rFonts w:ascii="Bookman Old Style" w:hAnsi="Bookman Old Style" w:cs="Arial"/>
          <w:color w:val="000000" w:themeColor="text1"/>
        </w:rPr>
        <w:t xml:space="preserve"> y de cumplimiento</w:t>
      </w:r>
      <w:r w:rsidR="007134B0" w:rsidRPr="004B3B4B">
        <w:rPr>
          <w:rFonts w:ascii="Bookman Old Style" w:hAnsi="Bookman Old Style" w:cs="Arial"/>
          <w:bCs/>
          <w:color w:val="000000" w:themeColor="text1"/>
        </w:rPr>
        <w:t xml:space="preserve"> de que trata e</w:t>
      </w:r>
      <w:r w:rsidR="007134B0" w:rsidRPr="004B3B4B">
        <w:rPr>
          <w:rFonts w:ascii="Bookman Old Style" w:hAnsi="Bookman Old Style" w:cs="Arial"/>
          <w:color w:val="000000" w:themeColor="text1"/>
        </w:rPr>
        <w:t>l artículo 30 de la Resolución CREG 124 de 2013, modificado por el artículo 3 de la Resolución CREG 032 de 2014.</w:t>
      </w:r>
    </w:p>
    <w:p w14:paraId="0CE2D836" w14:textId="77777777" w:rsidR="00CE03C4" w:rsidRPr="004B3B4B" w:rsidRDefault="00CE03C4" w:rsidP="00CE03C4">
      <w:pPr>
        <w:ind w:left="0"/>
        <w:jc w:val="both"/>
        <w:rPr>
          <w:rFonts w:ascii="Bookman Old Style" w:hAnsi="Bookman Old Style" w:cs="Arial"/>
          <w:b/>
          <w:color w:val="000000" w:themeColor="text1"/>
        </w:rPr>
      </w:pPr>
    </w:p>
    <w:p w14:paraId="758D57C5" w14:textId="77777777" w:rsidR="00CE03C4" w:rsidRPr="004B3B4B" w:rsidRDefault="00CE03C4" w:rsidP="00CE03C4">
      <w:pPr>
        <w:ind w:left="0"/>
        <w:jc w:val="both"/>
        <w:rPr>
          <w:rFonts w:ascii="Bookman Old Style" w:hAnsi="Bookman Old Style" w:cs="Arial"/>
          <w:color w:val="000000" w:themeColor="text1"/>
        </w:rPr>
      </w:pPr>
      <w:r w:rsidRPr="004B3B4B">
        <w:rPr>
          <w:rFonts w:ascii="Bookman Old Style" w:hAnsi="Bookman Old Style" w:cs="Arial"/>
          <w:b/>
          <w:color w:val="000000" w:themeColor="text1"/>
        </w:rPr>
        <w:t>Artículo 4.</w:t>
      </w:r>
      <w:r w:rsidRPr="004B3B4B">
        <w:rPr>
          <w:rFonts w:ascii="Bookman Old Style" w:hAnsi="Bookman Old Style" w:cs="Arial"/>
          <w:color w:val="000000" w:themeColor="text1"/>
        </w:rPr>
        <w:t xml:space="preserve"> </w:t>
      </w:r>
      <w:r w:rsidRPr="004B3B4B">
        <w:rPr>
          <w:rFonts w:ascii="Bookman Old Style" w:hAnsi="Bookman Old Style" w:cs="Arial"/>
          <w:b/>
          <w:color w:val="000000" w:themeColor="text1"/>
        </w:rPr>
        <w:t>Derogatorias y Vigencia</w:t>
      </w:r>
      <w:r w:rsidRPr="004B3B4B">
        <w:rPr>
          <w:rFonts w:ascii="Bookman Old Style" w:hAnsi="Bookman Old Style" w:cs="Arial"/>
          <w:color w:val="000000" w:themeColor="text1"/>
        </w:rPr>
        <w:t xml:space="preserve">. La presente Resolución rige a partir de su publicación en el </w:t>
      </w:r>
      <w:r w:rsidRPr="004B3B4B">
        <w:rPr>
          <w:rFonts w:ascii="Bookman Old Style" w:hAnsi="Bookman Old Style" w:cs="Arial"/>
          <w:i/>
          <w:color w:val="000000" w:themeColor="text1"/>
        </w:rPr>
        <w:t>Diario Oficial</w:t>
      </w:r>
      <w:r w:rsidRPr="004B3B4B">
        <w:rPr>
          <w:rFonts w:ascii="Bookman Old Style" w:hAnsi="Bookman Old Style" w:cs="Arial"/>
          <w:color w:val="000000" w:themeColor="text1"/>
        </w:rPr>
        <w:t xml:space="preserve"> y deroga todas las disposiciones que le sean contrarias.</w:t>
      </w:r>
    </w:p>
    <w:p w14:paraId="63404F05" w14:textId="77777777" w:rsidR="0000654F" w:rsidRDefault="0000654F" w:rsidP="002764E2">
      <w:pPr>
        <w:ind w:left="0"/>
        <w:jc w:val="both"/>
        <w:rPr>
          <w:rFonts w:ascii="Bookman Old Style" w:hAnsi="Bookman Old Style"/>
          <w:color w:val="000000" w:themeColor="text1"/>
        </w:rPr>
      </w:pPr>
    </w:p>
    <w:p w14:paraId="1BB41028" w14:textId="77777777" w:rsidR="007D0713" w:rsidRPr="004B3B4B" w:rsidRDefault="007D0713" w:rsidP="002764E2">
      <w:pPr>
        <w:ind w:left="0"/>
        <w:jc w:val="both"/>
        <w:rPr>
          <w:rFonts w:ascii="Bookman Old Style" w:hAnsi="Bookman Old Style"/>
          <w:color w:val="000000" w:themeColor="text1"/>
        </w:rPr>
      </w:pPr>
    </w:p>
    <w:p w14:paraId="070B9ADA" w14:textId="77777777" w:rsidR="0000654F" w:rsidRPr="004B3B4B" w:rsidRDefault="0000654F" w:rsidP="0000654F">
      <w:pPr>
        <w:ind w:left="0"/>
        <w:jc w:val="center"/>
        <w:rPr>
          <w:rFonts w:ascii="Bookman Old Style" w:hAnsi="Bookman Old Style"/>
          <w:b/>
        </w:rPr>
      </w:pPr>
      <w:r w:rsidRPr="004B3B4B">
        <w:rPr>
          <w:rFonts w:ascii="Bookman Old Style" w:hAnsi="Bookman Old Style"/>
          <w:b/>
        </w:rPr>
        <w:t>PUBLÍQUESE Y CÚMPLASE</w:t>
      </w:r>
    </w:p>
    <w:p w14:paraId="4872279F" w14:textId="77777777" w:rsidR="0000654F" w:rsidRPr="004B3B4B" w:rsidRDefault="0000654F" w:rsidP="002764E2">
      <w:pPr>
        <w:ind w:left="0"/>
        <w:jc w:val="both"/>
        <w:rPr>
          <w:rFonts w:ascii="Bookman Old Style" w:hAnsi="Bookman Old Style"/>
          <w:color w:val="000000" w:themeColor="text1"/>
        </w:rPr>
      </w:pPr>
    </w:p>
    <w:p w14:paraId="7E90E27B" w14:textId="77777777" w:rsidR="000D6E82" w:rsidRPr="004B3B4B" w:rsidRDefault="000D6E82" w:rsidP="005B1078">
      <w:pPr>
        <w:ind w:left="0"/>
        <w:jc w:val="center"/>
        <w:rPr>
          <w:rFonts w:ascii="Bookman Old Style" w:hAnsi="Bookman Old Style"/>
          <w:color w:val="000000" w:themeColor="text1"/>
        </w:rPr>
      </w:pPr>
    </w:p>
    <w:p w14:paraId="0ADA717B" w14:textId="3C8A091E" w:rsidR="002764E2" w:rsidRDefault="002764E2" w:rsidP="002764E2">
      <w:pPr>
        <w:ind w:left="0"/>
        <w:jc w:val="both"/>
        <w:rPr>
          <w:rFonts w:ascii="Bookman Old Style" w:hAnsi="Bookman Old Style"/>
          <w:color w:val="000000" w:themeColor="text1"/>
        </w:rPr>
      </w:pPr>
      <w:r w:rsidRPr="004B3B4B">
        <w:rPr>
          <w:rFonts w:ascii="Bookman Old Style" w:hAnsi="Bookman Old Style"/>
          <w:color w:val="000000" w:themeColor="text1"/>
        </w:rPr>
        <w:t>Firma</w:t>
      </w:r>
      <w:r w:rsidR="00EF2641">
        <w:rPr>
          <w:rFonts w:ascii="Bookman Old Style" w:hAnsi="Bookman Old Style"/>
          <w:color w:val="000000" w:themeColor="text1"/>
        </w:rPr>
        <w:t>s</w:t>
      </w:r>
      <w:r w:rsidRPr="004B3B4B">
        <w:rPr>
          <w:rFonts w:ascii="Bookman Old Style" w:hAnsi="Bookman Old Style"/>
          <w:color w:val="000000" w:themeColor="text1"/>
        </w:rPr>
        <w:t xml:space="preserve"> del proyecto</w:t>
      </w:r>
      <w:r w:rsidR="00EF2641">
        <w:rPr>
          <w:rFonts w:ascii="Bookman Old Style" w:hAnsi="Bookman Old Style"/>
          <w:color w:val="000000" w:themeColor="text1"/>
        </w:rPr>
        <w:t>,</w:t>
      </w:r>
    </w:p>
    <w:p w14:paraId="1EABB6A1" w14:textId="77777777" w:rsidR="00EF2641" w:rsidRPr="004B3B4B" w:rsidRDefault="00EF2641" w:rsidP="002764E2">
      <w:pPr>
        <w:ind w:left="0"/>
        <w:jc w:val="both"/>
        <w:rPr>
          <w:rFonts w:ascii="Bookman Old Style" w:hAnsi="Bookman Old Style"/>
          <w:color w:val="000000" w:themeColor="text1"/>
        </w:rPr>
      </w:pPr>
    </w:p>
    <w:p w14:paraId="174D8FB5" w14:textId="77777777" w:rsidR="000D6E82" w:rsidRDefault="000D6E82" w:rsidP="005B1078">
      <w:pPr>
        <w:ind w:left="0"/>
        <w:jc w:val="center"/>
        <w:rPr>
          <w:rFonts w:ascii="Bookman Old Style" w:hAnsi="Bookman Old Style"/>
          <w:color w:val="000000" w:themeColor="text1"/>
        </w:rPr>
      </w:pPr>
    </w:p>
    <w:p w14:paraId="1A08D672" w14:textId="77777777" w:rsidR="007346AF" w:rsidRDefault="007346AF" w:rsidP="005B1078">
      <w:pPr>
        <w:ind w:left="0"/>
        <w:jc w:val="center"/>
        <w:rPr>
          <w:rFonts w:ascii="Bookman Old Style" w:hAnsi="Bookman Old Style"/>
          <w:color w:val="000000" w:themeColor="text1"/>
        </w:rPr>
      </w:pPr>
    </w:p>
    <w:p w14:paraId="60179EDD" w14:textId="77777777" w:rsidR="007346AF" w:rsidRDefault="007346AF" w:rsidP="005B1078">
      <w:pPr>
        <w:ind w:left="0"/>
        <w:jc w:val="center"/>
        <w:rPr>
          <w:rFonts w:ascii="Bookman Old Style" w:hAnsi="Bookman Old Style"/>
          <w:color w:val="000000" w:themeColor="text1"/>
        </w:rPr>
      </w:pPr>
    </w:p>
    <w:p w14:paraId="0536811F" w14:textId="77777777" w:rsidR="007346AF" w:rsidRPr="004B3B4B" w:rsidRDefault="007346AF" w:rsidP="005B1078">
      <w:pPr>
        <w:ind w:left="0"/>
        <w:jc w:val="center"/>
        <w:rPr>
          <w:rFonts w:ascii="Bookman Old Style" w:hAnsi="Bookman Old Style"/>
          <w:color w:val="000000" w:themeColor="text1"/>
        </w:rPr>
      </w:pPr>
    </w:p>
    <w:p w14:paraId="16B2D38A" w14:textId="77777777" w:rsidR="00C33CEE" w:rsidRPr="004B3B4B" w:rsidRDefault="00C33CEE" w:rsidP="005B1078">
      <w:pPr>
        <w:ind w:left="0"/>
        <w:jc w:val="center"/>
        <w:rPr>
          <w:rFonts w:ascii="Bookman Old Style" w:hAnsi="Bookman Old Style"/>
          <w:color w:val="000000" w:themeColor="text1"/>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7346AF" w:rsidRPr="00C2343E" w14:paraId="1202A70C" w14:textId="77777777" w:rsidTr="007F238F">
        <w:tc>
          <w:tcPr>
            <w:tcW w:w="4820" w:type="dxa"/>
            <w:hideMark/>
          </w:tcPr>
          <w:p w14:paraId="0F004A02" w14:textId="77777777" w:rsidR="007346AF" w:rsidRPr="00C2343E" w:rsidRDefault="007346AF" w:rsidP="007F238F">
            <w:pPr>
              <w:snapToGrid w:val="0"/>
              <w:ind w:left="0"/>
              <w:jc w:val="both"/>
              <w:rPr>
                <w:rFonts w:ascii="Bookman Old Style" w:hAnsi="Bookman Old Style" w:cs="Arial"/>
                <w:b/>
                <w:bCs/>
              </w:rPr>
            </w:pPr>
            <w:r w:rsidRPr="00C2343E">
              <w:rPr>
                <w:rFonts w:ascii="Bookman Old Style" w:hAnsi="Bookman Old Style" w:cs="Arial"/>
                <w:b/>
                <w:bCs/>
              </w:rPr>
              <w:t xml:space="preserve">    </w:t>
            </w:r>
            <w:r>
              <w:rPr>
                <w:rFonts w:ascii="Bookman Old Style" w:hAnsi="Bookman Old Style" w:cs="Arial"/>
                <w:b/>
                <w:bCs/>
              </w:rPr>
              <w:t>ANGELA P. ROJAS COMBARIZA</w:t>
            </w:r>
          </w:p>
        </w:tc>
        <w:tc>
          <w:tcPr>
            <w:tcW w:w="4678" w:type="dxa"/>
            <w:hideMark/>
          </w:tcPr>
          <w:p w14:paraId="1923EB32" w14:textId="77777777" w:rsidR="007346AF" w:rsidRPr="00C2343E" w:rsidRDefault="007346AF" w:rsidP="007F238F">
            <w:pPr>
              <w:snapToGrid w:val="0"/>
              <w:ind w:left="0"/>
              <w:jc w:val="both"/>
              <w:rPr>
                <w:rFonts w:ascii="Bookman Old Style" w:hAnsi="Bookman Old Style" w:cs="Arial"/>
                <w:b/>
                <w:bCs/>
              </w:rPr>
            </w:pPr>
            <w:r w:rsidRPr="00C2343E">
              <w:rPr>
                <w:rFonts w:ascii="Bookman Old Style" w:hAnsi="Bookman Old Style" w:cs="Arial"/>
                <w:b/>
                <w:bCs/>
              </w:rPr>
              <w:t xml:space="preserve">CARLOS FERNANDO ERASO CALERO </w:t>
            </w:r>
          </w:p>
        </w:tc>
      </w:tr>
      <w:tr w:rsidR="007346AF" w:rsidRPr="00C2343E" w14:paraId="6EDC71DB" w14:textId="77777777" w:rsidTr="007F238F">
        <w:tc>
          <w:tcPr>
            <w:tcW w:w="4820" w:type="dxa"/>
            <w:hideMark/>
          </w:tcPr>
          <w:p w14:paraId="0ACF2E96" w14:textId="77777777" w:rsidR="007346AF" w:rsidRPr="00C2343E" w:rsidRDefault="007346AF" w:rsidP="007F238F">
            <w:pPr>
              <w:snapToGrid w:val="0"/>
              <w:jc w:val="both"/>
              <w:rPr>
                <w:rFonts w:ascii="Bookman Old Style" w:hAnsi="Bookman Old Style" w:cs="Arial"/>
              </w:rPr>
            </w:pPr>
            <w:r w:rsidRPr="00C2343E">
              <w:rPr>
                <w:rFonts w:ascii="Bookman Old Style" w:hAnsi="Bookman Old Style" w:cs="Arial"/>
              </w:rPr>
              <w:t xml:space="preserve">    Viceministr</w:t>
            </w:r>
            <w:r>
              <w:rPr>
                <w:rFonts w:ascii="Bookman Old Style" w:hAnsi="Bookman Old Style" w:cs="Arial"/>
              </w:rPr>
              <w:t>a</w:t>
            </w:r>
            <w:r w:rsidRPr="00C2343E">
              <w:rPr>
                <w:rFonts w:ascii="Bookman Old Style" w:hAnsi="Bookman Old Style" w:cs="Arial"/>
              </w:rPr>
              <w:t xml:space="preserve"> de Energía </w:t>
            </w:r>
            <w:r>
              <w:rPr>
                <w:rFonts w:ascii="Bookman Old Style" w:hAnsi="Bookman Old Style" w:cs="Arial"/>
              </w:rPr>
              <w:t>(E)</w:t>
            </w:r>
          </w:p>
          <w:p w14:paraId="493ADEF3" w14:textId="77777777" w:rsidR="007346AF" w:rsidRDefault="007346AF" w:rsidP="007F238F">
            <w:pPr>
              <w:snapToGrid w:val="0"/>
              <w:ind w:left="0"/>
              <w:jc w:val="center"/>
              <w:rPr>
                <w:rFonts w:ascii="Bookman Old Style" w:hAnsi="Bookman Old Style" w:cs="Arial"/>
              </w:rPr>
            </w:pPr>
            <w:r w:rsidRPr="00C2343E">
              <w:rPr>
                <w:rFonts w:ascii="Bookman Old Style" w:hAnsi="Bookman Old Style" w:cs="Arial"/>
              </w:rPr>
              <w:t>Delegad</w:t>
            </w:r>
            <w:r>
              <w:rPr>
                <w:rFonts w:ascii="Bookman Old Style" w:hAnsi="Bookman Old Style" w:cs="Arial"/>
              </w:rPr>
              <w:t>a</w:t>
            </w:r>
            <w:r w:rsidRPr="00C2343E">
              <w:rPr>
                <w:rFonts w:ascii="Bookman Old Style" w:hAnsi="Bookman Old Style" w:cs="Arial"/>
              </w:rPr>
              <w:t xml:space="preserve"> del Ministro de Minas y Energía</w:t>
            </w:r>
          </w:p>
          <w:p w14:paraId="7287DB6D" w14:textId="77777777" w:rsidR="007346AF" w:rsidRPr="00C2343E" w:rsidRDefault="007346AF" w:rsidP="007F238F">
            <w:pPr>
              <w:snapToGrid w:val="0"/>
              <w:ind w:left="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President</w:t>
            </w:r>
            <w:r>
              <w:rPr>
                <w:rFonts w:ascii="Bookman Old Style" w:hAnsi="Bookman Old Style" w:cs="Arial"/>
              </w:rPr>
              <w:t>a</w:t>
            </w:r>
          </w:p>
        </w:tc>
        <w:tc>
          <w:tcPr>
            <w:tcW w:w="4678" w:type="dxa"/>
            <w:hideMark/>
          </w:tcPr>
          <w:p w14:paraId="60F9EBEB" w14:textId="77777777" w:rsidR="007346AF" w:rsidRPr="00C2343E" w:rsidRDefault="007346AF" w:rsidP="007F238F">
            <w:pPr>
              <w:snapToGrid w:val="0"/>
              <w:jc w:val="both"/>
              <w:rPr>
                <w:rFonts w:ascii="Bookman Old Style" w:hAnsi="Bookman Old Style" w:cs="Arial"/>
              </w:rPr>
            </w:pPr>
            <w:r w:rsidRPr="00C2343E">
              <w:rPr>
                <w:rFonts w:ascii="Bookman Old Style" w:hAnsi="Bookman Old Style" w:cs="Arial"/>
              </w:rPr>
              <w:t xml:space="preserve">          Director Ejecutivo</w:t>
            </w:r>
          </w:p>
        </w:tc>
      </w:tr>
    </w:tbl>
    <w:p w14:paraId="656A066F" w14:textId="77777777" w:rsidR="00C33CEE" w:rsidRPr="004B3B4B" w:rsidRDefault="00C33CEE" w:rsidP="005B1078">
      <w:pPr>
        <w:ind w:left="0"/>
        <w:jc w:val="center"/>
        <w:rPr>
          <w:rFonts w:ascii="Bookman Old Style" w:hAnsi="Bookman Old Style"/>
          <w:color w:val="000000" w:themeColor="text1"/>
        </w:rPr>
      </w:pPr>
    </w:p>
    <w:p w14:paraId="158ED285" w14:textId="77777777" w:rsidR="000D6E82" w:rsidRPr="004B3B4B" w:rsidRDefault="000D6E82" w:rsidP="005B1078">
      <w:pPr>
        <w:ind w:left="0"/>
        <w:jc w:val="center"/>
        <w:rPr>
          <w:rFonts w:ascii="Bookman Old Style" w:hAnsi="Bookman Old Style"/>
          <w:color w:val="000000" w:themeColor="text1"/>
        </w:rPr>
      </w:pPr>
    </w:p>
    <w:p w14:paraId="49C84AD3" w14:textId="1D7D74FD" w:rsidR="007134B0" w:rsidRPr="004B3B4B" w:rsidRDefault="007134B0" w:rsidP="004A0407">
      <w:pPr>
        <w:tabs>
          <w:tab w:val="left" w:pos="1478"/>
        </w:tabs>
        <w:ind w:left="0"/>
        <w:rPr>
          <w:rFonts w:ascii="Bookman Old Style" w:hAnsi="Bookman Old Style" w:cs="Arial"/>
          <w:color w:val="000000" w:themeColor="text1"/>
        </w:rPr>
      </w:pPr>
    </w:p>
    <w:p w14:paraId="70FDC55B" w14:textId="77777777" w:rsidR="007134B0" w:rsidRPr="004B3B4B" w:rsidRDefault="007134B0">
      <w:pPr>
        <w:ind w:left="0"/>
        <w:rPr>
          <w:rFonts w:ascii="Bookman Old Style" w:hAnsi="Bookman Old Style" w:cs="Arial"/>
          <w:color w:val="000000" w:themeColor="text1"/>
        </w:rPr>
      </w:pPr>
      <w:r w:rsidRPr="004B3B4B">
        <w:rPr>
          <w:rFonts w:ascii="Bookman Old Style" w:hAnsi="Bookman Old Style" w:cs="Arial"/>
          <w:color w:val="000000" w:themeColor="text1"/>
        </w:rPr>
        <w:br w:type="page"/>
      </w:r>
    </w:p>
    <w:p w14:paraId="26C2E2A4" w14:textId="714866E2" w:rsidR="00EE3106" w:rsidRPr="004B3B4B" w:rsidRDefault="007134B0" w:rsidP="00BF38C0">
      <w:pPr>
        <w:tabs>
          <w:tab w:val="left" w:pos="1478"/>
        </w:tabs>
        <w:ind w:left="0"/>
        <w:jc w:val="center"/>
        <w:rPr>
          <w:rFonts w:ascii="Bookman Old Style" w:hAnsi="Bookman Old Style" w:cs="Arial"/>
          <w:b/>
          <w:color w:val="000000" w:themeColor="text1"/>
        </w:rPr>
      </w:pPr>
      <w:r w:rsidRPr="004B3B4B">
        <w:rPr>
          <w:rFonts w:ascii="Bookman Old Style" w:hAnsi="Bookman Old Style" w:cs="Arial"/>
          <w:b/>
          <w:color w:val="000000" w:themeColor="text1"/>
        </w:rPr>
        <w:lastRenderedPageBreak/>
        <w:t>Anexo</w:t>
      </w:r>
    </w:p>
    <w:p w14:paraId="52891DC8" w14:textId="77777777" w:rsidR="007134B0" w:rsidRPr="004B3B4B" w:rsidRDefault="007134B0" w:rsidP="00BF38C0">
      <w:pPr>
        <w:tabs>
          <w:tab w:val="left" w:pos="1478"/>
        </w:tabs>
        <w:ind w:left="0"/>
        <w:jc w:val="center"/>
        <w:rPr>
          <w:rFonts w:ascii="Bookman Old Style" w:hAnsi="Bookman Old Style" w:cs="Arial"/>
          <w:b/>
          <w:color w:val="000000" w:themeColor="text1"/>
        </w:rPr>
      </w:pPr>
    </w:p>
    <w:p w14:paraId="019FD528" w14:textId="2001D112" w:rsidR="007134B0" w:rsidRPr="000F0194" w:rsidRDefault="007134B0" w:rsidP="00BF38C0">
      <w:pPr>
        <w:tabs>
          <w:tab w:val="left" w:pos="1478"/>
        </w:tabs>
        <w:ind w:left="0"/>
        <w:jc w:val="center"/>
        <w:rPr>
          <w:rFonts w:ascii="Bookman Old Style" w:hAnsi="Bookman Old Style" w:cs="Arial"/>
          <w:b/>
          <w:color w:val="000000" w:themeColor="text1"/>
        </w:rPr>
      </w:pPr>
      <w:r w:rsidRPr="000F0194">
        <w:rPr>
          <w:rFonts w:ascii="Bookman Old Style" w:hAnsi="Bookman Old Style" w:cs="Arial"/>
          <w:b/>
          <w:color w:val="000000" w:themeColor="text1"/>
        </w:rPr>
        <w:t>Disposiciones generales para la constitu</w:t>
      </w:r>
      <w:r w:rsidR="00E31CD2" w:rsidRPr="000F0194">
        <w:rPr>
          <w:rFonts w:ascii="Bookman Old Style" w:hAnsi="Bookman Old Style" w:cs="Arial"/>
          <w:b/>
          <w:color w:val="000000" w:themeColor="text1"/>
        </w:rPr>
        <w:t xml:space="preserve">ción del fideicomiso o patrimonio autónomo que administrará </w:t>
      </w:r>
      <w:r w:rsidR="000F0194" w:rsidRPr="000F0194">
        <w:rPr>
          <w:rFonts w:ascii="Bookman Old Style" w:hAnsi="Bookman Old Style" w:cs="Arial"/>
          <w:b/>
          <w:color w:val="000000" w:themeColor="text1"/>
        </w:rPr>
        <w:t>las garantías de cumplimiento de puesta en operación y de cumplimiento</w:t>
      </w:r>
      <w:r w:rsidR="00E31CD2" w:rsidRPr="000F0194">
        <w:rPr>
          <w:rFonts w:ascii="Bookman Old Style" w:hAnsi="Bookman Old Style" w:cs="Arial"/>
          <w:b/>
          <w:color w:val="000000" w:themeColor="text1"/>
        </w:rPr>
        <w:t xml:space="preserve"> de que trata el artículo 30 de la Resolución CREG 124 de 2013</w:t>
      </w:r>
      <w:r w:rsidR="006D3D61" w:rsidRPr="000F0194">
        <w:rPr>
          <w:rFonts w:ascii="Bookman Old Style" w:hAnsi="Bookman Old Style" w:cs="Arial"/>
          <w:b/>
          <w:color w:val="000000" w:themeColor="text1"/>
          <w:lang w:eastAsia="es-CO"/>
        </w:rPr>
        <w:t>, modificado por el artículo 3 de la Resolución CREG 032 de 2014</w:t>
      </w:r>
    </w:p>
    <w:p w14:paraId="38C94807" w14:textId="77777777" w:rsidR="00E31CD2" w:rsidRPr="004B3B4B" w:rsidRDefault="00E31CD2" w:rsidP="00BF38C0">
      <w:pPr>
        <w:tabs>
          <w:tab w:val="left" w:pos="1478"/>
        </w:tabs>
        <w:ind w:left="0"/>
        <w:jc w:val="both"/>
        <w:rPr>
          <w:rFonts w:ascii="Bookman Old Style" w:hAnsi="Bookman Old Style" w:cs="Arial"/>
          <w:b/>
          <w:color w:val="000000" w:themeColor="text1"/>
        </w:rPr>
      </w:pPr>
    </w:p>
    <w:p w14:paraId="649E4B39" w14:textId="17DFC3C1" w:rsidR="00E31CD2" w:rsidRPr="004B3B4B" w:rsidRDefault="00E31CD2"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bookmarkStart w:id="1" w:name="_Ref390416550"/>
      <w:r w:rsidRPr="004B3B4B">
        <w:rPr>
          <w:rFonts w:ascii="Bookman Old Style" w:hAnsi="Bookman Old Style" w:cs="Arial"/>
          <w:b/>
          <w:color w:val="000000" w:themeColor="text1"/>
          <w:sz w:val="24"/>
          <w:szCs w:val="24"/>
        </w:rPr>
        <w:t>Objeto del fideicomiso o patrimonio autónomo que se constituya</w:t>
      </w:r>
      <w:bookmarkEnd w:id="1"/>
    </w:p>
    <w:p w14:paraId="19F375B9" w14:textId="77777777" w:rsidR="00E31CD2" w:rsidRPr="004B3B4B" w:rsidRDefault="00E31CD2" w:rsidP="00BF38C0">
      <w:pPr>
        <w:tabs>
          <w:tab w:val="left" w:pos="1478"/>
        </w:tabs>
        <w:ind w:left="0"/>
        <w:jc w:val="both"/>
        <w:rPr>
          <w:rFonts w:ascii="Bookman Old Style" w:hAnsi="Bookman Old Style" w:cs="Arial"/>
          <w:b/>
          <w:color w:val="000000" w:themeColor="text1"/>
        </w:rPr>
      </w:pPr>
    </w:p>
    <w:p w14:paraId="1BEC2844" w14:textId="6A90C770" w:rsidR="00E31CD2" w:rsidRPr="004B3B4B" w:rsidRDefault="00E31CD2" w:rsidP="00BF38C0">
      <w:pPr>
        <w:pStyle w:val="ARTICULOS"/>
        <w:numPr>
          <w:ilvl w:val="0"/>
          <w:numId w:val="0"/>
        </w:numPr>
        <w:tabs>
          <w:tab w:val="left" w:pos="1560"/>
        </w:tabs>
        <w:rPr>
          <w:rFonts w:cs="Arial"/>
          <w:color w:val="000000"/>
          <w:lang w:val="es-CO"/>
        </w:rPr>
      </w:pPr>
      <w:r w:rsidRPr="004B3B4B">
        <w:rPr>
          <w:rFonts w:cs="Arial"/>
          <w:color w:val="000000"/>
          <w:lang w:val="es-CO"/>
        </w:rPr>
        <w:t>Cuando el proponente que resulte seleccionado</w:t>
      </w:r>
      <w:r w:rsidR="00463ED2" w:rsidRPr="004B3B4B">
        <w:rPr>
          <w:rFonts w:cs="Arial"/>
          <w:color w:val="000000"/>
          <w:lang w:val="es-CO"/>
        </w:rPr>
        <w:t xml:space="preserve"> como gestor del mercado</w:t>
      </w:r>
      <w:r w:rsidRPr="004B3B4B">
        <w:rPr>
          <w:rFonts w:cs="Arial"/>
          <w:color w:val="000000"/>
          <w:lang w:val="es-CO"/>
        </w:rPr>
        <w:t xml:space="preserve"> constituya el fideicomiso o patrimonio autónomo deberá hacerlo exclusivamente con el siguiente objeto:</w:t>
      </w:r>
    </w:p>
    <w:p w14:paraId="7EF3A085" w14:textId="77777777" w:rsidR="00E31CD2" w:rsidRPr="004B3B4B" w:rsidRDefault="00E31CD2" w:rsidP="00BF38C0">
      <w:pPr>
        <w:pStyle w:val="ARTICULOS"/>
        <w:numPr>
          <w:ilvl w:val="0"/>
          <w:numId w:val="0"/>
        </w:numPr>
        <w:tabs>
          <w:tab w:val="left" w:pos="1560"/>
        </w:tabs>
        <w:rPr>
          <w:rFonts w:cs="Arial"/>
          <w:color w:val="000000"/>
          <w:lang w:val="es-CO"/>
        </w:rPr>
      </w:pPr>
    </w:p>
    <w:p w14:paraId="598A6676" w14:textId="4ED70216" w:rsidR="00E31CD2" w:rsidRPr="004B3B4B" w:rsidRDefault="006D3D61" w:rsidP="00BF38C0">
      <w:pPr>
        <w:pStyle w:val="ARTICULOS"/>
        <w:numPr>
          <w:ilvl w:val="0"/>
          <w:numId w:val="0"/>
        </w:numPr>
        <w:tabs>
          <w:tab w:val="left" w:pos="1560"/>
        </w:tabs>
        <w:rPr>
          <w:rFonts w:cs="Arial"/>
          <w:color w:val="000000"/>
          <w:lang w:val="es-CO"/>
        </w:rPr>
      </w:pPr>
      <w:r w:rsidRPr="004B3B4B">
        <w:rPr>
          <w:rFonts w:cs="Arial"/>
          <w:color w:val="000000"/>
          <w:lang w:val="es-CO"/>
        </w:rPr>
        <w:t xml:space="preserve">A través de una </w:t>
      </w:r>
      <w:r w:rsidR="00E31CD2" w:rsidRPr="004B3B4B">
        <w:rPr>
          <w:rFonts w:cs="Arial"/>
          <w:color w:val="000000"/>
          <w:lang w:val="es-CO"/>
        </w:rPr>
        <w:t>sociedad fiduciaria</w:t>
      </w:r>
      <w:r w:rsidRPr="004B3B4B">
        <w:rPr>
          <w:rFonts w:cs="Arial"/>
          <w:color w:val="000000"/>
          <w:lang w:val="es-CO"/>
        </w:rPr>
        <w:t>,</w:t>
      </w:r>
      <w:r w:rsidR="00E31CD2" w:rsidRPr="004B3B4B">
        <w:rPr>
          <w:rFonts w:cs="Arial"/>
          <w:color w:val="000000"/>
          <w:lang w:val="es-CO"/>
        </w:rPr>
        <w:t xml:space="preserve"> </w:t>
      </w:r>
      <w:r w:rsidR="00463ED2" w:rsidRPr="004B3B4B">
        <w:rPr>
          <w:rFonts w:cs="Arial"/>
          <w:color w:val="000000"/>
          <w:lang w:val="es-CO"/>
        </w:rPr>
        <w:t>constituir</w:t>
      </w:r>
      <w:r w:rsidR="00E31CD2" w:rsidRPr="004B3B4B">
        <w:rPr>
          <w:rFonts w:cs="Arial"/>
          <w:color w:val="000000"/>
          <w:lang w:val="es-CO"/>
        </w:rPr>
        <w:t xml:space="preserve"> un fideicomiso o patrimonio autónomo con el objeto de realizar la administración </w:t>
      </w:r>
      <w:r w:rsidR="00463ED2" w:rsidRPr="004B3B4B">
        <w:rPr>
          <w:rFonts w:cs="Arial"/>
          <w:color w:val="000000"/>
          <w:lang w:val="es-CO"/>
        </w:rPr>
        <w:t>de las garantías de cumplimiento de puesta en operación y de cumplimiento, de que trata el artículo 30 de la Resolución CREG  124 de 2013, modificado por el artículo 3 de la Resolución CREG 032 de 2014.</w:t>
      </w:r>
    </w:p>
    <w:p w14:paraId="2D89B5BA" w14:textId="77777777" w:rsidR="00E31CD2" w:rsidRPr="004B3B4B" w:rsidRDefault="00E31CD2" w:rsidP="00BF38C0">
      <w:pPr>
        <w:pStyle w:val="ARTICULOS"/>
        <w:numPr>
          <w:ilvl w:val="0"/>
          <w:numId w:val="0"/>
        </w:numPr>
        <w:tabs>
          <w:tab w:val="left" w:pos="1560"/>
        </w:tabs>
        <w:rPr>
          <w:rFonts w:cs="Arial"/>
          <w:color w:val="000000"/>
          <w:lang w:val="es-CO"/>
        </w:rPr>
      </w:pPr>
    </w:p>
    <w:p w14:paraId="170D79E3" w14:textId="29B2ACAE" w:rsidR="00E31CD2" w:rsidRPr="004B3B4B" w:rsidRDefault="00E31CD2" w:rsidP="00BF38C0">
      <w:pPr>
        <w:pStyle w:val="ARTICULOS"/>
        <w:numPr>
          <w:ilvl w:val="0"/>
          <w:numId w:val="0"/>
        </w:numPr>
        <w:tabs>
          <w:tab w:val="left" w:pos="1560"/>
        </w:tabs>
        <w:rPr>
          <w:rFonts w:cs="Arial"/>
          <w:color w:val="000000"/>
          <w:lang w:val="es-CO"/>
        </w:rPr>
      </w:pPr>
      <w:r w:rsidRPr="004B3B4B">
        <w:rPr>
          <w:rFonts w:cs="Arial"/>
          <w:color w:val="000000"/>
          <w:lang w:val="es-CO"/>
        </w:rPr>
        <w:t xml:space="preserve">Para </w:t>
      </w:r>
      <w:r w:rsidR="00463ED2" w:rsidRPr="004B3B4B">
        <w:rPr>
          <w:rFonts w:cs="Arial"/>
          <w:color w:val="000000"/>
          <w:lang w:val="es-CO"/>
        </w:rPr>
        <w:t>los anteriores efectos</w:t>
      </w:r>
      <w:r w:rsidRPr="004B3B4B">
        <w:rPr>
          <w:rFonts w:cs="Arial"/>
          <w:color w:val="000000"/>
          <w:lang w:val="es-CO"/>
        </w:rPr>
        <w:t xml:space="preserve"> se entiende por la administración de las garantías los procesos de: i) recibir; ii) aprobar o rechazar; iii) custodiar; iv) ejecutar las garantías de </w:t>
      </w:r>
      <w:r w:rsidR="00463ED2" w:rsidRPr="004B3B4B">
        <w:rPr>
          <w:rFonts w:cs="Arial"/>
          <w:color w:val="000000"/>
          <w:lang w:val="es-CO"/>
        </w:rPr>
        <w:t>cumplimiento de puesta en operación o de cumplimiento</w:t>
      </w:r>
      <w:r w:rsidRPr="004B3B4B">
        <w:rPr>
          <w:rFonts w:cs="Arial"/>
          <w:color w:val="000000"/>
          <w:lang w:val="es-CO"/>
        </w:rPr>
        <w:t>, si es del caso; v) trasladar los recursos producto de la ejecución de las garantías a los beneficiarios del fideicomiso o patrimonio autónomo; y vi) devolver las garantías si las mismas no son ejecutadas, de conformidad con lo establecido en la Resolución CREG 124 de 2013, o aquellas que la modifiquen, adicionen o sustituyan.</w:t>
      </w:r>
    </w:p>
    <w:p w14:paraId="5F631485" w14:textId="77777777" w:rsidR="00E31CD2" w:rsidRPr="004B3B4B" w:rsidRDefault="00E31CD2" w:rsidP="00BF38C0">
      <w:pPr>
        <w:tabs>
          <w:tab w:val="left" w:pos="1478"/>
        </w:tabs>
        <w:ind w:left="0"/>
        <w:jc w:val="both"/>
        <w:rPr>
          <w:rFonts w:ascii="Bookman Old Style" w:hAnsi="Bookman Old Style" w:cs="Arial"/>
          <w:b/>
          <w:color w:val="000000" w:themeColor="text1"/>
          <w:lang w:val="es-CO"/>
        </w:rPr>
      </w:pPr>
    </w:p>
    <w:p w14:paraId="7EA1950B" w14:textId="0AC4F82A" w:rsidR="00E31CD2" w:rsidRPr="004B3B4B" w:rsidRDefault="00E31CD2"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Alcance del objeto del fideicomiso o patrimonio autónomo que se constituya</w:t>
      </w:r>
    </w:p>
    <w:p w14:paraId="7B09C0B8" w14:textId="77777777" w:rsidR="00E31CD2" w:rsidRPr="004B3B4B" w:rsidRDefault="00E31CD2" w:rsidP="00BF38C0">
      <w:pPr>
        <w:pStyle w:val="Prrafodelista"/>
        <w:tabs>
          <w:tab w:val="left" w:pos="1478"/>
        </w:tabs>
        <w:ind w:left="567"/>
        <w:jc w:val="both"/>
        <w:rPr>
          <w:rFonts w:ascii="Bookman Old Style" w:hAnsi="Bookman Old Style" w:cs="Arial"/>
          <w:b/>
          <w:color w:val="000000" w:themeColor="text1"/>
          <w:sz w:val="24"/>
          <w:szCs w:val="24"/>
        </w:rPr>
      </w:pPr>
    </w:p>
    <w:p w14:paraId="5E1B21DB" w14:textId="5A715309" w:rsidR="00E31CD2" w:rsidRPr="004B3B4B" w:rsidRDefault="00E31CD2" w:rsidP="00BF38C0">
      <w:pPr>
        <w:pStyle w:val="ARTICULOS"/>
        <w:numPr>
          <w:ilvl w:val="0"/>
          <w:numId w:val="0"/>
        </w:numPr>
        <w:tabs>
          <w:tab w:val="left" w:pos="1560"/>
        </w:tabs>
        <w:rPr>
          <w:rFonts w:cs="Arial"/>
          <w:color w:val="000000"/>
          <w:lang w:val="es-CO"/>
        </w:rPr>
      </w:pPr>
      <w:r w:rsidRPr="004B3B4B">
        <w:rPr>
          <w:rFonts w:cs="Arial"/>
          <w:color w:val="000000"/>
          <w:lang w:val="es-CO"/>
        </w:rPr>
        <w:t>Para el logro del objeto propuesto</w:t>
      </w:r>
      <w:r w:rsidR="00463ED2" w:rsidRPr="004B3B4B">
        <w:rPr>
          <w:rFonts w:cs="Arial"/>
          <w:color w:val="000000"/>
          <w:lang w:val="es-CO"/>
        </w:rPr>
        <w:t xml:space="preserve"> en el numeral </w:t>
      </w:r>
      <w:r w:rsidR="00463ED2" w:rsidRPr="004B3B4B">
        <w:rPr>
          <w:rFonts w:cs="Arial"/>
          <w:color w:val="000000"/>
          <w:lang w:val="es-CO"/>
        </w:rPr>
        <w:fldChar w:fldCharType="begin"/>
      </w:r>
      <w:r w:rsidR="00463ED2" w:rsidRPr="004B3B4B">
        <w:rPr>
          <w:rFonts w:cs="Arial"/>
          <w:color w:val="000000"/>
          <w:lang w:val="es-CO"/>
        </w:rPr>
        <w:instrText xml:space="preserve"> REF _Ref390416550 \r \h </w:instrText>
      </w:r>
      <w:r w:rsidR="000D1414" w:rsidRPr="004B3B4B">
        <w:rPr>
          <w:rFonts w:cs="Arial"/>
          <w:color w:val="000000"/>
          <w:lang w:val="es-CO"/>
        </w:rPr>
        <w:instrText xml:space="preserve"> \* MERGEFORMAT </w:instrText>
      </w:r>
      <w:r w:rsidR="00463ED2" w:rsidRPr="004B3B4B">
        <w:rPr>
          <w:rFonts w:cs="Arial"/>
          <w:color w:val="000000"/>
          <w:lang w:val="es-CO"/>
        </w:rPr>
      </w:r>
      <w:r w:rsidR="00463ED2" w:rsidRPr="004B3B4B">
        <w:rPr>
          <w:rFonts w:cs="Arial"/>
          <w:color w:val="000000"/>
          <w:lang w:val="es-CO"/>
        </w:rPr>
        <w:fldChar w:fldCharType="separate"/>
      </w:r>
      <w:r w:rsidR="005C2CFE">
        <w:rPr>
          <w:rFonts w:cs="Arial"/>
          <w:color w:val="000000"/>
          <w:lang w:val="es-CO"/>
        </w:rPr>
        <w:t>1</w:t>
      </w:r>
      <w:r w:rsidR="00463ED2" w:rsidRPr="004B3B4B">
        <w:rPr>
          <w:rFonts w:cs="Arial"/>
          <w:color w:val="000000"/>
          <w:lang w:val="es-CO"/>
        </w:rPr>
        <w:fldChar w:fldCharType="end"/>
      </w:r>
      <w:r w:rsidR="00463ED2" w:rsidRPr="004B3B4B">
        <w:rPr>
          <w:rFonts w:cs="Arial"/>
          <w:color w:val="000000"/>
          <w:lang w:val="es-CO"/>
        </w:rPr>
        <w:t xml:space="preserve"> de este Anexo</w:t>
      </w:r>
      <w:r w:rsidRPr="004B3B4B">
        <w:rPr>
          <w:rFonts w:cs="Arial"/>
          <w:color w:val="000000"/>
          <w:lang w:val="es-CO"/>
        </w:rPr>
        <w:t xml:space="preserve"> se deberán desarrollar como mínimo las actividades que se </w:t>
      </w:r>
      <w:r w:rsidR="000F0194">
        <w:rPr>
          <w:rFonts w:cs="Arial"/>
          <w:color w:val="000000"/>
          <w:lang w:val="es-CO"/>
        </w:rPr>
        <w:t>establecen</w:t>
      </w:r>
      <w:r w:rsidRPr="004B3B4B">
        <w:rPr>
          <w:rFonts w:cs="Arial"/>
          <w:color w:val="000000"/>
          <w:lang w:val="es-CO"/>
        </w:rPr>
        <w:t xml:space="preserve"> a continuación, por parte de la sociedad fiduciaria responsable del fideicomiso o patrimonio autónomo que </w:t>
      </w:r>
      <w:r w:rsidR="00463ED2" w:rsidRPr="004B3B4B">
        <w:rPr>
          <w:rFonts w:cs="Arial"/>
          <w:color w:val="000000"/>
          <w:lang w:val="es-CO"/>
        </w:rPr>
        <w:t xml:space="preserve">se </w:t>
      </w:r>
      <w:r w:rsidRPr="004B3B4B">
        <w:rPr>
          <w:rFonts w:cs="Arial"/>
          <w:color w:val="000000"/>
          <w:lang w:val="es-CO"/>
        </w:rPr>
        <w:t>constituya, sin limitarse a ellas:</w:t>
      </w:r>
    </w:p>
    <w:p w14:paraId="51EEBCC7" w14:textId="77777777" w:rsidR="00E31CD2" w:rsidRPr="000F0194" w:rsidRDefault="00E31CD2" w:rsidP="00BF38C0">
      <w:pPr>
        <w:pStyle w:val="Textoindependiente"/>
        <w:ind w:left="0"/>
        <w:jc w:val="both"/>
        <w:rPr>
          <w:rFonts w:ascii="Bookman Old Style" w:hAnsi="Bookman Old Style" w:cs="Arial"/>
          <w:lang w:val="es-CO"/>
        </w:rPr>
      </w:pPr>
    </w:p>
    <w:p w14:paraId="4ECCFF8D" w14:textId="18AAADDB" w:rsidR="00E31CD2" w:rsidRPr="004B3B4B" w:rsidRDefault="00E31CD2" w:rsidP="00BF38C0">
      <w:pPr>
        <w:pStyle w:val="ARTICULOS"/>
        <w:numPr>
          <w:ilvl w:val="0"/>
          <w:numId w:val="0"/>
        </w:numPr>
        <w:tabs>
          <w:tab w:val="left" w:pos="1560"/>
        </w:tabs>
        <w:rPr>
          <w:rFonts w:cs="Arial"/>
          <w:bCs w:val="0"/>
          <w:color w:val="000000"/>
          <w:lang w:val="es-ES"/>
        </w:rPr>
      </w:pPr>
      <w:r w:rsidRPr="004B3B4B">
        <w:rPr>
          <w:rFonts w:cs="Arial"/>
          <w:color w:val="000000"/>
          <w:lang w:val="es-CO"/>
        </w:rPr>
        <w:t>Para</w:t>
      </w:r>
      <w:r w:rsidRPr="004B3B4B">
        <w:rPr>
          <w:rFonts w:cs="Arial"/>
          <w:bCs w:val="0"/>
          <w:color w:val="000000"/>
          <w:lang w:val="es-ES"/>
        </w:rPr>
        <w:t xml:space="preserve"> </w:t>
      </w:r>
      <w:r w:rsidR="00463ED2" w:rsidRPr="004B3B4B">
        <w:rPr>
          <w:rFonts w:cs="Arial"/>
          <w:bCs w:val="0"/>
          <w:color w:val="000000"/>
          <w:lang w:val="es-ES"/>
        </w:rPr>
        <w:t xml:space="preserve">la garantía de cumplimiento de puesta en operación y/o para la garantía de cumplimiento que sean </w:t>
      </w:r>
      <w:r w:rsidRPr="004B3B4B">
        <w:rPr>
          <w:rFonts w:cs="Arial"/>
          <w:bCs w:val="0"/>
          <w:color w:val="000000"/>
          <w:lang w:val="es-ES"/>
        </w:rPr>
        <w:t xml:space="preserve">objeto de recibo por parte de la sociedad fiduciaria seleccionada </w:t>
      </w:r>
      <w:r w:rsidR="00463ED2" w:rsidRPr="004B3B4B">
        <w:rPr>
          <w:rFonts w:cs="Arial"/>
          <w:bCs w:val="0"/>
          <w:color w:val="000000"/>
          <w:lang w:val="es-ES"/>
        </w:rPr>
        <w:t>por el proponente que resulte seleccionado como gestor del mercado</w:t>
      </w:r>
      <w:r w:rsidR="000D1414" w:rsidRPr="004B3B4B">
        <w:rPr>
          <w:rFonts w:cs="Arial"/>
          <w:bCs w:val="0"/>
          <w:color w:val="000000"/>
          <w:lang w:val="es-ES"/>
        </w:rPr>
        <w:t>,</w:t>
      </w:r>
      <w:r w:rsidRPr="004B3B4B">
        <w:rPr>
          <w:rFonts w:cs="Arial"/>
          <w:bCs w:val="0"/>
          <w:color w:val="000000"/>
          <w:lang w:val="es-ES"/>
        </w:rPr>
        <w:t xml:space="preserve"> implementar los medios y procedimientos para: i) recibir; ii) aprobar o rechazar; iii) custodiar; iv) ejecutar las garantías si es del caso; v) trasladar los recursos correspondientes a los beneficiarios previstos en el artículo 30 de la Resolución CREG 124 de 2013, modificado por el artículo 3 de la Resolución CREG 032 de 2014; y vi) devolver las garantías en caso de que no sean ejecutadas.</w:t>
      </w:r>
    </w:p>
    <w:p w14:paraId="29749539" w14:textId="77777777" w:rsidR="00E31CD2" w:rsidRPr="004B3B4B" w:rsidRDefault="00E31CD2" w:rsidP="00BF38C0">
      <w:pPr>
        <w:pStyle w:val="ARTICULOS"/>
        <w:numPr>
          <w:ilvl w:val="0"/>
          <w:numId w:val="0"/>
        </w:numPr>
        <w:tabs>
          <w:tab w:val="left" w:pos="709"/>
        </w:tabs>
        <w:rPr>
          <w:rFonts w:cs="Arial"/>
          <w:color w:val="000000"/>
          <w:lang w:val="es-ES"/>
        </w:rPr>
      </w:pPr>
    </w:p>
    <w:p w14:paraId="788D6CBE" w14:textId="74644CAB" w:rsidR="00E31CD2" w:rsidRPr="004B3B4B" w:rsidRDefault="006D3D61" w:rsidP="00BF38C0">
      <w:pPr>
        <w:pStyle w:val="ARTICULOS"/>
        <w:numPr>
          <w:ilvl w:val="0"/>
          <w:numId w:val="0"/>
        </w:numPr>
        <w:tabs>
          <w:tab w:val="left" w:pos="1701"/>
        </w:tabs>
        <w:rPr>
          <w:rFonts w:cs="Arial"/>
          <w:color w:val="000000"/>
          <w:lang w:val="es-ES"/>
        </w:rPr>
      </w:pPr>
      <w:r w:rsidRPr="004B3B4B">
        <w:rPr>
          <w:rFonts w:cs="Arial"/>
          <w:color w:val="000000"/>
          <w:lang w:val="es-ES"/>
        </w:rPr>
        <w:lastRenderedPageBreak/>
        <w:t>L</w:t>
      </w:r>
      <w:r w:rsidR="00E31CD2" w:rsidRPr="004B3B4B">
        <w:rPr>
          <w:rFonts w:cs="Arial"/>
          <w:color w:val="000000"/>
          <w:lang w:val="es-ES"/>
        </w:rPr>
        <w:t>as garantías deberán corresponder a uno o varios de los instrumentos</w:t>
      </w:r>
      <w:r w:rsidRPr="004B3B4B">
        <w:rPr>
          <w:rFonts w:cs="Arial"/>
          <w:color w:val="000000"/>
          <w:lang w:val="es-ES"/>
        </w:rPr>
        <w:t xml:space="preserve"> contemplados en el artículo 32 de la Resolución CREG 124 de 2013, o aquellas que la modifiquen, adicionen o sustituyan.</w:t>
      </w:r>
    </w:p>
    <w:p w14:paraId="4938AD0B" w14:textId="77777777" w:rsidR="00E31CD2" w:rsidRPr="004B3B4B" w:rsidRDefault="00E31CD2" w:rsidP="00BF38C0">
      <w:pPr>
        <w:pStyle w:val="ARTICULOS"/>
        <w:numPr>
          <w:ilvl w:val="0"/>
          <w:numId w:val="0"/>
        </w:numPr>
        <w:tabs>
          <w:tab w:val="left" w:pos="709"/>
        </w:tabs>
        <w:rPr>
          <w:rFonts w:cs="Arial"/>
          <w:color w:val="000000"/>
          <w:lang w:val="es-ES"/>
        </w:rPr>
      </w:pPr>
    </w:p>
    <w:p w14:paraId="1E53692C" w14:textId="46E1A3F7" w:rsidR="00E31CD2" w:rsidRPr="004B3B4B" w:rsidRDefault="00E31CD2" w:rsidP="00BF38C0">
      <w:pPr>
        <w:pStyle w:val="ARTICULOS"/>
        <w:numPr>
          <w:ilvl w:val="0"/>
          <w:numId w:val="0"/>
        </w:numPr>
        <w:tabs>
          <w:tab w:val="left" w:pos="709"/>
        </w:tabs>
        <w:rPr>
          <w:rFonts w:cs="Arial"/>
          <w:color w:val="000000"/>
          <w:lang w:val="es-ES"/>
        </w:rPr>
      </w:pPr>
      <w:r w:rsidRPr="004B3B4B">
        <w:rPr>
          <w:rFonts w:cs="Arial"/>
          <w:color w:val="000000"/>
          <w:lang w:val="es-ES"/>
        </w:rPr>
        <w:t>Dentro de las actividades a realizar en esta sección</w:t>
      </w:r>
      <w:r w:rsidR="000D1414" w:rsidRPr="004B3B4B">
        <w:rPr>
          <w:rFonts w:cs="Arial"/>
          <w:color w:val="000000"/>
          <w:lang w:val="es-ES"/>
        </w:rPr>
        <w:t xml:space="preserve"> </w:t>
      </w:r>
      <w:r w:rsidRPr="004B3B4B">
        <w:rPr>
          <w:rFonts w:cs="Arial"/>
          <w:color w:val="000000"/>
          <w:lang w:val="es-ES"/>
        </w:rPr>
        <w:t>se deberá tener en cuenta lo siguiente:</w:t>
      </w:r>
    </w:p>
    <w:p w14:paraId="00F67F3A" w14:textId="77777777" w:rsidR="00E31CD2" w:rsidRPr="004B3B4B" w:rsidRDefault="00E31CD2" w:rsidP="00BF38C0">
      <w:pPr>
        <w:pStyle w:val="ARTICULOS"/>
        <w:numPr>
          <w:ilvl w:val="0"/>
          <w:numId w:val="0"/>
        </w:numPr>
        <w:tabs>
          <w:tab w:val="left" w:pos="709"/>
        </w:tabs>
        <w:rPr>
          <w:rFonts w:cs="Arial"/>
          <w:color w:val="000000"/>
          <w:highlight w:val="yellow"/>
          <w:lang w:val="es-ES"/>
        </w:rPr>
      </w:pPr>
    </w:p>
    <w:p w14:paraId="0B7B7711" w14:textId="32E7700F" w:rsidR="00E31CD2" w:rsidRPr="004B3B4B" w:rsidRDefault="00E31CD2" w:rsidP="00BF38C0">
      <w:pPr>
        <w:pStyle w:val="ARTICULOS"/>
        <w:numPr>
          <w:ilvl w:val="0"/>
          <w:numId w:val="0"/>
        </w:numPr>
        <w:rPr>
          <w:rFonts w:cs="Arial"/>
          <w:color w:val="000000"/>
          <w:lang w:val="es-ES"/>
        </w:rPr>
      </w:pPr>
      <w:r w:rsidRPr="004B3B4B">
        <w:rPr>
          <w:rFonts w:cs="Arial"/>
          <w:b/>
          <w:color w:val="000000"/>
          <w:lang w:val="es-ES"/>
        </w:rPr>
        <w:t xml:space="preserve">Recibir: </w:t>
      </w:r>
      <w:r w:rsidRPr="004B3B4B">
        <w:rPr>
          <w:rFonts w:cs="Arial"/>
          <w:color w:val="000000"/>
          <w:lang w:val="es-ES"/>
        </w:rPr>
        <w:t>Corresponde al recibo físico de las garantías. Dicho recibo sólo podrá ser realizado directamente por la sociedad fiduciaria responsable del fideicomiso o patrimonio autónomo</w:t>
      </w:r>
      <w:r w:rsidR="000D1414" w:rsidRPr="004B3B4B">
        <w:rPr>
          <w:rFonts w:cs="Arial"/>
          <w:color w:val="000000"/>
          <w:lang w:val="es-ES"/>
        </w:rPr>
        <w:t>.</w:t>
      </w:r>
    </w:p>
    <w:p w14:paraId="1A9373FD" w14:textId="77777777" w:rsidR="00E31CD2" w:rsidRPr="004B3B4B" w:rsidRDefault="00E31CD2" w:rsidP="00BF38C0">
      <w:pPr>
        <w:pStyle w:val="ARTICULOS"/>
        <w:numPr>
          <w:ilvl w:val="0"/>
          <w:numId w:val="0"/>
        </w:numPr>
        <w:rPr>
          <w:rFonts w:cs="Arial"/>
          <w:color w:val="000000"/>
          <w:highlight w:val="yellow"/>
          <w:lang w:val="es-ES"/>
        </w:rPr>
      </w:pPr>
    </w:p>
    <w:p w14:paraId="25D5615A" w14:textId="374AC29A" w:rsidR="00E31CD2" w:rsidRPr="004B3B4B" w:rsidRDefault="00E31CD2" w:rsidP="00BF38C0">
      <w:pPr>
        <w:pStyle w:val="ARTICULOS"/>
        <w:numPr>
          <w:ilvl w:val="0"/>
          <w:numId w:val="0"/>
        </w:numPr>
        <w:rPr>
          <w:rFonts w:cs="Arial"/>
          <w:color w:val="000000"/>
          <w:lang w:val="es-ES"/>
        </w:rPr>
      </w:pPr>
      <w:r w:rsidRPr="004B3B4B">
        <w:rPr>
          <w:rFonts w:cs="Arial"/>
          <w:b/>
          <w:color w:val="000000"/>
          <w:lang w:val="es-ES"/>
        </w:rPr>
        <w:t xml:space="preserve">Aprobar o rechazar: </w:t>
      </w:r>
      <w:r w:rsidRPr="004B3B4B">
        <w:rPr>
          <w:rFonts w:cs="Arial"/>
          <w:color w:val="000000"/>
          <w:lang w:val="es-ES"/>
        </w:rPr>
        <w:t xml:space="preserve">Corresponde como mínimo al análisis y estudio que realiza la sociedad fiduciaria responsable del fideicomiso o patrimonio autónomo de las garantías </w:t>
      </w:r>
      <w:r w:rsidR="000D1414" w:rsidRPr="004B3B4B">
        <w:rPr>
          <w:rFonts w:cs="Arial"/>
          <w:color w:val="000000"/>
          <w:lang w:val="es-ES"/>
        </w:rPr>
        <w:t xml:space="preserve">de cumplimiento de puesta en operación y/o de cumplimiento que </w:t>
      </w:r>
      <w:r w:rsidR="0002678D" w:rsidRPr="004B3B4B">
        <w:rPr>
          <w:rFonts w:cs="Arial"/>
          <w:color w:val="000000"/>
          <w:lang w:val="es-ES"/>
        </w:rPr>
        <w:t>entregue el proponente que resulte seleccionado como gestor del mercado</w:t>
      </w:r>
      <w:r w:rsidRPr="004B3B4B">
        <w:rPr>
          <w:rFonts w:cs="Arial"/>
          <w:color w:val="000000"/>
          <w:lang w:val="es-ES"/>
        </w:rPr>
        <w:t>, en relación con la forma y contenido. Lo anterior a efectos de verificar: i) su autenticidad, idoneidad y si cuenta con la autorización para su expedición por parte de la entidad que lo expide; ii) si estos cumplen con los requisitos de expedición, cobertura, vigencia, beneficiarios de acuerdo con lo previsto en la Resolución CREG 124 de 2013</w:t>
      </w:r>
      <w:r w:rsidRPr="004B3B4B">
        <w:rPr>
          <w:rFonts w:cs="Arial"/>
          <w:color w:val="000000"/>
          <w:lang w:val="es-CO"/>
        </w:rPr>
        <w:t xml:space="preserve"> así como de aquellas que la modifiquen, adicionen o sustituyan;</w:t>
      </w:r>
      <w:r w:rsidRPr="004B3B4B">
        <w:rPr>
          <w:rFonts w:cs="Arial"/>
          <w:color w:val="000000"/>
          <w:lang w:val="es-ES"/>
        </w:rPr>
        <w:t xml:space="preserve"> iii) si estos son ejecutables y pagables; y iv) demás requisitos, características y elementos que le son propios de acuerdo con la naturaleza de estos instrumentos</w:t>
      </w:r>
      <w:r w:rsidR="00EE4260">
        <w:rPr>
          <w:rFonts w:cs="Arial"/>
          <w:color w:val="000000"/>
          <w:lang w:val="es-ES"/>
        </w:rPr>
        <w:t xml:space="preserve">, como </w:t>
      </w:r>
      <w:r w:rsidRPr="004B3B4B">
        <w:rPr>
          <w:rFonts w:cs="Arial"/>
          <w:color w:val="000000"/>
          <w:lang w:val="es-ES"/>
        </w:rPr>
        <w:t>garantía a la vista, ejecutables al primer requerimiento, incondicionales</w:t>
      </w:r>
      <w:r w:rsidR="00EE4260">
        <w:rPr>
          <w:rFonts w:cs="Arial"/>
          <w:color w:val="000000"/>
          <w:lang w:val="es-ES"/>
        </w:rPr>
        <w:t xml:space="preserve"> y </w:t>
      </w:r>
      <w:r w:rsidRPr="004B3B4B">
        <w:rPr>
          <w:rFonts w:cs="Arial"/>
          <w:color w:val="000000"/>
          <w:lang w:val="es-ES"/>
        </w:rPr>
        <w:t>liquidez.</w:t>
      </w:r>
    </w:p>
    <w:p w14:paraId="060490E1" w14:textId="77777777" w:rsidR="00E31CD2" w:rsidRPr="004B3B4B" w:rsidRDefault="00E31CD2" w:rsidP="00BF38C0">
      <w:pPr>
        <w:pStyle w:val="ARTICULOS"/>
        <w:numPr>
          <w:ilvl w:val="0"/>
          <w:numId w:val="0"/>
        </w:numPr>
        <w:tabs>
          <w:tab w:val="left" w:pos="709"/>
        </w:tabs>
        <w:rPr>
          <w:rFonts w:cs="Arial"/>
          <w:color w:val="000000"/>
          <w:lang w:val="es-ES"/>
        </w:rPr>
      </w:pPr>
    </w:p>
    <w:p w14:paraId="7836B508" w14:textId="5A11FA5F" w:rsidR="00E31CD2" w:rsidRPr="004B3B4B" w:rsidRDefault="00E31CD2" w:rsidP="00BF38C0">
      <w:pPr>
        <w:pStyle w:val="ARTICULOS"/>
        <w:numPr>
          <w:ilvl w:val="0"/>
          <w:numId w:val="0"/>
        </w:numPr>
        <w:rPr>
          <w:rFonts w:cs="Arial"/>
          <w:color w:val="000000"/>
          <w:lang w:val="es-ES"/>
        </w:rPr>
      </w:pPr>
      <w:r w:rsidRPr="004B3B4B">
        <w:rPr>
          <w:rFonts w:cs="Arial"/>
          <w:color w:val="000000"/>
          <w:lang w:val="es-ES"/>
        </w:rPr>
        <w:t>En virtud de lo anterior dentro de esta actividad de aprobación o rechazo de las garantías</w:t>
      </w:r>
      <w:r w:rsidR="00EE4260">
        <w:rPr>
          <w:rFonts w:cs="Arial"/>
          <w:color w:val="000000"/>
          <w:lang w:val="es-ES"/>
        </w:rPr>
        <w:t>,</w:t>
      </w:r>
      <w:r w:rsidRPr="004B3B4B">
        <w:rPr>
          <w:rFonts w:cs="Arial"/>
          <w:color w:val="000000"/>
          <w:lang w:val="es-ES"/>
        </w:rPr>
        <w:t xml:space="preserve"> la sociedad fiduciaria según lo dispuesto en la Resolución CREG 124 de 2013</w:t>
      </w:r>
      <w:r w:rsidRPr="004B3B4B">
        <w:rPr>
          <w:rFonts w:cs="Arial"/>
          <w:color w:val="000000"/>
          <w:lang w:val="es-CO"/>
        </w:rPr>
        <w:t xml:space="preserve"> así como de aquellas que la modifiquen, adicionen o sustituyan</w:t>
      </w:r>
      <w:r w:rsidRPr="004B3B4B">
        <w:rPr>
          <w:rFonts w:cs="Arial"/>
          <w:color w:val="000000"/>
          <w:lang w:val="es-ES"/>
        </w:rPr>
        <w:t xml:space="preserve"> y conforme los procedimientos previstos por la fiduciaria, deberá emitir certificado de aprobación de las garantías en el que por lo menos conste esta información:</w:t>
      </w:r>
    </w:p>
    <w:p w14:paraId="65CBD952" w14:textId="77777777" w:rsidR="00E31CD2" w:rsidRPr="004B3B4B" w:rsidRDefault="00E31CD2" w:rsidP="00BF38C0">
      <w:pPr>
        <w:pStyle w:val="Prrafodelista"/>
        <w:ind w:left="0"/>
        <w:rPr>
          <w:rFonts w:ascii="Bookman Old Style" w:hAnsi="Bookman Old Style" w:cs="Arial"/>
          <w:color w:val="000000"/>
          <w:sz w:val="24"/>
          <w:szCs w:val="24"/>
          <w:lang w:val="es-ES"/>
        </w:rPr>
      </w:pPr>
    </w:p>
    <w:p w14:paraId="585D061D"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Proponente al que se le aprueba o rechaza la garantía.</w:t>
      </w:r>
    </w:p>
    <w:p w14:paraId="03C072E3"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Fecha de expedición.</w:t>
      </w:r>
    </w:p>
    <w:p w14:paraId="0904149B"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Razón por la cual se aprueba o rechaza la garantía.</w:t>
      </w:r>
    </w:p>
    <w:p w14:paraId="7C97433D" w14:textId="77777777" w:rsidR="00E31CD2" w:rsidRPr="004B3B4B" w:rsidRDefault="00E31CD2" w:rsidP="00BF38C0">
      <w:pPr>
        <w:pStyle w:val="Prrafodelista"/>
        <w:numPr>
          <w:ilvl w:val="0"/>
          <w:numId w:val="9"/>
        </w:numPr>
        <w:ind w:left="567" w:hanging="567"/>
        <w:contextualSpacing/>
        <w:rPr>
          <w:rFonts w:ascii="Bookman Old Style" w:hAnsi="Bookman Old Style" w:cs="Arial"/>
          <w:sz w:val="24"/>
          <w:szCs w:val="24"/>
        </w:rPr>
      </w:pPr>
      <w:r w:rsidRPr="004B3B4B">
        <w:rPr>
          <w:rFonts w:ascii="Bookman Old Style" w:hAnsi="Bookman Old Style" w:cs="Arial"/>
          <w:sz w:val="24"/>
          <w:szCs w:val="24"/>
        </w:rPr>
        <w:t>Nombre del funcionario de la fiduciaria encargado de ello.</w:t>
      </w:r>
    </w:p>
    <w:p w14:paraId="51FB7F8F" w14:textId="77777777" w:rsidR="00E31CD2" w:rsidRPr="004B3B4B" w:rsidRDefault="00E31CD2" w:rsidP="00BF38C0">
      <w:pPr>
        <w:pStyle w:val="ARTICULOS"/>
        <w:numPr>
          <w:ilvl w:val="0"/>
          <w:numId w:val="0"/>
        </w:numPr>
        <w:rPr>
          <w:rFonts w:cs="Arial"/>
          <w:color w:val="000000"/>
          <w:highlight w:val="yellow"/>
          <w:lang w:val="es-ES"/>
        </w:rPr>
      </w:pPr>
    </w:p>
    <w:p w14:paraId="3859694A" w14:textId="77777777" w:rsidR="00E31CD2" w:rsidRPr="004B3B4B" w:rsidRDefault="00E31CD2" w:rsidP="00BF38C0">
      <w:pPr>
        <w:pStyle w:val="ARTICULOS"/>
        <w:numPr>
          <w:ilvl w:val="0"/>
          <w:numId w:val="0"/>
        </w:numPr>
        <w:tabs>
          <w:tab w:val="left" w:pos="426"/>
        </w:tabs>
        <w:rPr>
          <w:rFonts w:cs="Arial"/>
          <w:color w:val="000000"/>
          <w:lang w:val="es-ES"/>
        </w:rPr>
      </w:pPr>
      <w:r w:rsidRPr="004B3B4B">
        <w:rPr>
          <w:rFonts w:cs="Arial"/>
          <w:color w:val="000000"/>
          <w:lang w:val="es-ES"/>
        </w:rPr>
        <w:t>La actividad de aprobar o rechazar tendrá un plazo máximo de tres (3) días hábiles, a partir del recibo de las garantías.</w:t>
      </w:r>
    </w:p>
    <w:p w14:paraId="59291BA4" w14:textId="77777777" w:rsidR="00E31CD2" w:rsidRPr="004B3B4B" w:rsidRDefault="00E31CD2" w:rsidP="00BF38C0">
      <w:pPr>
        <w:pStyle w:val="ARTICULOS"/>
        <w:numPr>
          <w:ilvl w:val="0"/>
          <w:numId w:val="0"/>
        </w:numPr>
        <w:rPr>
          <w:rFonts w:cs="Arial"/>
          <w:color w:val="000000"/>
          <w:highlight w:val="yellow"/>
          <w:lang w:val="es-ES"/>
        </w:rPr>
      </w:pPr>
    </w:p>
    <w:p w14:paraId="191641AA" w14:textId="5B17C851" w:rsidR="00E31CD2" w:rsidRPr="004B3B4B" w:rsidRDefault="00E31CD2" w:rsidP="00BF38C0">
      <w:pPr>
        <w:pStyle w:val="ARTICULOS"/>
        <w:numPr>
          <w:ilvl w:val="0"/>
          <w:numId w:val="0"/>
        </w:numPr>
        <w:tabs>
          <w:tab w:val="left" w:pos="426"/>
        </w:tabs>
        <w:rPr>
          <w:rFonts w:cs="Arial"/>
          <w:color w:val="000000"/>
          <w:lang w:val="es-ES"/>
        </w:rPr>
      </w:pPr>
      <w:r w:rsidRPr="004B3B4B">
        <w:rPr>
          <w:rFonts w:cs="Arial"/>
          <w:b/>
          <w:color w:val="000000"/>
          <w:lang w:val="es-ES"/>
        </w:rPr>
        <w:t xml:space="preserve">Custodiar: </w:t>
      </w:r>
      <w:r w:rsidRPr="004B3B4B">
        <w:rPr>
          <w:rFonts w:cs="Arial"/>
          <w:color w:val="000000"/>
          <w:lang w:val="es-ES"/>
        </w:rPr>
        <w:t xml:space="preserve">Corresponde como mínimo a la guarda, vigilancia y cuidado que debe realizar la sociedad fiduciaria responsable del fideicomiso o patrimonio autónomo de las garantías y documentos que de </w:t>
      </w:r>
      <w:r w:rsidR="00E24960">
        <w:rPr>
          <w:rFonts w:cs="Arial"/>
          <w:color w:val="000000"/>
          <w:lang w:val="es-ES"/>
        </w:rPr>
        <w:t>é</w:t>
      </w:r>
      <w:r w:rsidRPr="004B3B4B">
        <w:rPr>
          <w:rFonts w:cs="Arial"/>
          <w:color w:val="000000"/>
          <w:lang w:val="es-ES"/>
        </w:rPr>
        <w:t>sta hagan parte</w:t>
      </w:r>
      <w:r w:rsidRPr="004B3B4B">
        <w:rPr>
          <w:rFonts w:cs="Arial"/>
        </w:rPr>
        <w:t xml:space="preserve"> </w:t>
      </w:r>
      <w:r w:rsidRPr="004B3B4B">
        <w:rPr>
          <w:rFonts w:cs="Arial"/>
          <w:color w:val="000000"/>
          <w:lang w:val="es-ES"/>
        </w:rPr>
        <w:t>en un lugar seguro y confiable.</w:t>
      </w:r>
    </w:p>
    <w:p w14:paraId="05E1DD7E" w14:textId="77777777" w:rsidR="00E31CD2" w:rsidRPr="004B3B4B" w:rsidRDefault="00E31CD2" w:rsidP="00BF38C0">
      <w:pPr>
        <w:pStyle w:val="ARTICULOS"/>
        <w:numPr>
          <w:ilvl w:val="0"/>
          <w:numId w:val="0"/>
        </w:numPr>
        <w:rPr>
          <w:rFonts w:cs="Arial"/>
          <w:b/>
          <w:color w:val="000000"/>
          <w:lang w:val="es-ES"/>
        </w:rPr>
      </w:pPr>
    </w:p>
    <w:p w14:paraId="561E81DF" w14:textId="3A084818" w:rsidR="000E3014" w:rsidRPr="004B3B4B" w:rsidRDefault="00E31CD2" w:rsidP="00BF38C0">
      <w:pPr>
        <w:pStyle w:val="ARTICULOS"/>
        <w:numPr>
          <w:ilvl w:val="0"/>
          <w:numId w:val="0"/>
        </w:numPr>
        <w:tabs>
          <w:tab w:val="left" w:pos="1560"/>
        </w:tabs>
        <w:rPr>
          <w:rFonts w:cs="Arial"/>
          <w:color w:val="000000"/>
          <w:lang w:val="es-CO"/>
        </w:rPr>
      </w:pPr>
      <w:r w:rsidRPr="004B3B4B">
        <w:rPr>
          <w:rFonts w:cs="Arial"/>
          <w:b/>
          <w:color w:val="000000"/>
          <w:lang w:val="es-ES"/>
        </w:rPr>
        <w:t xml:space="preserve">Administrar: </w:t>
      </w:r>
      <w:r w:rsidRPr="004B3B4B">
        <w:rPr>
          <w:rFonts w:cs="Arial"/>
          <w:color w:val="000000"/>
          <w:lang w:val="es-ES"/>
        </w:rPr>
        <w:t xml:space="preserve">Corresponde a </w:t>
      </w:r>
      <w:r w:rsidR="000E3014" w:rsidRPr="004B3B4B">
        <w:rPr>
          <w:rFonts w:cs="Arial"/>
          <w:color w:val="000000"/>
          <w:lang w:val="es-CO"/>
        </w:rPr>
        <w:t xml:space="preserve">los procesos de: i) recibir; ii) aprobar o rechazar; iii) custodiar; iv) ejecutar las garantías de cumplimiento de puesta en operación </w:t>
      </w:r>
      <w:r w:rsidR="000E3014" w:rsidRPr="004B3B4B">
        <w:rPr>
          <w:rFonts w:cs="Arial"/>
          <w:color w:val="000000"/>
          <w:lang w:val="es-CO"/>
        </w:rPr>
        <w:lastRenderedPageBreak/>
        <w:t>o de cumplimiento, si es del caso; v) trasladar los recursos producto de la ejecución de las garantías a los beneficiarios del fideicomiso o patrimonio autónomo; y vi) devolver las garantías si las mismas no son ejecutadas, de conformidad con lo establecido en la Resolución CREG 124 de 2013, o aquellas que la modifiquen, adicionen o sustituyan.</w:t>
      </w:r>
    </w:p>
    <w:p w14:paraId="69DEEFE2" w14:textId="69D2C6B8" w:rsidR="00E31CD2" w:rsidRPr="004B3B4B" w:rsidRDefault="00E31CD2" w:rsidP="00BF38C0">
      <w:pPr>
        <w:pStyle w:val="ARTICULOS"/>
        <w:numPr>
          <w:ilvl w:val="0"/>
          <w:numId w:val="0"/>
        </w:numPr>
        <w:rPr>
          <w:rFonts w:cs="Arial"/>
          <w:color w:val="000000"/>
          <w:highlight w:val="yellow"/>
          <w:lang w:val="es-CO"/>
        </w:rPr>
      </w:pPr>
    </w:p>
    <w:p w14:paraId="28A592E2" w14:textId="786E2C72"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
          <w:bCs/>
          <w:color w:val="000000"/>
          <w:lang w:eastAsia="x-none"/>
        </w:rPr>
        <w:t>Ejecutar:</w:t>
      </w:r>
      <w:r w:rsidRPr="004B3B4B">
        <w:rPr>
          <w:rFonts w:ascii="Bookman Old Style" w:hAnsi="Bookman Old Style" w:cs="Arial"/>
          <w:bCs/>
          <w:color w:val="000000"/>
          <w:lang w:eastAsia="x-none"/>
        </w:rPr>
        <w:t xml:space="preserve"> Corresponde como mínimo al cobro de la garantía a la entidad que lo expidió o al responsable de su pago. En caso de no realizarse el pago por parte de la entidad que expidió el instrumento o del responsable de dicho pago, se deberá realizar el cobro judicial o extrajudicial con las actividades que</w:t>
      </w:r>
      <w:r w:rsidR="00E24960">
        <w:rPr>
          <w:rFonts w:ascii="Bookman Old Style" w:hAnsi="Bookman Old Style" w:cs="Arial"/>
          <w:bCs/>
          <w:color w:val="000000"/>
          <w:lang w:eastAsia="x-none"/>
        </w:rPr>
        <w:t xml:space="preserve"> para este efecto se requieran.</w:t>
      </w:r>
    </w:p>
    <w:p w14:paraId="7300C383" w14:textId="77777777"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p>
    <w:p w14:paraId="7F596981" w14:textId="232FE2F7"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 xml:space="preserve">La ejecución de las garantías debe tener en cuenta los eventos de incumplimiento de acuerdo con las condiciones previstas en el artículo 30 de la Resolución CREG 124 de 2013, modificado por el artículo 3 de </w:t>
      </w:r>
      <w:r w:rsidR="00E24960">
        <w:rPr>
          <w:rFonts w:ascii="Bookman Old Style" w:hAnsi="Bookman Old Style" w:cs="Arial"/>
          <w:bCs/>
          <w:color w:val="000000"/>
          <w:lang w:eastAsia="x-none"/>
        </w:rPr>
        <w:t>la Resolución CREG 032 de 2014.</w:t>
      </w:r>
    </w:p>
    <w:p w14:paraId="24316FE1"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179DC183" w14:textId="75C38FCB"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
          <w:bCs/>
          <w:color w:val="000000"/>
          <w:lang w:eastAsia="x-none"/>
        </w:rPr>
        <w:t xml:space="preserve">Trasladar: </w:t>
      </w:r>
      <w:r w:rsidRPr="004B3B4B">
        <w:rPr>
          <w:rFonts w:ascii="Bookman Old Style" w:hAnsi="Bookman Old Style" w:cs="Arial"/>
          <w:bCs/>
          <w:color w:val="000000"/>
          <w:lang w:eastAsia="x-none"/>
        </w:rPr>
        <w:t xml:space="preserve">Corresponde como mínimo a la entrega de </w:t>
      </w:r>
      <w:r w:rsidR="000E3014" w:rsidRPr="004B3B4B">
        <w:rPr>
          <w:rFonts w:ascii="Bookman Old Style" w:hAnsi="Bookman Old Style" w:cs="Arial"/>
          <w:bCs/>
          <w:color w:val="000000"/>
          <w:lang w:eastAsia="x-none"/>
        </w:rPr>
        <w:t xml:space="preserve">los </w:t>
      </w:r>
      <w:r w:rsidRPr="004B3B4B">
        <w:rPr>
          <w:rFonts w:ascii="Bookman Old Style" w:hAnsi="Bookman Old Style" w:cs="Arial"/>
          <w:bCs/>
          <w:color w:val="000000"/>
          <w:lang w:eastAsia="x-none"/>
        </w:rPr>
        <w:t>recursos a los beneficiarios de los dineros que resulten de la ejecución de las garantías por parte del fideicomiso o patrimonio autónomo. Este traslado deberá realizarse a los beneficiarios en el menor término posib</w:t>
      </w:r>
      <w:r w:rsidR="00E24960">
        <w:rPr>
          <w:rFonts w:ascii="Bookman Old Style" w:hAnsi="Bookman Old Style" w:cs="Arial"/>
          <w:bCs/>
          <w:color w:val="000000"/>
          <w:lang w:eastAsia="x-none"/>
        </w:rPr>
        <w:t>le.</w:t>
      </w:r>
    </w:p>
    <w:p w14:paraId="1A158FF7"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4840B43F" w14:textId="633EDA36"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Para efectos del traslado de los recursos a los beneficiarios</w:t>
      </w:r>
      <w:r w:rsidR="00C77FEE" w:rsidRPr="004B3B4B">
        <w:rPr>
          <w:rFonts w:ascii="Bookman Old Style" w:hAnsi="Bookman Old Style" w:cs="Arial"/>
          <w:bCs/>
          <w:color w:val="000000"/>
          <w:lang w:eastAsia="x-none"/>
        </w:rPr>
        <w:t xml:space="preserve"> de la garantía de cumplimiento de puesta en operación</w:t>
      </w:r>
      <w:r w:rsidRPr="004B3B4B">
        <w:rPr>
          <w:rFonts w:ascii="Bookman Old Style" w:hAnsi="Bookman Old Style" w:cs="Arial"/>
          <w:bCs/>
          <w:color w:val="000000"/>
          <w:lang w:eastAsia="x-none"/>
        </w:rPr>
        <w:t>, la sociedad fiduciaria deberá tener en cuenta la información que haga pública la Dirección Ejecutiva de la CREG de acuerdo con lo previsto en el parágrafo 3 del artículo 30 de la Resolución CREG 124 de 2013, modificado por el artículo 3 de la Resolución CREG 32 de 2014.</w:t>
      </w:r>
    </w:p>
    <w:p w14:paraId="754FB398" w14:textId="77777777"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p>
    <w:p w14:paraId="0A6B8768" w14:textId="042D6F62" w:rsidR="00C77FEE" w:rsidRPr="004B3B4B" w:rsidRDefault="00C77FEE"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Para efectos del traslado de los recursos a los beneficiarios de la garantía de cumplimiento, la sociedad fiduciaria deberá tener en cuenta la información que haga pública el proponente seleccionado como gestor del mercado de acuerdo con lo previsto en el parágrafo 3 del artículo 30 de la Resolución CREG 124 de 2013, modificado por el artículo 3 de la Resolución CREG 32 de 2014.</w:t>
      </w:r>
    </w:p>
    <w:p w14:paraId="3F71D4F6" w14:textId="77777777" w:rsidR="00C77FEE" w:rsidRPr="004B3B4B" w:rsidRDefault="00C77FEE" w:rsidP="00BF38C0">
      <w:pPr>
        <w:autoSpaceDE w:val="0"/>
        <w:autoSpaceDN w:val="0"/>
        <w:adjustRightInd w:val="0"/>
        <w:ind w:left="0"/>
        <w:jc w:val="both"/>
        <w:rPr>
          <w:rFonts w:ascii="Bookman Old Style" w:hAnsi="Bookman Old Style" w:cs="Arial"/>
          <w:bCs/>
          <w:color w:val="000000"/>
          <w:lang w:val="es-CO" w:eastAsia="x-none"/>
        </w:rPr>
      </w:pPr>
    </w:p>
    <w:p w14:paraId="0DA9BED7" w14:textId="29EC7B61" w:rsidR="00E31CD2" w:rsidRPr="004B3B4B" w:rsidRDefault="00E31CD2" w:rsidP="00BF38C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Cs/>
          <w:color w:val="000000"/>
          <w:lang w:eastAsia="x-none"/>
        </w:rPr>
        <w:t>En caso de que el fideicomiso o patrimonio autónomo no pueda trasladar los dineros producto de la ejecución de las garantías, a alguno(s) de los beneficiarios, en la medida en que se compruebe la inexistencia de alguno(s) de estos, los dineros no distribuidos serán trasladados a prorrata de la participación de los beneficiarios que recibieron los recursos</w:t>
      </w:r>
      <w:r w:rsidR="003B1065" w:rsidRPr="004B3B4B">
        <w:rPr>
          <w:rFonts w:ascii="Bookman Old Style" w:hAnsi="Bookman Old Style" w:cs="Arial"/>
          <w:bCs/>
          <w:color w:val="000000"/>
          <w:lang w:eastAsia="x-none"/>
        </w:rPr>
        <w:t>.</w:t>
      </w:r>
    </w:p>
    <w:p w14:paraId="440AF1E2"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72EE3248" w14:textId="1BF78F1A" w:rsidR="00E31CD2" w:rsidRPr="004B3B4B" w:rsidRDefault="00E31CD2" w:rsidP="00E24960">
      <w:pPr>
        <w:autoSpaceDE w:val="0"/>
        <w:autoSpaceDN w:val="0"/>
        <w:adjustRightInd w:val="0"/>
        <w:ind w:left="0"/>
        <w:jc w:val="both"/>
        <w:rPr>
          <w:rFonts w:ascii="Bookman Old Style" w:hAnsi="Bookman Old Style" w:cs="Arial"/>
          <w:bCs/>
          <w:color w:val="000000"/>
          <w:lang w:eastAsia="x-none"/>
        </w:rPr>
      </w:pPr>
      <w:r w:rsidRPr="004B3B4B">
        <w:rPr>
          <w:rFonts w:ascii="Bookman Old Style" w:hAnsi="Bookman Old Style" w:cs="Arial"/>
          <w:b/>
          <w:bCs/>
          <w:color w:val="000000"/>
          <w:lang w:eastAsia="x-none"/>
        </w:rPr>
        <w:t xml:space="preserve">Devolver las garantías: </w:t>
      </w:r>
      <w:r w:rsidRPr="004B3B4B">
        <w:rPr>
          <w:rFonts w:ascii="Bookman Old Style" w:hAnsi="Bookman Old Style" w:cs="Arial"/>
          <w:bCs/>
          <w:color w:val="000000"/>
          <w:lang w:eastAsia="x-none"/>
        </w:rPr>
        <w:t>Corresponde a la actividad de restitución de</w:t>
      </w:r>
      <w:r w:rsidR="00E24960">
        <w:rPr>
          <w:rFonts w:ascii="Bookman Old Style" w:hAnsi="Bookman Old Style" w:cs="Arial"/>
          <w:bCs/>
          <w:color w:val="000000"/>
          <w:lang w:eastAsia="x-none"/>
        </w:rPr>
        <w:t xml:space="preserve"> las garantías, en caso de que é</w:t>
      </w:r>
      <w:r w:rsidRPr="004B3B4B">
        <w:rPr>
          <w:rFonts w:ascii="Bookman Old Style" w:hAnsi="Bookman Old Style" w:cs="Arial"/>
          <w:bCs/>
          <w:color w:val="000000"/>
          <w:lang w:eastAsia="x-none"/>
        </w:rPr>
        <w:t>stas no se ejecuten.</w:t>
      </w:r>
    </w:p>
    <w:p w14:paraId="370BE36D" w14:textId="77777777" w:rsidR="00E31CD2" w:rsidRPr="004B3B4B" w:rsidRDefault="00E31CD2" w:rsidP="00BF38C0">
      <w:pPr>
        <w:autoSpaceDE w:val="0"/>
        <w:autoSpaceDN w:val="0"/>
        <w:adjustRightInd w:val="0"/>
        <w:ind w:left="0"/>
        <w:rPr>
          <w:rFonts w:ascii="Bookman Old Style" w:hAnsi="Bookman Old Style" w:cs="Arial"/>
          <w:bCs/>
          <w:color w:val="000000"/>
          <w:lang w:eastAsia="x-none"/>
        </w:rPr>
      </w:pPr>
    </w:p>
    <w:p w14:paraId="530EC8F0" w14:textId="18C0BE52" w:rsidR="00282DDA" w:rsidRPr="004B3B4B" w:rsidRDefault="00282DDA"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Procedimiento para la constitución de las garantías</w:t>
      </w:r>
    </w:p>
    <w:p w14:paraId="2D23AC78" w14:textId="77777777" w:rsidR="00282DDA" w:rsidRPr="004B3B4B" w:rsidRDefault="00282DDA" w:rsidP="00BF38C0">
      <w:pPr>
        <w:pStyle w:val="ARTICULOS"/>
        <w:numPr>
          <w:ilvl w:val="0"/>
          <w:numId w:val="0"/>
        </w:numPr>
        <w:tabs>
          <w:tab w:val="left" w:pos="1560"/>
        </w:tabs>
        <w:rPr>
          <w:rFonts w:cs="Arial"/>
          <w:color w:val="000000"/>
          <w:lang w:val="es-CO"/>
        </w:rPr>
      </w:pPr>
    </w:p>
    <w:p w14:paraId="1814F0C8" w14:textId="5F61F340" w:rsidR="00282DDA" w:rsidRPr="004B3B4B" w:rsidRDefault="00282DDA" w:rsidP="00BF38C0">
      <w:pPr>
        <w:pStyle w:val="ARTICULOS"/>
        <w:numPr>
          <w:ilvl w:val="0"/>
          <w:numId w:val="0"/>
        </w:numPr>
        <w:tabs>
          <w:tab w:val="left" w:pos="1560"/>
        </w:tabs>
        <w:rPr>
          <w:rFonts w:cs="Arial"/>
          <w:color w:val="000000"/>
          <w:lang w:val="es-CO"/>
        </w:rPr>
      </w:pPr>
      <w:r w:rsidRPr="004B3B4B">
        <w:rPr>
          <w:rFonts w:cs="Arial"/>
          <w:color w:val="000000"/>
          <w:lang w:val="es-CO"/>
        </w:rPr>
        <w:t xml:space="preserve">El proponente que resulte seleccionado como gestor del mercado deberá tener en consideración los aspectos que se enuncian a continuación para la </w:t>
      </w:r>
      <w:r w:rsidRPr="004B3B4B">
        <w:rPr>
          <w:rFonts w:cs="Arial"/>
          <w:color w:val="000000"/>
          <w:lang w:val="es-CO"/>
        </w:rPr>
        <w:lastRenderedPageBreak/>
        <w:t>expedición de las garantías requeridas, de acuerdo con la regulación vigente establecida por la CREG</w:t>
      </w:r>
      <w:r w:rsidR="001219B0">
        <w:rPr>
          <w:rFonts w:cs="Arial"/>
          <w:color w:val="000000"/>
          <w:lang w:val="es-CO"/>
        </w:rPr>
        <w:t>.</w:t>
      </w:r>
    </w:p>
    <w:p w14:paraId="7665D7C8" w14:textId="77777777" w:rsidR="00282DDA" w:rsidRPr="00F145B9" w:rsidRDefault="00282DDA" w:rsidP="00BF38C0">
      <w:pPr>
        <w:autoSpaceDE w:val="0"/>
        <w:autoSpaceDN w:val="0"/>
        <w:adjustRightInd w:val="0"/>
        <w:jc w:val="both"/>
        <w:rPr>
          <w:rFonts w:ascii="Bookman Old Style" w:hAnsi="Bookman Old Style"/>
          <w:lang w:val="es-CO"/>
        </w:rPr>
      </w:pPr>
    </w:p>
    <w:p w14:paraId="3C141D86" w14:textId="72D8AB6A" w:rsidR="00282DDA" w:rsidRPr="004B3B4B" w:rsidRDefault="00282DDA" w:rsidP="00BF38C0">
      <w:pPr>
        <w:pStyle w:val="ARTICULOS"/>
        <w:numPr>
          <w:ilvl w:val="0"/>
          <w:numId w:val="0"/>
        </w:numPr>
        <w:tabs>
          <w:tab w:val="left" w:pos="1560"/>
        </w:tabs>
        <w:rPr>
          <w:rFonts w:cs="Arial"/>
          <w:color w:val="000000"/>
          <w:lang w:val="es-CO"/>
        </w:rPr>
      </w:pPr>
      <w:r w:rsidRPr="004B3B4B">
        <w:rPr>
          <w:rFonts w:cs="Arial"/>
          <w:b/>
          <w:color w:val="000000"/>
          <w:lang w:val="es-CO"/>
        </w:rPr>
        <w:t>Tomador u ordenante</w:t>
      </w:r>
      <w:r w:rsidRPr="004B3B4B">
        <w:rPr>
          <w:rFonts w:cs="Arial"/>
          <w:color w:val="000000"/>
          <w:lang w:val="es-CO"/>
        </w:rPr>
        <w:t xml:space="preserve">: </w:t>
      </w:r>
      <w:r w:rsidR="00886351" w:rsidRPr="004B3B4B">
        <w:rPr>
          <w:rFonts w:cs="Arial"/>
          <w:color w:val="000000"/>
          <w:lang w:val="es-CO"/>
        </w:rPr>
        <w:t>E</w:t>
      </w:r>
      <w:r w:rsidRPr="004B3B4B">
        <w:rPr>
          <w:rFonts w:cs="Arial"/>
          <w:color w:val="000000"/>
          <w:lang w:val="es-CO"/>
        </w:rPr>
        <w:t>l proponente que resulte seleccionado como gestor del mercado</w:t>
      </w:r>
      <w:r w:rsidR="00D01DB5">
        <w:rPr>
          <w:rFonts w:cs="Arial"/>
          <w:color w:val="000000"/>
          <w:lang w:val="es-CO"/>
        </w:rPr>
        <w:t xml:space="preserve"> o la empresa que se constituya en Colombia para prestar los servicios a cargo del mercado de acuerdo con lo dispuesto por el artículo 12 de la Resolución CREG 124 de 2013</w:t>
      </w:r>
      <w:r w:rsidR="00A16628">
        <w:rPr>
          <w:rFonts w:cs="Arial"/>
          <w:color w:val="000000"/>
          <w:lang w:val="es-CO"/>
        </w:rPr>
        <w:t>, a su vez modificado por el artículo 2 de la Resolución CREG 012 de 2014.</w:t>
      </w:r>
    </w:p>
    <w:p w14:paraId="6ABD7FE9" w14:textId="77777777" w:rsidR="00282DDA" w:rsidRPr="004B3B4B" w:rsidRDefault="00282DDA" w:rsidP="00BF38C0">
      <w:pPr>
        <w:pStyle w:val="ARTICULOS"/>
        <w:numPr>
          <w:ilvl w:val="0"/>
          <w:numId w:val="0"/>
        </w:numPr>
        <w:tabs>
          <w:tab w:val="left" w:pos="1560"/>
        </w:tabs>
        <w:rPr>
          <w:rFonts w:cs="Arial"/>
          <w:color w:val="000000"/>
          <w:lang w:val="es-CO"/>
        </w:rPr>
      </w:pPr>
    </w:p>
    <w:p w14:paraId="21428FEA" w14:textId="77777777" w:rsidR="00282DDA" w:rsidRPr="004B3B4B" w:rsidRDefault="00282DDA" w:rsidP="00BF38C0">
      <w:pPr>
        <w:pStyle w:val="ARTICULOS"/>
        <w:numPr>
          <w:ilvl w:val="0"/>
          <w:numId w:val="0"/>
        </w:numPr>
        <w:tabs>
          <w:tab w:val="left" w:pos="1560"/>
        </w:tabs>
        <w:rPr>
          <w:rFonts w:cs="Arial"/>
          <w:color w:val="000000"/>
          <w:lang w:val="es-CO"/>
        </w:rPr>
      </w:pPr>
      <w:r w:rsidRPr="004B3B4B">
        <w:rPr>
          <w:rFonts w:cs="Arial"/>
          <w:b/>
          <w:color w:val="000000"/>
          <w:lang w:val="es-CO"/>
        </w:rPr>
        <w:t>Emisor</w:t>
      </w:r>
      <w:r w:rsidRPr="004B3B4B">
        <w:rPr>
          <w:rFonts w:cs="Arial"/>
          <w:color w:val="000000"/>
          <w:lang w:val="es-CO"/>
        </w:rPr>
        <w:t>: Deberá ser una entidad financiera vigilada por la Superintendencia Financiera de Colombia, que cuente con la respectiva autorización para la expedición de este tipo de garantías y del corresponsal si lo hubiere, en el caso de entidades financieras internacionales.</w:t>
      </w:r>
    </w:p>
    <w:p w14:paraId="1197B59B" w14:textId="77777777" w:rsidR="00282DDA" w:rsidRPr="004B3B4B" w:rsidRDefault="00282DDA" w:rsidP="00BF38C0">
      <w:pPr>
        <w:pStyle w:val="Default"/>
        <w:jc w:val="both"/>
        <w:rPr>
          <w:rFonts w:ascii="Bookman Old Style" w:hAnsi="Bookman Old Style" w:cs="Times New Roman"/>
          <w:b/>
          <w:lang w:eastAsia="es-ES"/>
        </w:rPr>
      </w:pPr>
    </w:p>
    <w:p w14:paraId="6ACFFFAC" w14:textId="307945F0" w:rsidR="00937681" w:rsidRPr="004B3B4B" w:rsidRDefault="00282DDA" w:rsidP="00BF38C0">
      <w:pPr>
        <w:pStyle w:val="Default"/>
        <w:jc w:val="both"/>
        <w:rPr>
          <w:rFonts w:ascii="Bookman Old Style" w:hAnsi="Bookman Old Style" w:cs="Times New Roman"/>
          <w:lang w:eastAsia="es-ES"/>
        </w:rPr>
      </w:pPr>
      <w:r w:rsidRPr="004B3B4B">
        <w:rPr>
          <w:rFonts w:ascii="Bookman Old Style" w:hAnsi="Bookman Old Style" w:cs="Times New Roman"/>
          <w:b/>
          <w:lang w:eastAsia="es-ES"/>
        </w:rPr>
        <w:t xml:space="preserve">Objeto de la garantía de cumplimiento de puesta en operación. </w:t>
      </w:r>
      <w:r w:rsidR="00F145B9">
        <w:rPr>
          <w:rFonts w:ascii="Bookman Old Style" w:hAnsi="Bookman Old Style" w:cs="Times New Roman"/>
          <w:lang w:eastAsia="es-ES"/>
        </w:rPr>
        <w:t>Garantía de que durante el perí</w:t>
      </w:r>
      <w:r w:rsidRPr="004B3B4B">
        <w:rPr>
          <w:rFonts w:ascii="Bookman Old Style" w:hAnsi="Bookman Old Style" w:cs="Times New Roman"/>
          <w:lang w:eastAsia="es-ES"/>
        </w:rPr>
        <w:t xml:space="preserve">odo de planeación el proponente que resulte seleccionado como gestor del mercado implementará los mecanismos requeridos para la prestación de los servicios establecidos en el artículo 11 de la Resolución CREG 124 de 2013, de acuerdo </w:t>
      </w:r>
      <w:r w:rsidR="00F145B9">
        <w:rPr>
          <w:rFonts w:ascii="Bookman Old Style" w:hAnsi="Bookman Old Style" w:cs="Times New Roman"/>
          <w:lang w:eastAsia="es-ES"/>
        </w:rPr>
        <w:t>con e</w:t>
      </w:r>
      <w:r w:rsidRPr="004B3B4B">
        <w:rPr>
          <w:rFonts w:ascii="Bookman Old Style" w:hAnsi="Bookman Old Style" w:cs="Times New Roman"/>
          <w:lang w:eastAsia="es-ES"/>
        </w:rPr>
        <w:t>l plan detallado que el proponente entregó en la propuesta técnica. Adicionalmente</w:t>
      </w:r>
      <w:r w:rsidR="00F145B9">
        <w:rPr>
          <w:rFonts w:ascii="Bookman Old Style" w:hAnsi="Bookman Old Style" w:cs="Times New Roman"/>
          <w:lang w:eastAsia="es-ES"/>
        </w:rPr>
        <w:t>,</w:t>
      </w:r>
      <w:r w:rsidRPr="004B3B4B">
        <w:rPr>
          <w:rFonts w:ascii="Bookman Old Style" w:hAnsi="Bookman Old Style" w:cs="Times New Roman"/>
          <w:lang w:eastAsia="es-ES"/>
        </w:rPr>
        <w:t xml:space="preserve"> esta garantía cubrirá el hecho de que el proponente que haya sido seleccionado como gestor del mercado obtendrá oportunamente la aprobación de la garan</w:t>
      </w:r>
      <w:r w:rsidR="00100BC9" w:rsidRPr="004B3B4B">
        <w:rPr>
          <w:rFonts w:ascii="Bookman Old Style" w:hAnsi="Bookman Old Style" w:cs="Times New Roman"/>
          <w:lang w:eastAsia="es-ES"/>
        </w:rPr>
        <w:t>tía de cumplimiento a que hace referencia el numeral 3 del artículo 30 de la Resolución CREG 124 de 2013, modificado por el artículo 3 de la Resolución CREG 032 de 2014.</w:t>
      </w:r>
      <w:r w:rsidR="00937681" w:rsidRPr="004B3B4B">
        <w:rPr>
          <w:rFonts w:ascii="Bookman Old Style" w:hAnsi="Bookman Old Style" w:cs="Times New Roman"/>
          <w:lang w:eastAsia="es-ES"/>
        </w:rPr>
        <w:t xml:space="preserve"> Esta garantía deberá estar aprobada dentro de los dos (2) meses siguientes a la fecha en la cual se haya seleccionado el gestor del mercado.</w:t>
      </w:r>
    </w:p>
    <w:p w14:paraId="7AF6751C" w14:textId="6C97F999" w:rsidR="00282DDA" w:rsidRPr="004B3B4B" w:rsidRDefault="00282DDA" w:rsidP="00BF38C0">
      <w:pPr>
        <w:pStyle w:val="Default"/>
        <w:jc w:val="both"/>
        <w:rPr>
          <w:rFonts w:ascii="Bookman Old Style" w:hAnsi="Bookman Old Style" w:cs="Times New Roman"/>
          <w:lang w:eastAsia="es-ES"/>
        </w:rPr>
      </w:pPr>
    </w:p>
    <w:p w14:paraId="1D21801C" w14:textId="32A105D5" w:rsidR="00886351" w:rsidRPr="004B3B4B" w:rsidRDefault="00886351" w:rsidP="00BF38C0">
      <w:pPr>
        <w:pStyle w:val="Default"/>
        <w:jc w:val="both"/>
        <w:rPr>
          <w:rFonts w:ascii="Bookman Old Style" w:hAnsi="Bookman Old Style" w:cs="Times New Roman"/>
          <w:b/>
          <w:lang w:val="es-ES" w:eastAsia="es-ES"/>
        </w:rPr>
      </w:pPr>
      <w:r w:rsidRPr="004B3B4B">
        <w:rPr>
          <w:rFonts w:ascii="Bookman Old Style" w:hAnsi="Bookman Old Style" w:cs="Times New Roman"/>
          <w:b/>
          <w:lang w:val="es-ES" w:eastAsia="es-ES"/>
        </w:rPr>
        <w:t xml:space="preserve">Valor de la cobertura de la garantía de cumplimiento de puesta en operación. </w:t>
      </w:r>
      <w:r w:rsidRPr="004B3B4B">
        <w:rPr>
          <w:rFonts w:ascii="Bookman Old Style" w:hAnsi="Bookman Old Style" w:cs="Times New Roman"/>
        </w:rPr>
        <w:t xml:space="preserve">10% del valor presente del ingreso anual esperado durante el período de vigencia de la obligación de prestación de los servicios. Para los efectos del cálculo del valor presente se utilizará una tasa de descuento del 15%. El valor de la cobertura se deberá incrementar en los eventos señalados en el </w:t>
      </w:r>
      <w:r w:rsidR="00F145B9">
        <w:rPr>
          <w:rFonts w:ascii="Bookman Old Style" w:hAnsi="Bookman Old Style" w:cs="Times New Roman"/>
        </w:rPr>
        <w:t>a</w:t>
      </w:r>
      <w:r w:rsidRPr="004B3B4B">
        <w:rPr>
          <w:rFonts w:ascii="Bookman Old Style" w:hAnsi="Bookman Old Style" w:cs="Times New Roman"/>
        </w:rPr>
        <w:t>rtículo 15 de la Resolución CREG 124 de 2013.</w:t>
      </w:r>
    </w:p>
    <w:p w14:paraId="293C7263" w14:textId="77777777" w:rsidR="00886351" w:rsidRPr="004B3B4B" w:rsidRDefault="00886351" w:rsidP="00BF38C0">
      <w:pPr>
        <w:pStyle w:val="Default"/>
        <w:jc w:val="both"/>
        <w:rPr>
          <w:rFonts w:ascii="Bookman Old Style" w:hAnsi="Bookman Old Style" w:cs="Times New Roman"/>
          <w:b/>
          <w:lang w:eastAsia="es-ES"/>
        </w:rPr>
      </w:pPr>
    </w:p>
    <w:p w14:paraId="0E55A776" w14:textId="3DDDE43C" w:rsidR="00937681" w:rsidRPr="004B3B4B" w:rsidRDefault="00937681" w:rsidP="00BF38C0">
      <w:pPr>
        <w:pStyle w:val="Default"/>
        <w:jc w:val="both"/>
        <w:rPr>
          <w:rFonts w:ascii="Bookman Old Style" w:hAnsi="Bookman Old Style" w:cs="Times New Roman"/>
          <w:lang w:eastAsia="es-ES"/>
        </w:rPr>
      </w:pPr>
      <w:r w:rsidRPr="004B3B4B">
        <w:rPr>
          <w:rFonts w:ascii="Bookman Old Style" w:hAnsi="Bookman Old Style" w:cs="Times New Roman"/>
          <w:b/>
          <w:lang w:eastAsia="es-ES"/>
        </w:rPr>
        <w:t xml:space="preserve">Objeto de la garantía de cumplimiento. </w:t>
      </w:r>
      <w:r w:rsidRPr="004B3B4B">
        <w:rPr>
          <w:rFonts w:ascii="Bookman Old Style" w:hAnsi="Bookman Old Style" w:cs="Times New Roman"/>
          <w:lang w:eastAsia="es-ES"/>
        </w:rPr>
        <w:t xml:space="preserve">Garantía de que el proponente que resulte seleccionado como gestor del mercado cumplirá con los servicios establecidos en el </w:t>
      </w:r>
      <w:r w:rsidR="00F145B9">
        <w:rPr>
          <w:rFonts w:ascii="Bookman Old Style" w:hAnsi="Bookman Old Style" w:cs="Times New Roman"/>
          <w:lang w:eastAsia="es-ES"/>
        </w:rPr>
        <w:t>a</w:t>
      </w:r>
      <w:r w:rsidRPr="004B3B4B">
        <w:rPr>
          <w:rFonts w:ascii="Bookman Old Style" w:hAnsi="Bookman Old Style" w:cs="Times New Roman"/>
          <w:lang w:eastAsia="es-ES"/>
        </w:rPr>
        <w:t>rtículo 11 de la Resolución CREG 124 de 2013. Esta garantía deberá estar aprobada un mes ante</w:t>
      </w:r>
      <w:r w:rsidR="00F145B9">
        <w:rPr>
          <w:rFonts w:ascii="Bookman Old Style" w:hAnsi="Bookman Old Style" w:cs="Times New Roman"/>
          <w:lang w:eastAsia="es-ES"/>
        </w:rPr>
        <w:t>s de la fecha de inicio del perí</w:t>
      </w:r>
      <w:r w:rsidRPr="004B3B4B">
        <w:rPr>
          <w:rFonts w:ascii="Bookman Old Style" w:hAnsi="Bookman Old Style" w:cs="Times New Roman"/>
          <w:lang w:eastAsia="es-ES"/>
        </w:rPr>
        <w:t>odo de vigencia de la obligación de prestación de los servicios y se renovará anualmente.</w:t>
      </w:r>
    </w:p>
    <w:p w14:paraId="07CEBE2F" w14:textId="39C9C30A" w:rsidR="00282DDA" w:rsidRPr="004B3B4B" w:rsidRDefault="00937681" w:rsidP="00BF38C0">
      <w:pPr>
        <w:pStyle w:val="Default"/>
        <w:jc w:val="both"/>
        <w:rPr>
          <w:rFonts w:ascii="Bookman Old Style" w:hAnsi="Bookman Old Style" w:cs="Times New Roman"/>
          <w:b/>
          <w:lang w:val="es-ES" w:eastAsia="es-ES"/>
        </w:rPr>
      </w:pPr>
      <w:r w:rsidRPr="004B3B4B">
        <w:rPr>
          <w:rFonts w:ascii="Bookman Old Style" w:hAnsi="Bookman Old Style" w:cs="Arial"/>
          <w:color w:val="FF0000"/>
          <w:lang w:val="es-ES"/>
        </w:rPr>
        <w:t xml:space="preserve"> </w:t>
      </w:r>
    </w:p>
    <w:p w14:paraId="67FD1441" w14:textId="77777777" w:rsidR="00886351" w:rsidRPr="004B3B4B" w:rsidRDefault="00886351" w:rsidP="00BF38C0">
      <w:pPr>
        <w:pStyle w:val="Default"/>
        <w:jc w:val="both"/>
        <w:rPr>
          <w:rFonts w:ascii="Bookman Old Style" w:hAnsi="Bookman Old Style" w:cs="Times New Roman"/>
          <w:b/>
          <w:lang w:val="es-ES" w:eastAsia="es-ES"/>
        </w:rPr>
      </w:pPr>
      <w:r w:rsidRPr="004B3B4B">
        <w:rPr>
          <w:rFonts w:ascii="Bookman Old Style" w:hAnsi="Bookman Old Style" w:cs="Times New Roman"/>
          <w:b/>
          <w:lang w:val="es-ES" w:eastAsia="es-ES"/>
        </w:rPr>
        <w:t xml:space="preserve">Valor de la cobertura de la garantía de cumplimiento. </w:t>
      </w:r>
      <w:r w:rsidRPr="004B3B4B">
        <w:rPr>
          <w:rFonts w:ascii="Bookman Old Style" w:hAnsi="Bookman Old Style" w:cs="Arial"/>
          <w:color w:val="000000" w:themeColor="text1"/>
        </w:rPr>
        <w:t>20% del promedio aritmético del ingreso anual esperado.</w:t>
      </w:r>
    </w:p>
    <w:p w14:paraId="3970341D" w14:textId="77777777" w:rsidR="00F145B9" w:rsidRDefault="00F145B9" w:rsidP="00BF38C0">
      <w:pPr>
        <w:pStyle w:val="Default"/>
        <w:jc w:val="both"/>
        <w:rPr>
          <w:rFonts w:ascii="Bookman Old Style" w:hAnsi="Bookman Old Style" w:cs="Times New Roman"/>
          <w:b/>
          <w:lang w:val="es-ES" w:eastAsia="es-ES"/>
        </w:rPr>
      </w:pPr>
    </w:p>
    <w:p w14:paraId="49A86D69" w14:textId="45BD01E3" w:rsidR="00295EB2" w:rsidRPr="004B3B4B" w:rsidRDefault="00295EB2" w:rsidP="00BF38C0">
      <w:pPr>
        <w:pStyle w:val="Default"/>
        <w:jc w:val="both"/>
        <w:rPr>
          <w:rFonts w:ascii="Bookman Old Style" w:hAnsi="Bookman Old Style" w:cs="Times New Roman"/>
          <w:lang w:val="es-ES" w:eastAsia="es-ES"/>
        </w:rPr>
      </w:pPr>
      <w:r w:rsidRPr="004B3B4B">
        <w:rPr>
          <w:rFonts w:ascii="Bookman Old Style" w:hAnsi="Bookman Old Style" w:cs="Times New Roman"/>
          <w:b/>
          <w:lang w:val="es-ES" w:eastAsia="es-ES"/>
        </w:rPr>
        <w:t xml:space="preserve">Principios y otorgamientos de las garantías. </w:t>
      </w:r>
      <w:r w:rsidRPr="004B3B4B">
        <w:rPr>
          <w:rFonts w:ascii="Bookman Old Style" w:hAnsi="Bookman Old Style" w:cs="Times New Roman"/>
          <w:lang w:val="es-ES" w:eastAsia="es-ES"/>
        </w:rPr>
        <w:t>Las establecidas en el artículo 31 de la Resolución CREG 124 de 2013, modificado por el artículo 4 de la Resolución CREG 012 de 2014.</w:t>
      </w:r>
    </w:p>
    <w:p w14:paraId="3B949B90" w14:textId="152CE011" w:rsidR="00255EDF" w:rsidRPr="004B3B4B" w:rsidRDefault="00255EDF" w:rsidP="00BF38C0">
      <w:pPr>
        <w:pStyle w:val="Default"/>
        <w:jc w:val="both"/>
        <w:rPr>
          <w:rFonts w:ascii="Bookman Old Style" w:hAnsi="Bookman Old Style" w:cs="Times New Roman"/>
          <w:lang w:val="es-ES" w:eastAsia="es-ES"/>
        </w:rPr>
      </w:pPr>
      <w:r w:rsidRPr="004B3B4B">
        <w:rPr>
          <w:rFonts w:ascii="Bookman Old Style" w:hAnsi="Bookman Old Style" w:cs="Times New Roman"/>
          <w:b/>
          <w:lang w:val="es-ES" w:eastAsia="es-ES"/>
        </w:rPr>
        <w:lastRenderedPageBreak/>
        <w:t xml:space="preserve">Beneficiario de la garantía de cumplimiento de puesta en operación y de </w:t>
      </w:r>
      <w:r w:rsidR="00F145B9">
        <w:rPr>
          <w:rFonts w:ascii="Bookman Old Style" w:hAnsi="Bookman Old Style" w:cs="Times New Roman"/>
          <w:b/>
          <w:lang w:val="es-ES" w:eastAsia="es-ES"/>
        </w:rPr>
        <w:t xml:space="preserve">la garantía de </w:t>
      </w:r>
      <w:r w:rsidRPr="004B3B4B">
        <w:rPr>
          <w:rFonts w:ascii="Bookman Old Style" w:hAnsi="Bookman Old Style" w:cs="Times New Roman"/>
          <w:b/>
          <w:lang w:val="es-ES" w:eastAsia="es-ES"/>
        </w:rPr>
        <w:t>cumplimiento.</w:t>
      </w:r>
      <w:r w:rsidR="00FF094C" w:rsidRPr="004B3B4B">
        <w:rPr>
          <w:rFonts w:ascii="Bookman Old Style" w:hAnsi="Bookman Old Style" w:cs="Times New Roman"/>
          <w:b/>
          <w:lang w:val="es-ES" w:eastAsia="es-ES"/>
        </w:rPr>
        <w:t xml:space="preserve"> </w:t>
      </w:r>
      <w:r w:rsidR="00FF094C" w:rsidRPr="004B3B4B">
        <w:rPr>
          <w:rFonts w:ascii="Bookman Old Style" w:hAnsi="Bookman Old Style" w:cs="Times New Roman"/>
          <w:lang w:val="es-ES" w:eastAsia="es-ES"/>
        </w:rPr>
        <w:t>Fideicomiso o patrimonio autónomo que constituya el proponente seleccionado como gestor del mercado.</w:t>
      </w:r>
    </w:p>
    <w:p w14:paraId="5D7A4337" w14:textId="77777777" w:rsidR="00295EB2" w:rsidRPr="004B3B4B" w:rsidRDefault="00295EB2" w:rsidP="00BF38C0">
      <w:pPr>
        <w:pStyle w:val="Default"/>
        <w:jc w:val="both"/>
        <w:rPr>
          <w:rFonts w:ascii="Bookman Old Style" w:hAnsi="Bookman Old Style" w:cs="Times New Roman"/>
          <w:b/>
          <w:lang w:val="es-ES" w:eastAsia="es-ES"/>
        </w:rPr>
      </w:pPr>
    </w:p>
    <w:p w14:paraId="4960CCC3" w14:textId="3BB21319" w:rsidR="00282DDA" w:rsidRPr="004B3B4B" w:rsidRDefault="001A6D14" w:rsidP="00BF38C0">
      <w:pPr>
        <w:ind w:left="0"/>
        <w:jc w:val="both"/>
        <w:rPr>
          <w:rFonts w:ascii="Bookman Old Style" w:hAnsi="Bookman Old Style"/>
        </w:rPr>
      </w:pPr>
      <w:r w:rsidRPr="004B3B4B">
        <w:rPr>
          <w:rFonts w:ascii="Bookman Old Style" w:hAnsi="Bookman Old Style"/>
          <w:b/>
        </w:rPr>
        <w:t xml:space="preserve">Garantías admisibles. </w:t>
      </w:r>
      <w:r w:rsidRPr="004B3B4B">
        <w:rPr>
          <w:rFonts w:ascii="Bookman Old Style" w:hAnsi="Bookman Old Style"/>
        </w:rPr>
        <w:t>Exclusivamente las definidas en el artículo 32 de la Resolución CREG 124 de 2013.</w:t>
      </w:r>
    </w:p>
    <w:p w14:paraId="2CAEA811" w14:textId="77777777" w:rsidR="0068089D" w:rsidRPr="004B3B4B" w:rsidRDefault="0068089D" w:rsidP="00BF38C0">
      <w:pPr>
        <w:ind w:left="0"/>
        <w:jc w:val="both"/>
        <w:rPr>
          <w:rFonts w:ascii="Bookman Old Style" w:hAnsi="Bookman Old Style"/>
        </w:rPr>
      </w:pPr>
    </w:p>
    <w:p w14:paraId="437270B6" w14:textId="02A51C30" w:rsidR="0068089D" w:rsidRPr="004B3B4B" w:rsidRDefault="0068089D" w:rsidP="00BF38C0">
      <w:pPr>
        <w:ind w:left="0"/>
        <w:jc w:val="both"/>
        <w:rPr>
          <w:rFonts w:ascii="Bookman Old Style" w:hAnsi="Bookman Old Style"/>
        </w:rPr>
      </w:pPr>
      <w:r w:rsidRPr="004B3B4B">
        <w:rPr>
          <w:rFonts w:ascii="Bookman Old Style" w:hAnsi="Bookman Old Style"/>
          <w:b/>
        </w:rPr>
        <w:t xml:space="preserve">Eventos incumplimiento que motivan la ejecución de las garantías de cumplimiento de puesta en operación y de cumplimiento. </w:t>
      </w:r>
      <w:r w:rsidRPr="004B3B4B">
        <w:rPr>
          <w:rFonts w:ascii="Bookman Old Style" w:hAnsi="Bookman Old Style"/>
        </w:rPr>
        <w:t>Las establecidas en el artículo 30 de la Resolución CREG 124 de 2013, modificado por el artículo 3 de la Resolución CREG 032 de 2014.</w:t>
      </w:r>
    </w:p>
    <w:p w14:paraId="03560ABD" w14:textId="77777777" w:rsidR="00CB15BC" w:rsidRPr="004B3B4B" w:rsidRDefault="00CB15BC" w:rsidP="00BF38C0">
      <w:pPr>
        <w:ind w:left="0"/>
        <w:jc w:val="both"/>
        <w:rPr>
          <w:rFonts w:ascii="Bookman Old Style" w:hAnsi="Bookman Old Style"/>
        </w:rPr>
      </w:pPr>
    </w:p>
    <w:p w14:paraId="29711C87" w14:textId="77777777" w:rsidR="00CB15BC" w:rsidRPr="004B3B4B" w:rsidRDefault="00CB15BC" w:rsidP="00F145B9">
      <w:pPr>
        <w:pStyle w:val="Prrafodelista"/>
        <w:numPr>
          <w:ilvl w:val="0"/>
          <w:numId w:val="5"/>
        </w:numPr>
        <w:tabs>
          <w:tab w:val="left" w:pos="567"/>
        </w:tabs>
        <w:ind w:left="0" w:firstLine="0"/>
        <w:jc w:val="both"/>
        <w:rPr>
          <w:rFonts w:ascii="Bookman Old Style" w:hAnsi="Bookman Old Style" w:cs="Arial"/>
          <w:b/>
          <w:color w:val="000000" w:themeColor="text1"/>
          <w:sz w:val="24"/>
          <w:szCs w:val="24"/>
        </w:rPr>
      </w:pPr>
      <w:r w:rsidRPr="004B3B4B">
        <w:rPr>
          <w:rFonts w:ascii="Bookman Old Style" w:hAnsi="Bookman Old Style" w:cs="Arial"/>
          <w:b/>
          <w:color w:val="000000" w:themeColor="text1"/>
          <w:sz w:val="24"/>
          <w:szCs w:val="24"/>
        </w:rPr>
        <w:t>Calidades de la sociedad fiduciaria que se utilice la para la constitución del fideicomiso o patrimonio autónomo que se constituya</w:t>
      </w:r>
    </w:p>
    <w:p w14:paraId="73602ADA" w14:textId="77777777" w:rsidR="00CB15BC" w:rsidRPr="00F145B9" w:rsidRDefault="00CB15BC" w:rsidP="00F145B9">
      <w:pPr>
        <w:pStyle w:val="ARTICULOS"/>
        <w:numPr>
          <w:ilvl w:val="0"/>
          <w:numId w:val="0"/>
        </w:numPr>
        <w:tabs>
          <w:tab w:val="left" w:pos="1560"/>
        </w:tabs>
        <w:rPr>
          <w:rFonts w:cs="Arial"/>
          <w:color w:val="000000"/>
          <w:lang w:val="es-CO"/>
        </w:rPr>
      </w:pPr>
    </w:p>
    <w:p w14:paraId="4B58D5CB" w14:textId="77777777" w:rsidR="00CB15BC" w:rsidRPr="004B3B4B" w:rsidRDefault="00CB15BC" w:rsidP="00BF38C0">
      <w:pPr>
        <w:pStyle w:val="ARTICULOS"/>
        <w:numPr>
          <w:ilvl w:val="0"/>
          <w:numId w:val="0"/>
        </w:numPr>
        <w:tabs>
          <w:tab w:val="left" w:pos="1560"/>
        </w:tabs>
        <w:rPr>
          <w:rFonts w:cs="Arial"/>
          <w:color w:val="000000"/>
          <w:lang w:val="es-CO"/>
        </w:rPr>
      </w:pPr>
      <w:r w:rsidRPr="004B3B4B">
        <w:rPr>
          <w:rFonts w:cs="Arial"/>
          <w:color w:val="000000"/>
          <w:lang w:val="es-CO"/>
        </w:rPr>
        <w:t>La sociedad fiduciaria que escoja el proponente seleccionado como gestor del mercado deberá estar autorizada por la Superintendencia Financiera de Colombia y deberá comprometerse por escrito a actuar conforme a todas las disposiciones contenidas en la regulación vigente.</w:t>
      </w:r>
    </w:p>
    <w:p w14:paraId="3A1FD243" w14:textId="77777777" w:rsidR="00CB15BC" w:rsidRPr="004B3B4B" w:rsidRDefault="00CB15BC" w:rsidP="00CB15BC">
      <w:pPr>
        <w:pStyle w:val="ARTICULOS"/>
        <w:numPr>
          <w:ilvl w:val="0"/>
          <w:numId w:val="0"/>
        </w:numPr>
        <w:tabs>
          <w:tab w:val="left" w:pos="1560"/>
        </w:tabs>
        <w:rPr>
          <w:rFonts w:cs="Arial"/>
          <w:color w:val="000000"/>
          <w:lang w:val="es-CO"/>
        </w:rPr>
      </w:pPr>
    </w:p>
    <w:p w14:paraId="28565FF8" w14:textId="3ECDAE58" w:rsidR="00CB15BC" w:rsidRPr="004B3B4B" w:rsidRDefault="00CB15BC" w:rsidP="00CB15BC">
      <w:pPr>
        <w:ind w:left="0"/>
        <w:jc w:val="both"/>
        <w:rPr>
          <w:rFonts w:ascii="Bookman Old Style" w:hAnsi="Bookman Old Style"/>
          <w:color w:val="000000" w:themeColor="text1"/>
        </w:rPr>
      </w:pPr>
      <w:r w:rsidRPr="004B3B4B">
        <w:rPr>
          <w:rFonts w:ascii="Bookman Old Style" w:hAnsi="Bookman Old Style"/>
          <w:color w:val="000000" w:themeColor="text1"/>
        </w:rPr>
        <w:t>Firma del proyecto de Anexo</w:t>
      </w:r>
    </w:p>
    <w:p w14:paraId="14AC7A7F" w14:textId="77777777" w:rsidR="00CB15BC" w:rsidRPr="004B3B4B" w:rsidRDefault="00CB15BC" w:rsidP="00CB15BC">
      <w:pPr>
        <w:ind w:left="0"/>
        <w:jc w:val="center"/>
        <w:rPr>
          <w:rFonts w:ascii="Bookman Old Style" w:hAnsi="Bookman Old Style"/>
          <w:color w:val="000000" w:themeColor="text1"/>
        </w:rPr>
      </w:pPr>
    </w:p>
    <w:p w14:paraId="37E425F7" w14:textId="77777777" w:rsidR="00CB15BC" w:rsidRPr="004B3B4B" w:rsidRDefault="00CB15BC" w:rsidP="00CB15BC">
      <w:pPr>
        <w:ind w:left="0"/>
        <w:jc w:val="center"/>
        <w:rPr>
          <w:rFonts w:ascii="Bookman Old Style" w:hAnsi="Bookman Old Style"/>
          <w:color w:val="000000" w:themeColor="text1"/>
        </w:rPr>
      </w:pPr>
    </w:p>
    <w:p w14:paraId="469147AD" w14:textId="77777777" w:rsidR="00CB15BC" w:rsidRDefault="00CB15BC" w:rsidP="00CB15BC">
      <w:pPr>
        <w:ind w:left="0"/>
        <w:jc w:val="center"/>
        <w:rPr>
          <w:rFonts w:ascii="Bookman Old Style" w:hAnsi="Bookman Old Style"/>
          <w:color w:val="000000" w:themeColor="text1"/>
        </w:rPr>
      </w:pPr>
    </w:p>
    <w:p w14:paraId="535F33BC" w14:textId="77777777" w:rsidR="005C2CFE" w:rsidRDefault="005C2CFE" w:rsidP="00CB15BC">
      <w:pPr>
        <w:ind w:left="0"/>
        <w:jc w:val="center"/>
        <w:rPr>
          <w:rFonts w:ascii="Bookman Old Style" w:hAnsi="Bookman Old Style"/>
          <w:color w:val="000000" w:themeColor="text1"/>
        </w:rPr>
      </w:pPr>
    </w:p>
    <w:p w14:paraId="065099F4" w14:textId="77777777" w:rsidR="005C2CFE" w:rsidRPr="004B3B4B" w:rsidRDefault="005C2CFE" w:rsidP="00CB15BC">
      <w:pPr>
        <w:ind w:left="0"/>
        <w:jc w:val="center"/>
        <w:rPr>
          <w:rFonts w:ascii="Bookman Old Style" w:hAnsi="Bookman Old Style"/>
          <w:color w:val="000000" w:themeColor="text1"/>
        </w:rPr>
      </w:pPr>
    </w:p>
    <w:p w14:paraId="4E77949C" w14:textId="77777777" w:rsidR="00CB15BC" w:rsidRDefault="00CB15BC" w:rsidP="00CB15BC">
      <w:pPr>
        <w:ind w:left="0"/>
        <w:jc w:val="center"/>
        <w:rPr>
          <w:rFonts w:ascii="Bookman Old Style" w:hAnsi="Bookman Old Style"/>
          <w:color w:val="000000" w:themeColor="text1"/>
        </w:rPr>
      </w:pPr>
    </w:p>
    <w:tbl>
      <w:tblPr>
        <w:tblW w:w="0" w:type="auto"/>
        <w:tblInd w:w="-142" w:type="dxa"/>
        <w:tblLayout w:type="fixed"/>
        <w:tblCellMar>
          <w:left w:w="0" w:type="dxa"/>
          <w:right w:w="0" w:type="dxa"/>
        </w:tblCellMar>
        <w:tblLook w:val="04A0" w:firstRow="1" w:lastRow="0" w:firstColumn="1" w:lastColumn="0" w:noHBand="0" w:noVBand="1"/>
      </w:tblPr>
      <w:tblGrid>
        <w:gridCol w:w="4820"/>
        <w:gridCol w:w="4678"/>
      </w:tblGrid>
      <w:tr w:rsidR="005C2CFE" w:rsidRPr="00C2343E" w14:paraId="51A5D944" w14:textId="77777777" w:rsidTr="007F238F">
        <w:tc>
          <w:tcPr>
            <w:tcW w:w="4820" w:type="dxa"/>
            <w:hideMark/>
          </w:tcPr>
          <w:p w14:paraId="53D5EA1C" w14:textId="77777777" w:rsidR="005C2CFE" w:rsidRPr="00C2343E" w:rsidRDefault="005C2CFE" w:rsidP="007F238F">
            <w:pPr>
              <w:snapToGrid w:val="0"/>
              <w:ind w:left="0"/>
              <w:jc w:val="both"/>
              <w:rPr>
                <w:rFonts w:ascii="Bookman Old Style" w:hAnsi="Bookman Old Style" w:cs="Arial"/>
                <w:b/>
                <w:bCs/>
              </w:rPr>
            </w:pPr>
            <w:r w:rsidRPr="00C2343E">
              <w:rPr>
                <w:rFonts w:ascii="Bookman Old Style" w:hAnsi="Bookman Old Style" w:cs="Arial"/>
                <w:b/>
                <w:bCs/>
              </w:rPr>
              <w:t xml:space="preserve">    </w:t>
            </w:r>
            <w:r>
              <w:rPr>
                <w:rFonts w:ascii="Bookman Old Style" w:hAnsi="Bookman Old Style" w:cs="Arial"/>
                <w:b/>
                <w:bCs/>
              </w:rPr>
              <w:t>ANGELA P. ROJAS COMBARIZA</w:t>
            </w:r>
          </w:p>
        </w:tc>
        <w:tc>
          <w:tcPr>
            <w:tcW w:w="4678" w:type="dxa"/>
            <w:hideMark/>
          </w:tcPr>
          <w:p w14:paraId="5083216B" w14:textId="77777777" w:rsidR="005C2CFE" w:rsidRPr="00C2343E" w:rsidRDefault="005C2CFE" w:rsidP="007F238F">
            <w:pPr>
              <w:snapToGrid w:val="0"/>
              <w:ind w:left="0"/>
              <w:jc w:val="both"/>
              <w:rPr>
                <w:rFonts w:ascii="Bookman Old Style" w:hAnsi="Bookman Old Style" w:cs="Arial"/>
                <w:b/>
                <w:bCs/>
              </w:rPr>
            </w:pPr>
            <w:r w:rsidRPr="00C2343E">
              <w:rPr>
                <w:rFonts w:ascii="Bookman Old Style" w:hAnsi="Bookman Old Style" w:cs="Arial"/>
                <w:b/>
                <w:bCs/>
              </w:rPr>
              <w:t xml:space="preserve">CARLOS FERNANDO ERASO CALERO </w:t>
            </w:r>
          </w:p>
        </w:tc>
      </w:tr>
      <w:tr w:rsidR="005C2CFE" w:rsidRPr="00C2343E" w14:paraId="358F3E8B" w14:textId="77777777" w:rsidTr="007F238F">
        <w:tc>
          <w:tcPr>
            <w:tcW w:w="4820" w:type="dxa"/>
            <w:hideMark/>
          </w:tcPr>
          <w:p w14:paraId="628CE5E9" w14:textId="77777777" w:rsidR="005C2CFE" w:rsidRPr="00C2343E" w:rsidRDefault="005C2CFE" w:rsidP="007F238F">
            <w:pPr>
              <w:snapToGrid w:val="0"/>
              <w:jc w:val="both"/>
              <w:rPr>
                <w:rFonts w:ascii="Bookman Old Style" w:hAnsi="Bookman Old Style" w:cs="Arial"/>
              </w:rPr>
            </w:pPr>
            <w:r w:rsidRPr="00C2343E">
              <w:rPr>
                <w:rFonts w:ascii="Bookman Old Style" w:hAnsi="Bookman Old Style" w:cs="Arial"/>
              </w:rPr>
              <w:t xml:space="preserve">    Viceministr</w:t>
            </w:r>
            <w:r>
              <w:rPr>
                <w:rFonts w:ascii="Bookman Old Style" w:hAnsi="Bookman Old Style" w:cs="Arial"/>
              </w:rPr>
              <w:t>a</w:t>
            </w:r>
            <w:r w:rsidRPr="00C2343E">
              <w:rPr>
                <w:rFonts w:ascii="Bookman Old Style" w:hAnsi="Bookman Old Style" w:cs="Arial"/>
              </w:rPr>
              <w:t xml:space="preserve"> de Energía </w:t>
            </w:r>
            <w:r>
              <w:rPr>
                <w:rFonts w:ascii="Bookman Old Style" w:hAnsi="Bookman Old Style" w:cs="Arial"/>
              </w:rPr>
              <w:t>(E)</w:t>
            </w:r>
          </w:p>
          <w:p w14:paraId="525CFE2D" w14:textId="77777777" w:rsidR="005C2CFE" w:rsidRDefault="005C2CFE" w:rsidP="007F238F">
            <w:pPr>
              <w:snapToGrid w:val="0"/>
              <w:ind w:left="0"/>
              <w:jc w:val="center"/>
              <w:rPr>
                <w:rFonts w:ascii="Bookman Old Style" w:hAnsi="Bookman Old Style" w:cs="Arial"/>
              </w:rPr>
            </w:pPr>
            <w:r w:rsidRPr="00C2343E">
              <w:rPr>
                <w:rFonts w:ascii="Bookman Old Style" w:hAnsi="Bookman Old Style" w:cs="Arial"/>
              </w:rPr>
              <w:t>Delegad</w:t>
            </w:r>
            <w:r>
              <w:rPr>
                <w:rFonts w:ascii="Bookman Old Style" w:hAnsi="Bookman Old Style" w:cs="Arial"/>
              </w:rPr>
              <w:t>a</w:t>
            </w:r>
            <w:r w:rsidRPr="00C2343E">
              <w:rPr>
                <w:rFonts w:ascii="Bookman Old Style" w:hAnsi="Bookman Old Style" w:cs="Arial"/>
              </w:rPr>
              <w:t xml:space="preserve"> del Ministro de Minas y Energía</w:t>
            </w:r>
          </w:p>
          <w:p w14:paraId="548FD8B7" w14:textId="77777777" w:rsidR="005C2CFE" w:rsidRPr="00C2343E" w:rsidRDefault="005C2CFE" w:rsidP="007F238F">
            <w:pPr>
              <w:snapToGrid w:val="0"/>
              <w:ind w:left="0"/>
              <w:rPr>
                <w:rFonts w:ascii="Bookman Old Style" w:hAnsi="Bookman Old Style" w:cs="Arial"/>
              </w:rPr>
            </w:pPr>
            <w:r>
              <w:rPr>
                <w:rFonts w:ascii="Bookman Old Style" w:hAnsi="Bookman Old Style" w:cs="Arial"/>
              </w:rPr>
              <w:t xml:space="preserve">                       </w:t>
            </w:r>
            <w:r w:rsidRPr="00C2343E">
              <w:rPr>
                <w:rFonts w:ascii="Bookman Old Style" w:hAnsi="Bookman Old Style" w:cs="Arial"/>
              </w:rPr>
              <w:t>President</w:t>
            </w:r>
            <w:r>
              <w:rPr>
                <w:rFonts w:ascii="Bookman Old Style" w:hAnsi="Bookman Old Style" w:cs="Arial"/>
              </w:rPr>
              <w:t>a</w:t>
            </w:r>
          </w:p>
        </w:tc>
        <w:tc>
          <w:tcPr>
            <w:tcW w:w="4678" w:type="dxa"/>
            <w:hideMark/>
          </w:tcPr>
          <w:p w14:paraId="2D79D28D" w14:textId="77777777" w:rsidR="005C2CFE" w:rsidRPr="00C2343E" w:rsidRDefault="005C2CFE" w:rsidP="007F238F">
            <w:pPr>
              <w:snapToGrid w:val="0"/>
              <w:jc w:val="both"/>
              <w:rPr>
                <w:rFonts w:ascii="Bookman Old Style" w:hAnsi="Bookman Old Style" w:cs="Arial"/>
              </w:rPr>
            </w:pPr>
            <w:r w:rsidRPr="00C2343E">
              <w:rPr>
                <w:rFonts w:ascii="Bookman Old Style" w:hAnsi="Bookman Old Style" w:cs="Arial"/>
              </w:rPr>
              <w:t xml:space="preserve">          Director Ejecutivo</w:t>
            </w:r>
          </w:p>
        </w:tc>
      </w:tr>
    </w:tbl>
    <w:p w14:paraId="2F7CB16B" w14:textId="77777777" w:rsidR="005C2CFE" w:rsidRDefault="005C2CFE" w:rsidP="00CB15BC">
      <w:pPr>
        <w:ind w:left="0"/>
        <w:jc w:val="center"/>
        <w:rPr>
          <w:rFonts w:ascii="Bookman Old Style" w:hAnsi="Bookman Old Style"/>
          <w:color w:val="000000" w:themeColor="text1"/>
        </w:rPr>
      </w:pPr>
    </w:p>
    <w:p w14:paraId="71D2355F" w14:textId="77777777" w:rsidR="00CB15BC" w:rsidRPr="004B3B4B" w:rsidRDefault="00CB15BC" w:rsidP="00CB15BC">
      <w:pPr>
        <w:pStyle w:val="ARTICULOS"/>
        <w:numPr>
          <w:ilvl w:val="0"/>
          <w:numId w:val="0"/>
        </w:numPr>
        <w:tabs>
          <w:tab w:val="left" w:pos="1560"/>
        </w:tabs>
        <w:rPr>
          <w:rFonts w:cs="Arial"/>
          <w:color w:val="000000"/>
          <w:lang w:val="es-CO"/>
        </w:rPr>
      </w:pPr>
    </w:p>
    <w:p w14:paraId="16E6A5BE" w14:textId="77777777" w:rsidR="00CB15BC" w:rsidRPr="004B3B4B" w:rsidRDefault="00CB15BC" w:rsidP="001A6D14">
      <w:pPr>
        <w:ind w:left="0"/>
        <w:jc w:val="both"/>
        <w:rPr>
          <w:rFonts w:ascii="Bookman Old Style" w:hAnsi="Bookman Old Style"/>
          <w:u w:val="single"/>
          <w:lang w:val="es-CO"/>
        </w:rPr>
      </w:pPr>
    </w:p>
    <w:p w14:paraId="280F29A2" w14:textId="77777777" w:rsidR="00282DDA" w:rsidRPr="004B3B4B" w:rsidRDefault="00282DDA" w:rsidP="00282DDA">
      <w:pPr>
        <w:jc w:val="both"/>
        <w:rPr>
          <w:rFonts w:ascii="Bookman Old Style" w:hAnsi="Bookman Old Style"/>
          <w:b/>
        </w:rPr>
      </w:pPr>
    </w:p>
    <w:sectPr w:rsidR="00282DDA" w:rsidRPr="004B3B4B" w:rsidSect="00E002CC">
      <w:headerReference w:type="default" r:id="rId10"/>
      <w:headerReference w:type="first" r:id="rId11"/>
      <w:type w:val="continuous"/>
      <w:pgSz w:w="12247" w:h="18705" w:code="121"/>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6BF61" w14:textId="77777777" w:rsidR="002D3C72" w:rsidRDefault="002D3C72">
      <w:r>
        <w:separator/>
      </w:r>
    </w:p>
  </w:endnote>
  <w:endnote w:type="continuationSeparator" w:id="0">
    <w:p w14:paraId="2131A811" w14:textId="77777777" w:rsidR="002D3C72" w:rsidRDefault="002D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utura Lt BT">
    <w:altName w:val="Century Gothic"/>
    <w:charset w:val="00"/>
    <w:family w:val="swiss"/>
    <w:pitch w:val="variable"/>
    <w:sig w:usb0="00000001"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542B6" w14:textId="77777777" w:rsidR="002D3C72" w:rsidRDefault="002D3C72">
      <w:r>
        <w:separator/>
      </w:r>
    </w:p>
  </w:footnote>
  <w:footnote w:type="continuationSeparator" w:id="0">
    <w:p w14:paraId="3BBFB8B0" w14:textId="77777777" w:rsidR="002D3C72" w:rsidRDefault="002D3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68DF0" w14:textId="77777777" w:rsidR="002D3C72" w:rsidRDefault="002D3C72" w:rsidP="00951F79">
    <w:pPr>
      <w:pStyle w:val="Ttulo1"/>
      <w:ind w:right="6"/>
      <w:jc w:val="left"/>
      <w:rPr>
        <w:rFonts w:ascii="Bookman Old Style" w:hAnsi="Bookman Old Style" w:cs="Arial"/>
        <w:b w:val="0"/>
        <w:sz w:val="22"/>
        <w:szCs w:val="22"/>
      </w:rPr>
    </w:pPr>
  </w:p>
  <w:p w14:paraId="731015DD" w14:textId="77777777" w:rsidR="002D3C72" w:rsidRPr="00951F79" w:rsidRDefault="002D3C7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26809">
      <w:rPr>
        <w:rFonts w:ascii="Bookman Old Style" w:hAnsi="Bookman Old Style" w:cs="Arial"/>
        <w:b w:val="0"/>
        <w:noProof/>
        <w:sz w:val="22"/>
        <w:szCs w:val="22"/>
      </w:rPr>
      <w:t>11</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26809">
      <w:fldChar w:fldCharType="begin"/>
    </w:r>
    <w:r w:rsidR="00726809">
      <w:instrText xml:space="preserve"> NUMPAGES  \* MERGEFORMAT </w:instrText>
    </w:r>
    <w:r w:rsidR="00726809">
      <w:fldChar w:fldCharType="separate"/>
    </w:r>
    <w:r w:rsidR="00726809" w:rsidRPr="00726809">
      <w:rPr>
        <w:rFonts w:ascii="Bookman Old Style" w:hAnsi="Bookman Old Style" w:cs="Arial"/>
        <w:b w:val="0"/>
        <w:noProof/>
        <w:sz w:val="22"/>
        <w:szCs w:val="22"/>
      </w:rPr>
      <w:t>11</w:t>
    </w:r>
    <w:r w:rsidR="00726809">
      <w:rPr>
        <w:rFonts w:ascii="Bookman Old Style" w:hAnsi="Bookman Old Style" w:cs="Arial"/>
        <w:b w:val="0"/>
        <w:noProof/>
        <w:sz w:val="22"/>
        <w:szCs w:val="22"/>
      </w:rPr>
      <w:fldChar w:fldCharType="end"/>
    </w:r>
  </w:p>
  <w:p w14:paraId="4B23ABC8" w14:textId="77777777" w:rsidR="002D3C72" w:rsidRDefault="002D3C72"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562FF19" wp14:editId="71E14BE1">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D985F2B" w14:textId="17F53CC8" w:rsidR="002D3C72" w:rsidRPr="004F4668" w:rsidRDefault="002D3C72" w:rsidP="004F4668">
    <w:pPr>
      <w:pBdr>
        <w:bottom w:val="single" w:sz="4" w:space="11" w:color="auto"/>
      </w:pBdr>
      <w:spacing w:before="120" w:after="360"/>
      <w:ind w:left="142" w:right="147"/>
      <w:jc w:val="both"/>
      <w:rPr>
        <w:rFonts w:ascii="Bookman Old Style" w:hAnsi="Bookman Old Style" w:cs="Arial"/>
        <w:color w:val="000000" w:themeColor="text1"/>
        <w:sz w:val="22"/>
        <w:szCs w:val="22"/>
      </w:rPr>
    </w:pPr>
    <w:r w:rsidRPr="004F4668">
      <w:rPr>
        <w:rFonts w:ascii="Bookman Old Style" w:hAnsi="Bookman Old Style" w:cs="Arial"/>
        <w:color w:val="000000" w:themeColor="text1"/>
        <w:sz w:val="22"/>
        <w:szCs w:val="22"/>
      </w:rPr>
      <w:t>Por la cual se ordena hacer público un proyecto de resolución de carácter general, “Por la cual se dictan disposiciones para la constitución del fideicomiso o patrimonio autónomo que administrará las garantías de cumplimiento de puesta en operación y de cumplimiento de que trata el artículo 30 de la Resolución CREG 124 de 2014</w:t>
    </w:r>
    <w:r>
      <w:rPr>
        <w:rFonts w:ascii="Bookman Old Style" w:hAnsi="Bookman Old Style" w:cs="Arial"/>
        <w:color w:val="000000" w:themeColor="text1"/>
        <w:lang w:eastAsia="es-CO"/>
      </w:rPr>
      <w:t>, modificado por el artículo 3 de la Resolución CREG 032 de 2014</w:t>
    </w:r>
    <w:r w:rsidRPr="004F4668">
      <w:rPr>
        <w:rFonts w:ascii="Bookman Old Style" w:hAnsi="Bookman Old Style" w:cs="Arial"/>
        <w:color w:val="000000" w:themeColor="text1"/>
        <w:sz w:val="22"/>
        <w:szCs w:val="22"/>
      </w:rPr>
      <w:t>”</w:t>
    </w:r>
    <w:r>
      <w:rPr>
        <w:rFonts w:ascii="Bookman Old Style" w:hAnsi="Bookman Old Style" w:cs="Arial"/>
        <w:color w:val="000000" w:themeColor="text1"/>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3BB8" w14:textId="77777777" w:rsidR="002D3C72" w:rsidRDefault="002D3C72"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7171ACB3" w14:textId="77777777" w:rsidR="002D3C72" w:rsidRDefault="002D3C72">
    <w:pPr>
      <w:pStyle w:val="Encabezado"/>
      <w:jc w:val="center"/>
      <w:rPr>
        <w:rFonts w:ascii="Arial" w:hAnsi="Arial" w:cs="Arial"/>
        <w:spacing w:val="20"/>
        <w:sz w:val="20"/>
      </w:rPr>
    </w:pPr>
  </w:p>
  <w:p w14:paraId="30FB4B56" w14:textId="77777777" w:rsidR="002D3C72" w:rsidRDefault="002D3C72" w:rsidP="00CA77FB">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B28E2DC" wp14:editId="1A93EFF6">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5126"/>
        </w:tabs>
        <w:ind w:left="3686" w:firstLine="0"/>
      </w:pPr>
      <w:rPr>
        <w:rFonts w:hint="default"/>
        <w:b/>
        <w:i w:val="0"/>
      </w:rPr>
    </w:lvl>
    <w:lvl w:ilvl="1">
      <w:start w:val="1"/>
      <w:numFmt w:val="lowerLetter"/>
      <w:lvlText w:val="%2)"/>
      <w:lvlJc w:val="left"/>
      <w:pPr>
        <w:ind w:left="1455" w:hanging="375"/>
      </w:pPr>
      <w:rPr>
        <w:rFonts w:hint="default"/>
      </w:r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B1C5795"/>
    <w:multiLevelType w:val="multilevel"/>
    <w:tmpl w:val="15A0DB38"/>
    <w:lvl w:ilvl="0">
      <w:start w:val="4"/>
      <w:numFmt w:val="decimal"/>
      <w:lvlText w:val="%1."/>
      <w:lvlJc w:val="left"/>
      <w:pPr>
        <w:ind w:left="480" w:hanging="480"/>
      </w:pPr>
      <w:rPr>
        <w:rFonts w:hint="default"/>
        <w:b/>
      </w:rPr>
    </w:lvl>
    <w:lvl w:ilvl="1">
      <w:start w:val="1"/>
      <w:numFmt w:val="decimal"/>
      <w:lvlText w:val="%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nsid w:val="11633535"/>
    <w:multiLevelType w:val="hybridMultilevel"/>
    <w:tmpl w:val="FE4C2D46"/>
    <w:lvl w:ilvl="0" w:tplc="EAD0DD34">
      <w:start w:val="1"/>
      <w:numFmt w:val="lowerLetter"/>
      <w:lvlText w:val="%1."/>
      <w:lvlJc w:val="left"/>
      <w:pPr>
        <w:ind w:left="360" w:hanging="360"/>
      </w:pPr>
      <w:rPr>
        <w:rFonts w:hint="default"/>
      </w:rPr>
    </w:lvl>
    <w:lvl w:ilvl="1" w:tplc="240A0019" w:tentative="1">
      <w:start w:val="1"/>
      <w:numFmt w:val="lowerLetter"/>
      <w:lvlText w:val="%2."/>
      <w:lvlJc w:val="left"/>
      <w:pPr>
        <w:ind w:left="-540" w:hanging="360"/>
      </w:pPr>
    </w:lvl>
    <w:lvl w:ilvl="2" w:tplc="240A001B" w:tentative="1">
      <w:start w:val="1"/>
      <w:numFmt w:val="lowerRoman"/>
      <w:lvlText w:val="%3."/>
      <w:lvlJc w:val="right"/>
      <w:pPr>
        <w:ind w:left="180" w:hanging="180"/>
      </w:pPr>
    </w:lvl>
    <w:lvl w:ilvl="3" w:tplc="240A000F" w:tentative="1">
      <w:start w:val="1"/>
      <w:numFmt w:val="decimal"/>
      <w:lvlText w:val="%4."/>
      <w:lvlJc w:val="left"/>
      <w:pPr>
        <w:ind w:left="900" w:hanging="360"/>
      </w:pPr>
    </w:lvl>
    <w:lvl w:ilvl="4" w:tplc="240A0019" w:tentative="1">
      <w:start w:val="1"/>
      <w:numFmt w:val="lowerLetter"/>
      <w:lvlText w:val="%5."/>
      <w:lvlJc w:val="left"/>
      <w:pPr>
        <w:ind w:left="1620" w:hanging="360"/>
      </w:pPr>
    </w:lvl>
    <w:lvl w:ilvl="5" w:tplc="240A001B" w:tentative="1">
      <w:start w:val="1"/>
      <w:numFmt w:val="lowerRoman"/>
      <w:lvlText w:val="%6."/>
      <w:lvlJc w:val="right"/>
      <w:pPr>
        <w:ind w:left="2340" w:hanging="180"/>
      </w:pPr>
    </w:lvl>
    <w:lvl w:ilvl="6" w:tplc="240A000F" w:tentative="1">
      <w:start w:val="1"/>
      <w:numFmt w:val="decimal"/>
      <w:lvlText w:val="%7."/>
      <w:lvlJc w:val="left"/>
      <w:pPr>
        <w:ind w:left="3060" w:hanging="360"/>
      </w:pPr>
    </w:lvl>
    <w:lvl w:ilvl="7" w:tplc="240A0019" w:tentative="1">
      <w:start w:val="1"/>
      <w:numFmt w:val="lowerLetter"/>
      <w:lvlText w:val="%8."/>
      <w:lvlJc w:val="left"/>
      <w:pPr>
        <w:ind w:left="3780" w:hanging="360"/>
      </w:pPr>
    </w:lvl>
    <w:lvl w:ilvl="8" w:tplc="240A001B" w:tentative="1">
      <w:start w:val="1"/>
      <w:numFmt w:val="lowerRoman"/>
      <w:lvlText w:val="%9."/>
      <w:lvlJc w:val="right"/>
      <w:pPr>
        <w:ind w:left="4500" w:hanging="180"/>
      </w:pPr>
    </w:lvl>
  </w:abstractNum>
  <w:abstractNum w:abstractNumId="3">
    <w:nsid w:val="1AC077BB"/>
    <w:multiLevelType w:val="multilevel"/>
    <w:tmpl w:val="B66E0CD6"/>
    <w:lvl w:ilvl="0">
      <w:start w:val="1"/>
      <w:numFmt w:val="decimal"/>
      <w:lvlText w:val="%1."/>
      <w:lvlJc w:val="left"/>
      <w:pPr>
        <w:ind w:left="786" w:hanging="360"/>
      </w:pPr>
      <w:rPr>
        <w:rFonts w:ascii="Arial" w:hAnsi="Arial" w:cs="Arial" w:hint="default"/>
        <w:sz w:val="22"/>
        <w:szCs w:val="22"/>
      </w:rPr>
    </w:lvl>
    <w:lvl w:ilvl="1">
      <w:start w:val="1"/>
      <w:numFmt w:val="decimal"/>
      <w:isLgl/>
      <w:lvlText w:val="%1.%2."/>
      <w:lvlJc w:val="left"/>
      <w:pPr>
        <w:ind w:left="1146" w:hanging="720"/>
      </w:pPr>
      <w:rPr>
        <w:rFonts w:eastAsia="Calibri" w:hint="default"/>
      </w:rPr>
    </w:lvl>
    <w:lvl w:ilvl="2">
      <w:start w:val="1"/>
      <w:numFmt w:val="decimal"/>
      <w:isLgl/>
      <w:lvlText w:val="%1.%2.%3."/>
      <w:lvlJc w:val="left"/>
      <w:pPr>
        <w:ind w:left="1146" w:hanging="720"/>
      </w:pPr>
      <w:rPr>
        <w:rFonts w:eastAsia="Calibri" w:hint="default"/>
      </w:rPr>
    </w:lvl>
    <w:lvl w:ilvl="3">
      <w:start w:val="1"/>
      <w:numFmt w:val="decimal"/>
      <w:isLgl/>
      <w:lvlText w:val="%1.%2.%3.%4."/>
      <w:lvlJc w:val="left"/>
      <w:pPr>
        <w:ind w:left="1506" w:hanging="1080"/>
      </w:pPr>
      <w:rPr>
        <w:rFonts w:eastAsia="Calibri" w:hint="default"/>
      </w:rPr>
    </w:lvl>
    <w:lvl w:ilvl="4">
      <w:start w:val="1"/>
      <w:numFmt w:val="decimal"/>
      <w:isLgl/>
      <w:lvlText w:val="%1.%2.%3.%4.%5."/>
      <w:lvlJc w:val="left"/>
      <w:pPr>
        <w:ind w:left="1506" w:hanging="1080"/>
      </w:pPr>
      <w:rPr>
        <w:rFonts w:eastAsia="Calibri" w:hint="default"/>
      </w:rPr>
    </w:lvl>
    <w:lvl w:ilvl="5">
      <w:start w:val="1"/>
      <w:numFmt w:val="decimal"/>
      <w:isLgl/>
      <w:lvlText w:val="%1.%2.%3.%4.%5.%6."/>
      <w:lvlJc w:val="left"/>
      <w:pPr>
        <w:ind w:left="1866" w:hanging="1440"/>
      </w:pPr>
      <w:rPr>
        <w:rFonts w:eastAsia="Calibri" w:hint="default"/>
      </w:rPr>
    </w:lvl>
    <w:lvl w:ilvl="6">
      <w:start w:val="1"/>
      <w:numFmt w:val="decimal"/>
      <w:isLgl/>
      <w:lvlText w:val="%1.%2.%3.%4.%5.%6.%7."/>
      <w:lvlJc w:val="left"/>
      <w:pPr>
        <w:ind w:left="1866" w:hanging="1440"/>
      </w:pPr>
      <w:rPr>
        <w:rFonts w:eastAsia="Calibri" w:hint="default"/>
      </w:rPr>
    </w:lvl>
    <w:lvl w:ilvl="7">
      <w:start w:val="1"/>
      <w:numFmt w:val="decimal"/>
      <w:isLgl/>
      <w:lvlText w:val="%1.%2.%3.%4.%5.%6.%7.%8."/>
      <w:lvlJc w:val="left"/>
      <w:pPr>
        <w:ind w:left="2226" w:hanging="1800"/>
      </w:pPr>
      <w:rPr>
        <w:rFonts w:eastAsia="Calibri" w:hint="default"/>
      </w:rPr>
    </w:lvl>
    <w:lvl w:ilvl="8">
      <w:start w:val="1"/>
      <w:numFmt w:val="decimal"/>
      <w:isLgl/>
      <w:lvlText w:val="%1.%2.%3.%4.%5.%6.%7.%8.%9."/>
      <w:lvlJc w:val="left"/>
      <w:pPr>
        <w:ind w:left="2226" w:hanging="1800"/>
      </w:pPr>
      <w:rPr>
        <w:rFonts w:eastAsia="Calibri" w:hint="default"/>
      </w:rPr>
    </w:lvl>
  </w:abstractNum>
  <w:abstractNum w:abstractNumId="4">
    <w:nsid w:val="2447747A"/>
    <w:multiLevelType w:val="hybridMultilevel"/>
    <w:tmpl w:val="3B8E49C6"/>
    <w:lvl w:ilvl="0" w:tplc="C87E123C">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BE86C692">
      <w:start w:val="28"/>
      <w:numFmt w:val="decimal"/>
      <w:lvlText w:val="%3"/>
      <w:lvlJc w:val="left"/>
      <w:pPr>
        <w:ind w:left="2700" w:hanging="360"/>
      </w:pPr>
      <w:rPr>
        <w:rFonts w:hint="default"/>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29846545"/>
    <w:multiLevelType w:val="hybridMultilevel"/>
    <w:tmpl w:val="42401068"/>
    <w:lvl w:ilvl="0" w:tplc="FCFAD036">
      <w:start w:val="10"/>
      <w:numFmt w:val="bullet"/>
      <w:lvlText w:val="-"/>
      <w:lvlJc w:val="left"/>
      <w:pPr>
        <w:ind w:left="720" w:hanging="360"/>
      </w:pPr>
      <w:rPr>
        <w:rFonts w:ascii="Futura Lt BT" w:eastAsia="Times New Roman" w:hAnsi="Futura Lt BT"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213303F"/>
    <w:multiLevelType w:val="hybridMultilevel"/>
    <w:tmpl w:val="E21AA40C"/>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463F3243"/>
    <w:multiLevelType w:val="hybridMultilevel"/>
    <w:tmpl w:val="80BE7C6E"/>
    <w:lvl w:ilvl="0" w:tplc="ED267084">
      <w:start w:val="1"/>
      <w:numFmt w:val="lowerLetter"/>
      <w:lvlText w:val="%1)"/>
      <w:lvlJc w:val="left"/>
      <w:pPr>
        <w:ind w:left="1440" w:hanging="720"/>
      </w:pPr>
      <w:rPr>
        <w:rFonts w:ascii="Arial" w:hAnsi="Arial" w:cs="Arial" w:hint="default"/>
        <w:b w:val="0"/>
        <w:i w:val="0"/>
        <w:sz w:val="22"/>
        <w:szCs w:val="22"/>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nsid w:val="47A242CB"/>
    <w:multiLevelType w:val="multilevel"/>
    <w:tmpl w:val="ECA641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D9A558F"/>
    <w:multiLevelType w:val="hybridMultilevel"/>
    <w:tmpl w:val="DF22BF62"/>
    <w:lvl w:ilvl="0" w:tplc="240A0017">
      <w:start w:val="1"/>
      <w:numFmt w:val="lowerLetter"/>
      <w:lvlText w:val="%1)"/>
      <w:lvlJc w:val="left"/>
      <w:pPr>
        <w:ind w:left="720" w:hanging="360"/>
      </w:pPr>
    </w:lvl>
    <w:lvl w:ilvl="1" w:tplc="AE22C066">
      <w:start w:val="1"/>
      <w:numFmt w:val="lowerLetter"/>
      <w:lvlText w:val="%2)"/>
      <w:lvlJc w:val="left"/>
      <w:pPr>
        <w:ind w:left="1440" w:hanging="360"/>
      </w:pPr>
      <w:rPr>
        <w:rFonts w:hint="default"/>
      </w:rPr>
    </w:lvl>
    <w:lvl w:ilvl="2" w:tplc="EAD0DD34">
      <w:start w:val="1"/>
      <w:numFmt w:val="lowerLetter"/>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E1E2C39"/>
    <w:multiLevelType w:val="hybridMultilevel"/>
    <w:tmpl w:val="A2C62E20"/>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5D99076B"/>
    <w:multiLevelType w:val="hybridMultilevel"/>
    <w:tmpl w:val="55D2E8FE"/>
    <w:lvl w:ilvl="0" w:tplc="B5B80C96">
      <w:start w:val="1"/>
      <w:numFmt w:val="decimal"/>
      <w:pStyle w:val="Comentarios"/>
      <w:lvlText w:val="Comentario %1."/>
      <w:lvlJc w:val="left"/>
      <w:pPr>
        <w:tabs>
          <w:tab w:val="num" w:pos="1800"/>
        </w:tabs>
        <w:ind w:left="0" w:firstLine="0"/>
      </w:pPr>
      <w:rPr>
        <w:rFonts w:ascii="Arial" w:hAnsi="Arial" w:hint="default"/>
        <w:b/>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3">
    <w:nsid w:val="684142E0"/>
    <w:multiLevelType w:val="hybridMultilevel"/>
    <w:tmpl w:val="50006CC2"/>
    <w:lvl w:ilvl="0" w:tplc="D6341946">
      <w:start w:val="1"/>
      <w:numFmt w:val="lowerLetter"/>
      <w:lvlText w:val="%1)"/>
      <w:lvlJc w:val="left"/>
      <w:pPr>
        <w:ind w:left="1440" w:hanging="720"/>
      </w:pPr>
      <w:rPr>
        <w:rFonts w:ascii="Bookman Old Style" w:hAnsi="Bookman Old Style" w:hint="default"/>
        <w:b w:val="0"/>
        <w:i w:val="0"/>
        <w:sz w:val="24"/>
        <w:szCs w:val="24"/>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abstractNumId w:val="14"/>
  </w:num>
  <w:num w:numId="2">
    <w:abstractNumId w:val="11"/>
  </w:num>
  <w:num w:numId="3">
    <w:abstractNumId w:val="0"/>
  </w:num>
  <w:num w:numId="4">
    <w:abstractNumId w:val="12"/>
  </w:num>
  <w:num w:numId="5">
    <w:abstractNumId w:val="8"/>
  </w:num>
  <w:num w:numId="6">
    <w:abstractNumId w:val="3"/>
  </w:num>
  <w:num w:numId="7">
    <w:abstractNumId w:val="4"/>
  </w:num>
  <w:num w:numId="8">
    <w:abstractNumId w:val="7"/>
  </w:num>
  <w:num w:numId="9">
    <w:abstractNumId w:val="10"/>
  </w:num>
  <w:num w:numId="10">
    <w:abstractNumId w:val="14"/>
  </w:num>
  <w:num w:numId="11">
    <w:abstractNumId w:val="9"/>
  </w:num>
  <w:num w:numId="12">
    <w:abstractNumId w:val="5"/>
  </w:num>
  <w:num w:numId="13">
    <w:abstractNumId w:val="2"/>
  </w:num>
  <w:num w:numId="14">
    <w:abstractNumId w:val="14"/>
  </w:num>
  <w:num w:numId="15">
    <w:abstractNumId w:val="14"/>
  </w:num>
  <w:num w:numId="16">
    <w:abstractNumId w:val="14"/>
  </w:num>
  <w:num w:numId="17">
    <w:abstractNumId w:val="1"/>
  </w:num>
  <w:num w:numId="18">
    <w:abstractNumId w:val="13"/>
  </w:num>
  <w:num w:numId="19">
    <w:abstractNumId w:val="6"/>
  </w:num>
  <w:num w:numId="20">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50"/>
    <w:rsid w:val="00000C38"/>
    <w:rsid w:val="00000CF9"/>
    <w:rsid w:val="00000FCB"/>
    <w:rsid w:val="00001A61"/>
    <w:rsid w:val="000020A8"/>
    <w:rsid w:val="000034E8"/>
    <w:rsid w:val="000037CF"/>
    <w:rsid w:val="00003E8D"/>
    <w:rsid w:val="00004D83"/>
    <w:rsid w:val="00005ABF"/>
    <w:rsid w:val="00005EDD"/>
    <w:rsid w:val="0000654F"/>
    <w:rsid w:val="00006A04"/>
    <w:rsid w:val="00006AE2"/>
    <w:rsid w:val="00006F95"/>
    <w:rsid w:val="0000700C"/>
    <w:rsid w:val="000076A1"/>
    <w:rsid w:val="00007A06"/>
    <w:rsid w:val="00007F69"/>
    <w:rsid w:val="00010B1D"/>
    <w:rsid w:val="00010D61"/>
    <w:rsid w:val="00011D02"/>
    <w:rsid w:val="00012259"/>
    <w:rsid w:val="00012472"/>
    <w:rsid w:val="00012E4F"/>
    <w:rsid w:val="00013B69"/>
    <w:rsid w:val="00013DEA"/>
    <w:rsid w:val="000152E6"/>
    <w:rsid w:val="0001533D"/>
    <w:rsid w:val="0001582A"/>
    <w:rsid w:val="00015852"/>
    <w:rsid w:val="00015C89"/>
    <w:rsid w:val="000162D9"/>
    <w:rsid w:val="0001631E"/>
    <w:rsid w:val="00016698"/>
    <w:rsid w:val="00017454"/>
    <w:rsid w:val="000178DC"/>
    <w:rsid w:val="00017983"/>
    <w:rsid w:val="00020B3C"/>
    <w:rsid w:val="0002108F"/>
    <w:rsid w:val="00021B30"/>
    <w:rsid w:val="000228E3"/>
    <w:rsid w:val="00022A19"/>
    <w:rsid w:val="00023A14"/>
    <w:rsid w:val="00024094"/>
    <w:rsid w:val="00024C04"/>
    <w:rsid w:val="000252D3"/>
    <w:rsid w:val="00025383"/>
    <w:rsid w:val="0002564D"/>
    <w:rsid w:val="00025E09"/>
    <w:rsid w:val="00025F55"/>
    <w:rsid w:val="00026477"/>
    <w:rsid w:val="0002678D"/>
    <w:rsid w:val="00027CAD"/>
    <w:rsid w:val="00030C6C"/>
    <w:rsid w:val="00030C8A"/>
    <w:rsid w:val="000310AB"/>
    <w:rsid w:val="000320B7"/>
    <w:rsid w:val="0003364E"/>
    <w:rsid w:val="00033795"/>
    <w:rsid w:val="00034E9A"/>
    <w:rsid w:val="00035268"/>
    <w:rsid w:val="000356A7"/>
    <w:rsid w:val="00035CE1"/>
    <w:rsid w:val="00035D87"/>
    <w:rsid w:val="0003635C"/>
    <w:rsid w:val="00036B45"/>
    <w:rsid w:val="00037BB4"/>
    <w:rsid w:val="00037F75"/>
    <w:rsid w:val="00037FF5"/>
    <w:rsid w:val="00040199"/>
    <w:rsid w:val="000401A2"/>
    <w:rsid w:val="0004162E"/>
    <w:rsid w:val="0004200A"/>
    <w:rsid w:val="00044247"/>
    <w:rsid w:val="00044C64"/>
    <w:rsid w:val="0004566B"/>
    <w:rsid w:val="00046241"/>
    <w:rsid w:val="00046E7F"/>
    <w:rsid w:val="0004777C"/>
    <w:rsid w:val="00047D40"/>
    <w:rsid w:val="00050277"/>
    <w:rsid w:val="0005199A"/>
    <w:rsid w:val="00052EB6"/>
    <w:rsid w:val="00053175"/>
    <w:rsid w:val="0005340D"/>
    <w:rsid w:val="00053EBD"/>
    <w:rsid w:val="0005424A"/>
    <w:rsid w:val="00054CBF"/>
    <w:rsid w:val="00055386"/>
    <w:rsid w:val="000568B3"/>
    <w:rsid w:val="000572D1"/>
    <w:rsid w:val="00057ABD"/>
    <w:rsid w:val="00057D91"/>
    <w:rsid w:val="00057DD5"/>
    <w:rsid w:val="0006018C"/>
    <w:rsid w:val="000608FD"/>
    <w:rsid w:val="000616A2"/>
    <w:rsid w:val="000629CC"/>
    <w:rsid w:val="000635A1"/>
    <w:rsid w:val="00063657"/>
    <w:rsid w:val="00063E0C"/>
    <w:rsid w:val="00064237"/>
    <w:rsid w:val="00064B58"/>
    <w:rsid w:val="00064F1B"/>
    <w:rsid w:val="0006553E"/>
    <w:rsid w:val="00065647"/>
    <w:rsid w:val="00065CA6"/>
    <w:rsid w:val="00066393"/>
    <w:rsid w:val="0006651E"/>
    <w:rsid w:val="00067207"/>
    <w:rsid w:val="0006731B"/>
    <w:rsid w:val="00067583"/>
    <w:rsid w:val="00067958"/>
    <w:rsid w:val="00067CDB"/>
    <w:rsid w:val="0007013D"/>
    <w:rsid w:val="00070AF8"/>
    <w:rsid w:val="00070B84"/>
    <w:rsid w:val="00071219"/>
    <w:rsid w:val="00071928"/>
    <w:rsid w:val="00071B61"/>
    <w:rsid w:val="00071F39"/>
    <w:rsid w:val="000729B1"/>
    <w:rsid w:val="00074A9D"/>
    <w:rsid w:val="00074F03"/>
    <w:rsid w:val="0007624F"/>
    <w:rsid w:val="00076680"/>
    <w:rsid w:val="00076A1D"/>
    <w:rsid w:val="00077437"/>
    <w:rsid w:val="0008073E"/>
    <w:rsid w:val="00080BA2"/>
    <w:rsid w:val="0008149E"/>
    <w:rsid w:val="00081ECC"/>
    <w:rsid w:val="00082535"/>
    <w:rsid w:val="0008267A"/>
    <w:rsid w:val="00083E19"/>
    <w:rsid w:val="0008407A"/>
    <w:rsid w:val="00084274"/>
    <w:rsid w:val="00086783"/>
    <w:rsid w:val="00087591"/>
    <w:rsid w:val="00087A81"/>
    <w:rsid w:val="00090F11"/>
    <w:rsid w:val="0009116E"/>
    <w:rsid w:val="00091CDB"/>
    <w:rsid w:val="00091FFE"/>
    <w:rsid w:val="00092143"/>
    <w:rsid w:val="000924E9"/>
    <w:rsid w:val="0009270C"/>
    <w:rsid w:val="000928B4"/>
    <w:rsid w:val="00092C9E"/>
    <w:rsid w:val="0009327E"/>
    <w:rsid w:val="0009338B"/>
    <w:rsid w:val="000937B4"/>
    <w:rsid w:val="0009460D"/>
    <w:rsid w:val="000954AB"/>
    <w:rsid w:val="00095A9D"/>
    <w:rsid w:val="0009683B"/>
    <w:rsid w:val="00096E65"/>
    <w:rsid w:val="000970B5"/>
    <w:rsid w:val="00097961"/>
    <w:rsid w:val="000A07EF"/>
    <w:rsid w:val="000A19AC"/>
    <w:rsid w:val="000A1C49"/>
    <w:rsid w:val="000A1F87"/>
    <w:rsid w:val="000A21C6"/>
    <w:rsid w:val="000A341F"/>
    <w:rsid w:val="000A3583"/>
    <w:rsid w:val="000A3BBE"/>
    <w:rsid w:val="000A4B47"/>
    <w:rsid w:val="000A4DC1"/>
    <w:rsid w:val="000A5F2E"/>
    <w:rsid w:val="000A6122"/>
    <w:rsid w:val="000A77BF"/>
    <w:rsid w:val="000A7BEE"/>
    <w:rsid w:val="000A7D3C"/>
    <w:rsid w:val="000B1E7A"/>
    <w:rsid w:val="000B2053"/>
    <w:rsid w:val="000B27F1"/>
    <w:rsid w:val="000B285B"/>
    <w:rsid w:val="000B2C8D"/>
    <w:rsid w:val="000B2EE5"/>
    <w:rsid w:val="000B2F81"/>
    <w:rsid w:val="000B36BC"/>
    <w:rsid w:val="000B4670"/>
    <w:rsid w:val="000B510D"/>
    <w:rsid w:val="000B6034"/>
    <w:rsid w:val="000B67A4"/>
    <w:rsid w:val="000B6E6F"/>
    <w:rsid w:val="000B7F01"/>
    <w:rsid w:val="000C06F6"/>
    <w:rsid w:val="000C07E5"/>
    <w:rsid w:val="000C0C78"/>
    <w:rsid w:val="000C0EA0"/>
    <w:rsid w:val="000C0F6A"/>
    <w:rsid w:val="000C125C"/>
    <w:rsid w:val="000C2530"/>
    <w:rsid w:val="000C2F8E"/>
    <w:rsid w:val="000C34C1"/>
    <w:rsid w:val="000C3A94"/>
    <w:rsid w:val="000C4489"/>
    <w:rsid w:val="000C488E"/>
    <w:rsid w:val="000C50CC"/>
    <w:rsid w:val="000C537A"/>
    <w:rsid w:val="000C5C83"/>
    <w:rsid w:val="000C6851"/>
    <w:rsid w:val="000C79E0"/>
    <w:rsid w:val="000C7DC7"/>
    <w:rsid w:val="000D0411"/>
    <w:rsid w:val="000D11E2"/>
    <w:rsid w:val="000D1414"/>
    <w:rsid w:val="000D1456"/>
    <w:rsid w:val="000D166D"/>
    <w:rsid w:val="000D26F8"/>
    <w:rsid w:val="000D2EF2"/>
    <w:rsid w:val="000D3209"/>
    <w:rsid w:val="000D34A3"/>
    <w:rsid w:val="000D3633"/>
    <w:rsid w:val="000D45B1"/>
    <w:rsid w:val="000D5724"/>
    <w:rsid w:val="000D5869"/>
    <w:rsid w:val="000D5B92"/>
    <w:rsid w:val="000D5E46"/>
    <w:rsid w:val="000D63C3"/>
    <w:rsid w:val="000D6E82"/>
    <w:rsid w:val="000D70C6"/>
    <w:rsid w:val="000D77FA"/>
    <w:rsid w:val="000E008F"/>
    <w:rsid w:val="000E0A0E"/>
    <w:rsid w:val="000E0A9D"/>
    <w:rsid w:val="000E0DA4"/>
    <w:rsid w:val="000E1A2F"/>
    <w:rsid w:val="000E1DD8"/>
    <w:rsid w:val="000E28C9"/>
    <w:rsid w:val="000E2E3F"/>
    <w:rsid w:val="000E3014"/>
    <w:rsid w:val="000E3616"/>
    <w:rsid w:val="000E36E0"/>
    <w:rsid w:val="000E47D5"/>
    <w:rsid w:val="000E47E6"/>
    <w:rsid w:val="000E4990"/>
    <w:rsid w:val="000E4C30"/>
    <w:rsid w:val="000E5806"/>
    <w:rsid w:val="000E78C7"/>
    <w:rsid w:val="000F0194"/>
    <w:rsid w:val="000F06E3"/>
    <w:rsid w:val="000F0E66"/>
    <w:rsid w:val="000F0E70"/>
    <w:rsid w:val="000F1927"/>
    <w:rsid w:val="000F1C07"/>
    <w:rsid w:val="000F1E21"/>
    <w:rsid w:val="000F2EB3"/>
    <w:rsid w:val="000F2EE7"/>
    <w:rsid w:val="000F300E"/>
    <w:rsid w:val="000F40D6"/>
    <w:rsid w:val="000F49DF"/>
    <w:rsid w:val="000F4B5F"/>
    <w:rsid w:val="000F4C1D"/>
    <w:rsid w:val="000F52BF"/>
    <w:rsid w:val="000F578A"/>
    <w:rsid w:val="000F5B99"/>
    <w:rsid w:val="000F65A2"/>
    <w:rsid w:val="000F7039"/>
    <w:rsid w:val="000F7159"/>
    <w:rsid w:val="00100390"/>
    <w:rsid w:val="00100BC9"/>
    <w:rsid w:val="00101200"/>
    <w:rsid w:val="00101B7E"/>
    <w:rsid w:val="0010220A"/>
    <w:rsid w:val="0010237C"/>
    <w:rsid w:val="0010278A"/>
    <w:rsid w:val="00103232"/>
    <w:rsid w:val="001038FA"/>
    <w:rsid w:val="00103A33"/>
    <w:rsid w:val="00103F47"/>
    <w:rsid w:val="00104BD8"/>
    <w:rsid w:val="00104E62"/>
    <w:rsid w:val="00105093"/>
    <w:rsid w:val="0010546E"/>
    <w:rsid w:val="00105C47"/>
    <w:rsid w:val="00106B1A"/>
    <w:rsid w:val="001077DC"/>
    <w:rsid w:val="00107A62"/>
    <w:rsid w:val="0011064E"/>
    <w:rsid w:val="0011089E"/>
    <w:rsid w:val="00111F21"/>
    <w:rsid w:val="001121CE"/>
    <w:rsid w:val="00112B37"/>
    <w:rsid w:val="00113151"/>
    <w:rsid w:val="001151F3"/>
    <w:rsid w:val="001152CF"/>
    <w:rsid w:val="001159F1"/>
    <w:rsid w:val="00116126"/>
    <w:rsid w:val="001169CF"/>
    <w:rsid w:val="00116BF8"/>
    <w:rsid w:val="00116D65"/>
    <w:rsid w:val="00117076"/>
    <w:rsid w:val="001170D2"/>
    <w:rsid w:val="00117398"/>
    <w:rsid w:val="00117581"/>
    <w:rsid w:val="001208FC"/>
    <w:rsid w:val="00121027"/>
    <w:rsid w:val="00121211"/>
    <w:rsid w:val="001213EB"/>
    <w:rsid w:val="001219B0"/>
    <w:rsid w:val="00121E87"/>
    <w:rsid w:val="0012269D"/>
    <w:rsid w:val="001241B0"/>
    <w:rsid w:val="001244CD"/>
    <w:rsid w:val="00125218"/>
    <w:rsid w:val="00125731"/>
    <w:rsid w:val="00126C83"/>
    <w:rsid w:val="00127077"/>
    <w:rsid w:val="00127201"/>
    <w:rsid w:val="001273C2"/>
    <w:rsid w:val="001273F3"/>
    <w:rsid w:val="0013053F"/>
    <w:rsid w:val="0013110E"/>
    <w:rsid w:val="00131D5E"/>
    <w:rsid w:val="001324AB"/>
    <w:rsid w:val="001339CD"/>
    <w:rsid w:val="001354D9"/>
    <w:rsid w:val="00135CA0"/>
    <w:rsid w:val="00136108"/>
    <w:rsid w:val="00136742"/>
    <w:rsid w:val="00136D5A"/>
    <w:rsid w:val="001405C6"/>
    <w:rsid w:val="001407B7"/>
    <w:rsid w:val="00141013"/>
    <w:rsid w:val="00141972"/>
    <w:rsid w:val="00141A71"/>
    <w:rsid w:val="00142650"/>
    <w:rsid w:val="00142C62"/>
    <w:rsid w:val="001453EA"/>
    <w:rsid w:val="00145B0F"/>
    <w:rsid w:val="00145BA0"/>
    <w:rsid w:val="001468DD"/>
    <w:rsid w:val="00146A2E"/>
    <w:rsid w:val="00146CC4"/>
    <w:rsid w:val="001473CE"/>
    <w:rsid w:val="001479D0"/>
    <w:rsid w:val="00147C22"/>
    <w:rsid w:val="0015071C"/>
    <w:rsid w:val="001514DA"/>
    <w:rsid w:val="0015196B"/>
    <w:rsid w:val="00151C71"/>
    <w:rsid w:val="00153FBA"/>
    <w:rsid w:val="001549CA"/>
    <w:rsid w:val="0015588A"/>
    <w:rsid w:val="001559BB"/>
    <w:rsid w:val="001565D6"/>
    <w:rsid w:val="00157BD2"/>
    <w:rsid w:val="00157F68"/>
    <w:rsid w:val="00160992"/>
    <w:rsid w:val="00160FB1"/>
    <w:rsid w:val="001614C6"/>
    <w:rsid w:val="001615C8"/>
    <w:rsid w:val="0016184E"/>
    <w:rsid w:val="0016196C"/>
    <w:rsid w:val="00161F54"/>
    <w:rsid w:val="0016204C"/>
    <w:rsid w:val="00162C23"/>
    <w:rsid w:val="00162D48"/>
    <w:rsid w:val="00163363"/>
    <w:rsid w:val="00163CB1"/>
    <w:rsid w:val="0016484E"/>
    <w:rsid w:val="0016562D"/>
    <w:rsid w:val="0016584B"/>
    <w:rsid w:val="00165AEB"/>
    <w:rsid w:val="00165B40"/>
    <w:rsid w:val="0016637C"/>
    <w:rsid w:val="001674E1"/>
    <w:rsid w:val="00167871"/>
    <w:rsid w:val="001678BB"/>
    <w:rsid w:val="00170128"/>
    <w:rsid w:val="0017065F"/>
    <w:rsid w:val="00170DDD"/>
    <w:rsid w:val="00170E10"/>
    <w:rsid w:val="0017104E"/>
    <w:rsid w:val="001710C9"/>
    <w:rsid w:val="00171E72"/>
    <w:rsid w:val="00172BC5"/>
    <w:rsid w:val="0017302C"/>
    <w:rsid w:val="001731FA"/>
    <w:rsid w:val="001732D9"/>
    <w:rsid w:val="001733E9"/>
    <w:rsid w:val="0017373A"/>
    <w:rsid w:val="0017392D"/>
    <w:rsid w:val="00173ADC"/>
    <w:rsid w:val="001745C3"/>
    <w:rsid w:val="00174993"/>
    <w:rsid w:val="00174BB6"/>
    <w:rsid w:val="00174DC5"/>
    <w:rsid w:val="00175430"/>
    <w:rsid w:val="00175E65"/>
    <w:rsid w:val="001776E2"/>
    <w:rsid w:val="00177A37"/>
    <w:rsid w:val="001802A1"/>
    <w:rsid w:val="00180599"/>
    <w:rsid w:val="00180DD5"/>
    <w:rsid w:val="001812AE"/>
    <w:rsid w:val="00181488"/>
    <w:rsid w:val="0018155A"/>
    <w:rsid w:val="001818A4"/>
    <w:rsid w:val="00181F86"/>
    <w:rsid w:val="00182761"/>
    <w:rsid w:val="00182964"/>
    <w:rsid w:val="00182B14"/>
    <w:rsid w:val="00182E94"/>
    <w:rsid w:val="00182EA4"/>
    <w:rsid w:val="001832C7"/>
    <w:rsid w:val="00183C2B"/>
    <w:rsid w:val="00183DA2"/>
    <w:rsid w:val="00184A1A"/>
    <w:rsid w:val="00184E7C"/>
    <w:rsid w:val="00185B11"/>
    <w:rsid w:val="00185C24"/>
    <w:rsid w:val="00186406"/>
    <w:rsid w:val="0018733B"/>
    <w:rsid w:val="001876AE"/>
    <w:rsid w:val="00187AB5"/>
    <w:rsid w:val="00187B8E"/>
    <w:rsid w:val="00187C0F"/>
    <w:rsid w:val="0019085C"/>
    <w:rsid w:val="00190E5D"/>
    <w:rsid w:val="00190FAD"/>
    <w:rsid w:val="0019169B"/>
    <w:rsid w:val="00191CF5"/>
    <w:rsid w:val="00191E73"/>
    <w:rsid w:val="0019256B"/>
    <w:rsid w:val="001927F6"/>
    <w:rsid w:val="0019288A"/>
    <w:rsid w:val="00192CBF"/>
    <w:rsid w:val="00192FF1"/>
    <w:rsid w:val="00193277"/>
    <w:rsid w:val="00193769"/>
    <w:rsid w:val="00193A71"/>
    <w:rsid w:val="00194493"/>
    <w:rsid w:val="00194FD4"/>
    <w:rsid w:val="00195A39"/>
    <w:rsid w:val="0019740A"/>
    <w:rsid w:val="001976E0"/>
    <w:rsid w:val="00197B27"/>
    <w:rsid w:val="00197C94"/>
    <w:rsid w:val="00197D44"/>
    <w:rsid w:val="00197ED4"/>
    <w:rsid w:val="00197F4C"/>
    <w:rsid w:val="001A0038"/>
    <w:rsid w:val="001A02E9"/>
    <w:rsid w:val="001A0681"/>
    <w:rsid w:val="001A1B21"/>
    <w:rsid w:val="001A1CB9"/>
    <w:rsid w:val="001A2D40"/>
    <w:rsid w:val="001A3997"/>
    <w:rsid w:val="001A4617"/>
    <w:rsid w:val="001A587F"/>
    <w:rsid w:val="001A5A6B"/>
    <w:rsid w:val="001A5B11"/>
    <w:rsid w:val="001A5F1B"/>
    <w:rsid w:val="001A60D1"/>
    <w:rsid w:val="001A64C8"/>
    <w:rsid w:val="001A64F2"/>
    <w:rsid w:val="001A6D14"/>
    <w:rsid w:val="001A71EE"/>
    <w:rsid w:val="001A75BC"/>
    <w:rsid w:val="001A7EE0"/>
    <w:rsid w:val="001B124E"/>
    <w:rsid w:val="001B15B2"/>
    <w:rsid w:val="001B1C22"/>
    <w:rsid w:val="001B2560"/>
    <w:rsid w:val="001B31DC"/>
    <w:rsid w:val="001B34C6"/>
    <w:rsid w:val="001B45E5"/>
    <w:rsid w:val="001B5DDC"/>
    <w:rsid w:val="001B6001"/>
    <w:rsid w:val="001B7221"/>
    <w:rsid w:val="001B7843"/>
    <w:rsid w:val="001B7C29"/>
    <w:rsid w:val="001B7C41"/>
    <w:rsid w:val="001C0466"/>
    <w:rsid w:val="001C179B"/>
    <w:rsid w:val="001C1F51"/>
    <w:rsid w:val="001C221D"/>
    <w:rsid w:val="001C22CE"/>
    <w:rsid w:val="001C2E15"/>
    <w:rsid w:val="001C32C7"/>
    <w:rsid w:val="001C333A"/>
    <w:rsid w:val="001C3BE8"/>
    <w:rsid w:val="001C3F6C"/>
    <w:rsid w:val="001C416E"/>
    <w:rsid w:val="001C4452"/>
    <w:rsid w:val="001C4463"/>
    <w:rsid w:val="001C4DB7"/>
    <w:rsid w:val="001C4F12"/>
    <w:rsid w:val="001C4F89"/>
    <w:rsid w:val="001C534F"/>
    <w:rsid w:val="001C54B9"/>
    <w:rsid w:val="001C5793"/>
    <w:rsid w:val="001C6764"/>
    <w:rsid w:val="001C6B76"/>
    <w:rsid w:val="001C6C45"/>
    <w:rsid w:val="001D026A"/>
    <w:rsid w:val="001D03D5"/>
    <w:rsid w:val="001D09CD"/>
    <w:rsid w:val="001D142C"/>
    <w:rsid w:val="001D172F"/>
    <w:rsid w:val="001D1DBE"/>
    <w:rsid w:val="001D21FC"/>
    <w:rsid w:val="001D3819"/>
    <w:rsid w:val="001D40AF"/>
    <w:rsid w:val="001D40E9"/>
    <w:rsid w:val="001D4CE0"/>
    <w:rsid w:val="001D50D4"/>
    <w:rsid w:val="001D5629"/>
    <w:rsid w:val="001D5678"/>
    <w:rsid w:val="001D6000"/>
    <w:rsid w:val="001D6568"/>
    <w:rsid w:val="001D7832"/>
    <w:rsid w:val="001D7AA6"/>
    <w:rsid w:val="001D7ECF"/>
    <w:rsid w:val="001E0967"/>
    <w:rsid w:val="001E1332"/>
    <w:rsid w:val="001E229D"/>
    <w:rsid w:val="001E2EE7"/>
    <w:rsid w:val="001E4863"/>
    <w:rsid w:val="001E4876"/>
    <w:rsid w:val="001E492C"/>
    <w:rsid w:val="001E4CD1"/>
    <w:rsid w:val="001E4CE7"/>
    <w:rsid w:val="001E52BD"/>
    <w:rsid w:val="001E6826"/>
    <w:rsid w:val="001E6B6A"/>
    <w:rsid w:val="001E7A51"/>
    <w:rsid w:val="001E7FB0"/>
    <w:rsid w:val="001F0299"/>
    <w:rsid w:val="001F0A15"/>
    <w:rsid w:val="001F0B4D"/>
    <w:rsid w:val="001F0EB9"/>
    <w:rsid w:val="001F1041"/>
    <w:rsid w:val="001F133A"/>
    <w:rsid w:val="001F2180"/>
    <w:rsid w:val="001F262B"/>
    <w:rsid w:val="001F2639"/>
    <w:rsid w:val="001F2A25"/>
    <w:rsid w:val="001F2F77"/>
    <w:rsid w:val="001F3ED9"/>
    <w:rsid w:val="001F4B8D"/>
    <w:rsid w:val="001F532D"/>
    <w:rsid w:val="001F5593"/>
    <w:rsid w:val="001F55A9"/>
    <w:rsid w:val="001F5941"/>
    <w:rsid w:val="001F5B2F"/>
    <w:rsid w:val="001F7082"/>
    <w:rsid w:val="001F74FD"/>
    <w:rsid w:val="001F768E"/>
    <w:rsid w:val="002008F8"/>
    <w:rsid w:val="0020120E"/>
    <w:rsid w:val="00204634"/>
    <w:rsid w:val="00204ABF"/>
    <w:rsid w:val="00205A38"/>
    <w:rsid w:val="0021000F"/>
    <w:rsid w:val="0021077F"/>
    <w:rsid w:val="002109F1"/>
    <w:rsid w:val="00210FA0"/>
    <w:rsid w:val="00211185"/>
    <w:rsid w:val="00211D34"/>
    <w:rsid w:val="0021209C"/>
    <w:rsid w:val="002124A3"/>
    <w:rsid w:val="00212CEF"/>
    <w:rsid w:val="00212F62"/>
    <w:rsid w:val="002136EC"/>
    <w:rsid w:val="002136F4"/>
    <w:rsid w:val="00214116"/>
    <w:rsid w:val="0021438D"/>
    <w:rsid w:val="002145F3"/>
    <w:rsid w:val="002149EB"/>
    <w:rsid w:val="002149FD"/>
    <w:rsid w:val="00214A8D"/>
    <w:rsid w:val="00214DAF"/>
    <w:rsid w:val="00214F04"/>
    <w:rsid w:val="00215919"/>
    <w:rsid w:val="00216F2F"/>
    <w:rsid w:val="00220957"/>
    <w:rsid w:val="002210A7"/>
    <w:rsid w:val="00221515"/>
    <w:rsid w:val="00221D86"/>
    <w:rsid w:val="00222A9E"/>
    <w:rsid w:val="00222B0A"/>
    <w:rsid w:val="00222D03"/>
    <w:rsid w:val="00223247"/>
    <w:rsid w:val="00223B10"/>
    <w:rsid w:val="00224071"/>
    <w:rsid w:val="00224814"/>
    <w:rsid w:val="00225A8C"/>
    <w:rsid w:val="002263DB"/>
    <w:rsid w:val="00226B06"/>
    <w:rsid w:val="00226BC8"/>
    <w:rsid w:val="00227C6A"/>
    <w:rsid w:val="0023019F"/>
    <w:rsid w:val="00230617"/>
    <w:rsid w:val="00232883"/>
    <w:rsid w:val="002358B9"/>
    <w:rsid w:val="00235B05"/>
    <w:rsid w:val="00236378"/>
    <w:rsid w:val="00236775"/>
    <w:rsid w:val="00236C85"/>
    <w:rsid w:val="00236EB8"/>
    <w:rsid w:val="002375C3"/>
    <w:rsid w:val="00237650"/>
    <w:rsid w:val="002376AA"/>
    <w:rsid w:val="00240937"/>
    <w:rsid w:val="002410D5"/>
    <w:rsid w:val="00241CA1"/>
    <w:rsid w:val="00241D77"/>
    <w:rsid w:val="00243C1C"/>
    <w:rsid w:val="00243C73"/>
    <w:rsid w:val="00244761"/>
    <w:rsid w:val="00244C1D"/>
    <w:rsid w:val="00245E18"/>
    <w:rsid w:val="0024623F"/>
    <w:rsid w:val="00247A99"/>
    <w:rsid w:val="00250FBF"/>
    <w:rsid w:val="00251CD9"/>
    <w:rsid w:val="00252575"/>
    <w:rsid w:val="00252A2F"/>
    <w:rsid w:val="002532DD"/>
    <w:rsid w:val="002536BB"/>
    <w:rsid w:val="00253985"/>
    <w:rsid w:val="00253F38"/>
    <w:rsid w:val="00253F9A"/>
    <w:rsid w:val="00254057"/>
    <w:rsid w:val="002542EF"/>
    <w:rsid w:val="00254868"/>
    <w:rsid w:val="002557A1"/>
    <w:rsid w:val="00255CEE"/>
    <w:rsid w:val="00255EDF"/>
    <w:rsid w:val="00256200"/>
    <w:rsid w:val="00257678"/>
    <w:rsid w:val="00257B98"/>
    <w:rsid w:val="002605BE"/>
    <w:rsid w:val="00260C6C"/>
    <w:rsid w:val="00260FA2"/>
    <w:rsid w:val="002615BC"/>
    <w:rsid w:val="00261A49"/>
    <w:rsid w:val="00261FDE"/>
    <w:rsid w:val="0026238B"/>
    <w:rsid w:val="00262BC3"/>
    <w:rsid w:val="0026301C"/>
    <w:rsid w:val="00263A62"/>
    <w:rsid w:val="00263F26"/>
    <w:rsid w:val="002640F8"/>
    <w:rsid w:val="00264A0A"/>
    <w:rsid w:val="0026583A"/>
    <w:rsid w:val="00265D0F"/>
    <w:rsid w:val="00266CD6"/>
    <w:rsid w:val="00267F1F"/>
    <w:rsid w:val="00270125"/>
    <w:rsid w:val="002705BE"/>
    <w:rsid w:val="0027094B"/>
    <w:rsid w:val="00271CD3"/>
    <w:rsid w:val="00273183"/>
    <w:rsid w:val="00273400"/>
    <w:rsid w:val="00273C3C"/>
    <w:rsid w:val="00273DC7"/>
    <w:rsid w:val="00274195"/>
    <w:rsid w:val="00274ABB"/>
    <w:rsid w:val="00274E92"/>
    <w:rsid w:val="00275844"/>
    <w:rsid w:val="00275B9A"/>
    <w:rsid w:val="00275DAB"/>
    <w:rsid w:val="0027600A"/>
    <w:rsid w:val="002764E2"/>
    <w:rsid w:val="00277E55"/>
    <w:rsid w:val="00277E6A"/>
    <w:rsid w:val="00280809"/>
    <w:rsid w:val="002813ED"/>
    <w:rsid w:val="00281D74"/>
    <w:rsid w:val="00282BAC"/>
    <w:rsid w:val="00282DDA"/>
    <w:rsid w:val="00285AB7"/>
    <w:rsid w:val="002870CA"/>
    <w:rsid w:val="0028750E"/>
    <w:rsid w:val="002879B8"/>
    <w:rsid w:val="00287F5C"/>
    <w:rsid w:val="002901B2"/>
    <w:rsid w:val="00290209"/>
    <w:rsid w:val="002902A5"/>
    <w:rsid w:val="0029072D"/>
    <w:rsid w:val="002907A3"/>
    <w:rsid w:val="002908AC"/>
    <w:rsid w:val="002927A1"/>
    <w:rsid w:val="002935C9"/>
    <w:rsid w:val="00293991"/>
    <w:rsid w:val="00293B48"/>
    <w:rsid w:val="00293D9D"/>
    <w:rsid w:val="0029542F"/>
    <w:rsid w:val="00295EB2"/>
    <w:rsid w:val="00295EB9"/>
    <w:rsid w:val="00296DE6"/>
    <w:rsid w:val="002977C1"/>
    <w:rsid w:val="0029780F"/>
    <w:rsid w:val="002A0037"/>
    <w:rsid w:val="002A1672"/>
    <w:rsid w:val="002A1BE8"/>
    <w:rsid w:val="002A1ED4"/>
    <w:rsid w:val="002A25DE"/>
    <w:rsid w:val="002A2CA3"/>
    <w:rsid w:val="002A40D1"/>
    <w:rsid w:val="002A4B27"/>
    <w:rsid w:val="002A64E4"/>
    <w:rsid w:val="002A6586"/>
    <w:rsid w:val="002A681A"/>
    <w:rsid w:val="002A7482"/>
    <w:rsid w:val="002A782A"/>
    <w:rsid w:val="002A7A47"/>
    <w:rsid w:val="002B00C2"/>
    <w:rsid w:val="002B0C46"/>
    <w:rsid w:val="002B1063"/>
    <w:rsid w:val="002B10AF"/>
    <w:rsid w:val="002B11E2"/>
    <w:rsid w:val="002B13C8"/>
    <w:rsid w:val="002B2118"/>
    <w:rsid w:val="002B231D"/>
    <w:rsid w:val="002B24B8"/>
    <w:rsid w:val="002B272E"/>
    <w:rsid w:val="002B2844"/>
    <w:rsid w:val="002B2C38"/>
    <w:rsid w:val="002B31C3"/>
    <w:rsid w:val="002B33E2"/>
    <w:rsid w:val="002B3E35"/>
    <w:rsid w:val="002B4647"/>
    <w:rsid w:val="002B6178"/>
    <w:rsid w:val="002B676C"/>
    <w:rsid w:val="002B70B9"/>
    <w:rsid w:val="002C0566"/>
    <w:rsid w:val="002C0A20"/>
    <w:rsid w:val="002C0B99"/>
    <w:rsid w:val="002C12E1"/>
    <w:rsid w:val="002C1F64"/>
    <w:rsid w:val="002C2043"/>
    <w:rsid w:val="002C2986"/>
    <w:rsid w:val="002C3ADF"/>
    <w:rsid w:val="002C41EA"/>
    <w:rsid w:val="002C4A09"/>
    <w:rsid w:val="002C4C14"/>
    <w:rsid w:val="002C61FB"/>
    <w:rsid w:val="002C6D5B"/>
    <w:rsid w:val="002D09DD"/>
    <w:rsid w:val="002D1360"/>
    <w:rsid w:val="002D14D6"/>
    <w:rsid w:val="002D28C5"/>
    <w:rsid w:val="002D2C28"/>
    <w:rsid w:val="002D2FEE"/>
    <w:rsid w:val="002D32DB"/>
    <w:rsid w:val="002D3936"/>
    <w:rsid w:val="002D3AE9"/>
    <w:rsid w:val="002D3C72"/>
    <w:rsid w:val="002D4239"/>
    <w:rsid w:val="002D4510"/>
    <w:rsid w:val="002D45E4"/>
    <w:rsid w:val="002D4DCB"/>
    <w:rsid w:val="002D5170"/>
    <w:rsid w:val="002D52EF"/>
    <w:rsid w:val="002D5983"/>
    <w:rsid w:val="002D5CD9"/>
    <w:rsid w:val="002D5F5F"/>
    <w:rsid w:val="002D694E"/>
    <w:rsid w:val="002D6D93"/>
    <w:rsid w:val="002D6DEA"/>
    <w:rsid w:val="002D734E"/>
    <w:rsid w:val="002D7417"/>
    <w:rsid w:val="002D75D8"/>
    <w:rsid w:val="002E0068"/>
    <w:rsid w:val="002E0220"/>
    <w:rsid w:val="002E0B6A"/>
    <w:rsid w:val="002E13D6"/>
    <w:rsid w:val="002E2200"/>
    <w:rsid w:val="002E2870"/>
    <w:rsid w:val="002E3BE2"/>
    <w:rsid w:val="002E3F34"/>
    <w:rsid w:val="002E45FB"/>
    <w:rsid w:val="002E467F"/>
    <w:rsid w:val="002E4A7B"/>
    <w:rsid w:val="002E52A2"/>
    <w:rsid w:val="002E5598"/>
    <w:rsid w:val="002E633F"/>
    <w:rsid w:val="002E7392"/>
    <w:rsid w:val="002E7B1F"/>
    <w:rsid w:val="002E7C97"/>
    <w:rsid w:val="002F0734"/>
    <w:rsid w:val="002F110D"/>
    <w:rsid w:val="002F1C15"/>
    <w:rsid w:val="002F1F22"/>
    <w:rsid w:val="002F2230"/>
    <w:rsid w:val="002F2CAE"/>
    <w:rsid w:val="002F2E5B"/>
    <w:rsid w:val="002F44EE"/>
    <w:rsid w:val="002F46E7"/>
    <w:rsid w:val="002F68DC"/>
    <w:rsid w:val="002F69E2"/>
    <w:rsid w:val="002F6B2D"/>
    <w:rsid w:val="002F6FA4"/>
    <w:rsid w:val="003001AB"/>
    <w:rsid w:val="003002CF"/>
    <w:rsid w:val="00300658"/>
    <w:rsid w:val="00301831"/>
    <w:rsid w:val="003025A6"/>
    <w:rsid w:val="00303B0C"/>
    <w:rsid w:val="003050F2"/>
    <w:rsid w:val="0030543B"/>
    <w:rsid w:val="00305F90"/>
    <w:rsid w:val="003064CA"/>
    <w:rsid w:val="003067CB"/>
    <w:rsid w:val="00306806"/>
    <w:rsid w:val="00306FAE"/>
    <w:rsid w:val="0030742A"/>
    <w:rsid w:val="00307E78"/>
    <w:rsid w:val="00307EE0"/>
    <w:rsid w:val="003101DA"/>
    <w:rsid w:val="003104E6"/>
    <w:rsid w:val="00310A0A"/>
    <w:rsid w:val="00310D6D"/>
    <w:rsid w:val="003112F3"/>
    <w:rsid w:val="003116A1"/>
    <w:rsid w:val="003131EF"/>
    <w:rsid w:val="0031371F"/>
    <w:rsid w:val="00313EA3"/>
    <w:rsid w:val="003140F6"/>
    <w:rsid w:val="00314757"/>
    <w:rsid w:val="003158BB"/>
    <w:rsid w:val="0031597A"/>
    <w:rsid w:val="00315BDC"/>
    <w:rsid w:val="00315D1E"/>
    <w:rsid w:val="00315D7A"/>
    <w:rsid w:val="00316494"/>
    <w:rsid w:val="003164AE"/>
    <w:rsid w:val="003167A7"/>
    <w:rsid w:val="00316E0F"/>
    <w:rsid w:val="003172F2"/>
    <w:rsid w:val="00317867"/>
    <w:rsid w:val="00317AAB"/>
    <w:rsid w:val="00320E04"/>
    <w:rsid w:val="003211CE"/>
    <w:rsid w:val="00321514"/>
    <w:rsid w:val="00321A5C"/>
    <w:rsid w:val="003225CF"/>
    <w:rsid w:val="00322725"/>
    <w:rsid w:val="00323436"/>
    <w:rsid w:val="003237C0"/>
    <w:rsid w:val="00324813"/>
    <w:rsid w:val="003252B3"/>
    <w:rsid w:val="00325DC9"/>
    <w:rsid w:val="00326EC9"/>
    <w:rsid w:val="003277CA"/>
    <w:rsid w:val="003279C3"/>
    <w:rsid w:val="00327F30"/>
    <w:rsid w:val="003304E3"/>
    <w:rsid w:val="00330664"/>
    <w:rsid w:val="00330C73"/>
    <w:rsid w:val="00330F48"/>
    <w:rsid w:val="00331498"/>
    <w:rsid w:val="00331519"/>
    <w:rsid w:val="00331776"/>
    <w:rsid w:val="00332889"/>
    <w:rsid w:val="00333684"/>
    <w:rsid w:val="003338B2"/>
    <w:rsid w:val="00333991"/>
    <w:rsid w:val="00333BCF"/>
    <w:rsid w:val="00333D9E"/>
    <w:rsid w:val="0033449E"/>
    <w:rsid w:val="0033586A"/>
    <w:rsid w:val="00336511"/>
    <w:rsid w:val="00336C8A"/>
    <w:rsid w:val="00340036"/>
    <w:rsid w:val="00340567"/>
    <w:rsid w:val="003405EE"/>
    <w:rsid w:val="00341553"/>
    <w:rsid w:val="0034339A"/>
    <w:rsid w:val="00343AAF"/>
    <w:rsid w:val="00343D27"/>
    <w:rsid w:val="00343E92"/>
    <w:rsid w:val="00344A2D"/>
    <w:rsid w:val="00344AD8"/>
    <w:rsid w:val="00344B86"/>
    <w:rsid w:val="003457B0"/>
    <w:rsid w:val="003458C2"/>
    <w:rsid w:val="003458D5"/>
    <w:rsid w:val="00345CF5"/>
    <w:rsid w:val="00345DCF"/>
    <w:rsid w:val="00345F9C"/>
    <w:rsid w:val="0034634C"/>
    <w:rsid w:val="003464DD"/>
    <w:rsid w:val="00346736"/>
    <w:rsid w:val="00347046"/>
    <w:rsid w:val="00350ADD"/>
    <w:rsid w:val="00350DCD"/>
    <w:rsid w:val="00350E02"/>
    <w:rsid w:val="00350F79"/>
    <w:rsid w:val="003510EA"/>
    <w:rsid w:val="0035131F"/>
    <w:rsid w:val="003517D7"/>
    <w:rsid w:val="00351B30"/>
    <w:rsid w:val="003520BA"/>
    <w:rsid w:val="003522D8"/>
    <w:rsid w:val="003532CD"/>
    <w:rsid w:val="00353B83"/>
    <w:rsid w:val="00353DB8"/>
    <w:rsid w:val="0035403A"/>
    <w:rsid w:val="00354CB2"/>
    <w:rsid w:val="00355740"/>
    <w:rsid w:val="00355BB8"/>
    <w:rsid w:val="00355CFA"/>
    <w:rsid w:val="0035666C"/>
    <w:rsid w:val="00356921"/>
    <w:rsid w:val="00356A4F"/>
    <w:rsid w:val="00356EDA"/>
    <w:rsid w:val="003578C1"/>
    <w:rsid w:val="00360266"/>
    <w:rsid w:val="00360772"/>
    <w:rsid w:val="00360C76"/>
    <w:rsid w:val="00360FC3"/>
    <w:rsid w:val="003615C0"/>
    <w:rsid w:val="0036296C"/>
    <w:rsid w:val="003634A0"/>
    <w:rsid w:val="0036394B"/>
    <w:rsid w:val="00363FEF"/>
    <w:rsid w:val="00364E98"/>
    <w:rsid w:val="00365054"/>
    <w:rsid w:val="003666DE"/>
    <w:rsid w:val="00366E69"/>
    <w:rsid w:val="00366F6C"/>
    <w:rsid w:val="00367EDD"/>
    <w:rsid w:val="0037046B"/>
    <w:rsid w:val="003709B5"/>
    <w:rsid w:val="00371444"/>
    <w:rsid w:val="00371FF1"/>
    <w:rsid w:val="003725F2"/>
    <w:rsid w:val="00373493"/>
    <w:rsid w:val="00373972"/>
    <w:rsid w:val="00374459"/>
    <w:rsid w:val="003748D4"/>
    <w:rsid w:val="00374F24"/>
    <w:rsid w:val="003759C2"/>
    <w:rsid w:val="00375DFD"/>
    <w:rsid w:val="00376E91"/>
    <w:rsid w:val="00377081"/>
    <w:rsid w:val="003776F5"/>
    <w:rsid w:val="00377700"/>
    <w:rsid w:val="003779E2"/>
    <w:rsid w:val="00377DFB"/>
    <w:rsid w:val="00380469"/>
    <w:rsid w:val="00380F79"/>
    <w:rsid w:val="0038101B"/>
    <w:rsid w:val="0038159C"/>
    <w:rsid w:val="00381F8D"/>
    <w:rsid w:val="00382518"/>
    <w:rsid w:val="00382924"/>
    <w:rsid w:val="00382B58"/>
    <w:rsid w:val="0038321B"/>
    <w:rsid w:val="00383743"/>
    <w:rsid w:val="003846E2"/>
    <w:rsid w:val="00385074"/>
    <w:rsid w:val="00385348"/>
    <w:rsid w:val="00385747"/>
    <w:rsid w:val="00385B46"/>
    <w:rsid w:val="003862C8"/>
    <w:rsid w:val="003865A3"/>
    <w:rsid w:val="00386762"/>
    <w:rsid w:val="00386DCA"/>
    <w:rsid w:val="00387917"/>
    <w:rsid w:val="00390AA6"/>
    <w:rsid w:val="00390AFD"/>
    <w:rsid w:val="0039125C"/>
    <w:rsid w:val="00391695"/>
    <w:rsid w:val="00391F2E"/>
    <w:rsid w:val="00392134"/>
    <w:rsid w:val="003921C5"/>
    <w:rsid w:val="00392839"/>
    <w:rsid w:val="003932A0"/>
    <w:rsid w:val="00393BB7"/>
    <w:rsid w:val="00393F1A"/>
    <w:rsid w:val="00394758"/>
    <w:rsid w:val="003947AB"/>
    <w:rsid w:val="00394B43"/>
    <w:rsid w:val="00395078"/>
    <w:rsid w:val="0039528C"/>
    <w:rsid w:val="00395F15"/>
    <w:rsid w:val="00395F41"/>
    <w:rsid w:val="0039633E"/>
    <w:rsid w:val="00396755"/>
    <w:rsid w:val="00397365"/>
    <w:rsid w:val="00397EE7"/>
    <w:rsid w:val="003A026A"/>
    <w:rsid w:val="003A0442"/>
    <w:rsid w:val="003A0781"/>
    <w:rsid w:val="003A07AC"/>
    <w:rsid w:val="003A0A73"/>
    <w:rsid w:val="003A19E0"/>
    <w:rsid w:val="003A2012"/>
    <w:rsid w:val="003A2098"/>
    <w:rsid w:val="003A2585"/>
    <w:rsid w:val="003A2ECD"/>
    <w:rsid w:val="003A31F6"/>
    <w:rsid w:val="003A433A"/>
    <w:rsid w:val="003A45C2"/>
    <w:rsid w:val="003A47E9"/>
    <w:rsid w:val="003A4E9A"/>
    <w:rsid w:val="003A4FBC"/>
    <w:rsid w:val="003A5707"/>
    <w:rsid w:val="003A59B3"/>
    <w:rsid w:val="003A6398"/>
    <w:rsid w:val="003A66ED"/>
    <w:rsid w:val="003A672C"/>
    <w:rsid w:val="003A6E0A"/>
    <w:rsid w:val="003B000F"/>
    <w:rsid w:val="003B0249"/>
    <w:rsid w:val="003B0BDA"/>
    <w:rsid w:val="003B0C63"/>
    <w:rsid w:val="003B0F4A"/>
    <w:rsid w:val="003B1065"/>
    <w:rsid w:val="003B3A4B"/>
    <w:rsid w:val="003B3B4D"/>
    <w:rsid w:val="003B4284"/>
    <w:rsid w:val="003B4767"/>
    <w:rsid w:val="003B4C7D"/>
    <w:rsid w:val="003B59D6"/>
    <w:rsid w:val="003B5BC2"/>
    <w:rsid w:val="003B5C50"/>
    <w:rsid w:val="003B610A"/>
    <w:rsid w:val="003B69D9"/>
    <w:rsid w:val="003B762B"/>
    <w:rsid w:val="003B7C9E"/>
    <w:rsid w:val="003B7F1D"/>
    <w:rsid w:val="003C0415"/>
    <w:rsid w:val="003C0780"/>
    <w:rsid w:val="003C0A0E"/>
    <w:rsid w:val="003C2ADE"/>
    <w:rsid w:val="003C30B7"/>
    <w:rsid w:val="003C317A"/>
    <w:rsid w:val="003C328B"/>
    <w:rsid w:val="003C33A7"/>
    <w:rsid w:val="003C3447"/>
    <w:rsid w:val="003C4107"/>
    <w:rsid w:val="003C4444"/>
    <w:rsid w:val="003C484E"/>
    <w:rsid w:val="003C54D3"/>
    <w:rsid w:val="003C63AF"/>
    <w:rsid w:val="003C7827"/>
    <w:rsid w:val="003C7F70"/>
    <w:rsid w:val="003D076C"/>
    <w:rsid w:val="003D07A6"/>
    <w:rsid w:val="003D0983"/>
    <w:rsid w:val="003D11F9"/>
    <w:rsid w:val="003D128A"/>
    <w:rsid w:val="003D220A"/>
    <w:rsid w:val="003D3478"/>
    <w:rsid w:val="003D39B9"/>
    <w:rsid w:val="003D3B96"/>
    <w:rsid w:val="003D40FF"/>
    <w:rsid w:val="003D5179"/>
    <w:rsid w:val="003D7B0A"/>
    <w:rsid w:val="003D7C1A"/>
    <w:rsid w:val="003E033E"/>
    <w:rsid w:val="003E03A5"/>
    <w:rsid w:val="003E098E"/>
    <w:rsid w:val="003E21E1"/>
    <w:rsid w:val="003E368A"/>
    <w:rsid w:val="003E3723"/>
    <w:rsid w:val="003E3DFA"/>
    <w:rsid w:val="003E492F"/>
    <w:rsid w:val="003E4930"/>
    <w:rsid w:val="003E4CB2"/>
    <w:rsid w:val="003E5919"/>
    <w:rsid w:val="003E5E1C"/>
    <w:rsid w:val="003E609F"/>
    <w:rsid w:val="003E6C86"/>
    <w:rsid w:val="003E78B5"/>
    <w:rsid w:val="003E7CD4"/>
    <w:rsid w:val="003E7FC6"/>
    <w:rsid w:val="003F00DD"/>
    <w:rsid w:val="003F0B21"/>
    <w:rsid w:val="003F0F32"/>
    <w:rsid w:val="003F2061"/>
    <w:rsid w:val="003F2C15"/>
    <w:rsid w:val="003F2C68"/>
    <w:rsid w:val="003F42F5"/>
    <w:rsid w:val="003F47D3"/>
    <w:rsid w:val="003F4BA3"/>
    <w:rsid w:val="003F5030"/>
    <w:rsid w:val="003F5B85"/>
    <w:rsid w:val="003F5F69"/>
    <w:rsid w:val="003F67F8"/>
    <w:rsid w:val="003F693F"/>
    <w:rsid w:val="003F6CB9"/>
    <w:rsid w:val="003F6D82"/>
    <w:rsid w:val="003F7251"/>
    <w:rsid w:val="003F759E"/>
    <w:rsid w:val="0040061A"/>
    <w:rsid w:val="004006C4"/>
    <w:rsid w:val="00401931"/>
    <w:rsid w:val="004021C1"/>
    <w:rsid w:val="00402DB6"/>
    <w:rsid w:val="004030B3"/>
    <w:rsid w:val="0040394F"/>
    <w:rsid w:val="00404162"/>
    <w:rsid w:val="0040463C"/>
    <w:rsid w:val="00404AD5"/>
    <w:rsid w:val="00406786"/>
    <w:rsid w:val="0040689E"/>
    <w:rsid w:val="00406A5A"/>
    <w:rsid w:val="00407447"/>
    <w:rsid w:val="00407EC6"/>
    <w:rsid w:val="004104BA"/>
    <w:rsid w:val="00410898"/>
    <w:rsid w:val="0041140D"/>
    <w:rsid w:val="00411EB4"/>
    <w:rsid w:val="0041293E"/>
    <w:rsid w:val="00412A46"/>
    <w:rsid w:val="00412C33"/>
    <w:rsid w:val="00413231"/>
    <w:rsid w:val="004132EB"/>
    <w:rsid w:val="004137A7"/>
    <w:rsid w:val="00413CA2"/>
    <w:rsid w:val="00414196"/>
    <w:rsid w:val="004141AC"/>
    <w:rsid w:val="0041506D"/>
    <w:rsid w:val="004156AC"/>
    <w:rsid w:val="004157C0"/>
    <w:rsid w:val="00415BAB"/>
    <w:rsid w:val="00415E08"/>
    <w:rsid w:val="00415ED2"/>
    <w:rsid w:val="004161D2"/>
    <w:rsid w:val="0041751A"/>
    <w:rsid w:val="00417D2C"/>
    <w:rsid w:val="0042068C"/>
    <w:rsid w:val="0042108D"/>
    <w:rsid w:val="00421717"/>
    <w:rsid w:val="004219C2"/>
    <w:rsid w:val="004220E1"/>
    <w:rsid w:val="00422A56"/>
    <w:rsid w:val="00422C83"/>
    <w:rsid w:val="00423178"/>
    <w:rsid w:val="004232B6"/>
    <w:rsid w:val="00424B00"/>
    <w:rsid w:val="00425439"/>
    <w:rsid w:val="00425D61"/>
    <w:rsid w:val="004264A2"/>
    <w:rsid w:val="004265AD"/>
    <w:rsid w:val="00426BB5"/>
    <w:rsid w:val="00426EB0"/>
    <w:rsid w:val="00426ECD"/>
    <w:rsid w:val="004300F8"/>
    <w:rsid w:val="00430421"/>
    <w:rsid w:val="00430F5F"/>
    <w:rsid w:val="004326BC"/>
    <w:rsid w:val="004328B4"/>
    <w:rsid w:val="00432CC0"/>
    <w:rsid w:val="00432E73"/>
    <w:rsid w:val="0043355C"/>
    <w:rsid w:val="004340D7"/>
    <w:rsid w:val="004346F8"/>
    <w:rsid w:val="0043471F"/>
    <w:rsid w:val="00434814"/>
    <w:rsid w:val="0043597F"/>
    <w:rsid w:val="0043700A"/>
    <w:rsid w:val="004370EE"/>
    <w:rsid w:val="004372C9"/>
    <w:rsid w:val="00437E09"/>
    <w:rsid w:val="00440675"/>
    <w:rsid w:val="004406DC"/>
    <w:rsid w:val="00442B7B"/>
    <w:rsid w:val="00442F78"/>
    <w:rsid w:val="0044323E"/>
    <w:rsid w:val="00443286"/>
    <w:rsid w:val="00443358"/>
    <w:rsid w:val="00443362"/>
    <w:rsid w:val="00443CCC"/>
    <w:rsid w:val="0044462D"/>
    <w:rsid w:val="0044478B"/>
    <w:rsid w:val="00444C0B"/>
    <w:rsid w:val="0044547A"/>
    <w:rsid w:val="00445BC0"/>
    <w:rsid w:val="0044652A"/>
    <w:rsid w:val="00446750"/>
    <w:rsid w:val="0044775D"/>
    <w:rsid w:val="004477A0"/>
    <w:rsid w:val="00447904"/>
    <w:rsid w:val="004534E7"/>
    <w:rsid w:val="00453B17"/>
    <w:rsid w:val="004542CA"/>
    <w:rsid w:val="00454713"/>
    <w:rsid w:val="00454CA6"/>
    <w:rsid w:val="00454F05"/>
    <w:rsid w:val="00454F77"/>
    <w:rsid w:val="00454FE2"/>
    <w:rsid w:val="0045545F"/>
    <w:rsid w:val="004554E2"/>
    <w:rsid w:val="004558D0"/>
    <w:rsid w:val="00455BB8"/>
    <w:rsid w:val="00455CB2"/>
    <w:rsid w:val="0045640A"/>
    <w:rsid w:val="00456A44"/>
    <w:rsid w:val="00456B7C"/>
    <w:rsid w:val="00456F7B"/>
    <w:rsid w:val="004574D4"/>
    <w:rsid w:val="00457EFA"/>
    <w:rsid w:val="004604C5"/>
    <w:rsid w:val="00460A04"/>
    <w:rsid w:val="00460B88"/>
    <w:rsid w:val="00461924"/>
    <w:rsid w:val="00461B2F"/>
    <w:rsid w:val="004623ED"/>
    <w:rsid w:val="00463A7A"/>
    <w:rsid w:val="00463A90"/>
    <w:rsid w:val="00463ED2"/>
    <w:rsid w:val="00463F64"/>
    <w:rsid w:val="00464B25"/>
    <w:rsid w:val="00464F48"/>
    <w:rsid w:val="00465D4A"/>
    <w:rsid w:val="00466859"/>
    <w:rsid w:val="004669D7"/>
    <w:rsid w:val="00466B8D"/>
    <w:rsid w:val="00467598"/>
    <w:rsid w:val="004700C0"/>
    <w:rsid w:val="0047122B"/>
    <w:rsid w:val="004716F2"/>
    <w:rsid w:val="00472764"/>
    <w:rsid w:val="00473B7A"/>
    <w:rsid w:val="004740A6"/>
    <w:rsid w:val="004741FF"/>
    <w:rsid w:val="004747F8"/>
    <w:rsid w:val="00476A76"/>
    <w:rsid w:val="00477657"/>
    <w:rsid w:val="00477940"/>
    <w:rsid w:val="00477B56"/>
    <w:rsid w:val="00477FA8"/>
    <w:rsid w:val="004804DB"/>
    <w:rsid w:val="004814AE"/>
    <w:rsid w:val="00481650"/>
    <w:rsid w:val="004817C1"/>
    <w:rsid w:val="0048230E"/>
    <w:rsid w:val="00482A32"/>
    <w:rsid w:val="00483379"/>
    <w:rsid w:val="00483BFD"/>
    <w:rsid w:val="0048630F"/>
    <w:rsid w:val="004875EF"/>
    <w:rsid w:val="00487C72"/>
    <w:rsid w:val="00487E42"/>
    <w:rsid w:val="004902C7"/>
    <w:rsid w:val="004912F0"/>
    <w:rsid w:val="004925EB"/>
    <w:rsid w:val="00492943"/>
    <w:rsid w:val="00492C73"/>
    <w:rsid w:val="00492F22"/>
    <w:rsid w:val="00493415"/>
    <w:rsid w:val="00493EAE"/>
    <w:rsid w:val="00493F7C"/>
    <w:rsid w:val="00495155"/>
    <w:rsid w:val="004960E9"/>
    <w:rsid w:val="00496414"/>
    <w:rsid w:val="004964D6"/>
    <w:rsid w:val="004971D3"/>
    <w:rsid w:val="0049798C"/>
    <w:rsid w:val="004A01C2"/>
    <w:rsid w:val="004A0407"/>
    <w:rsid w:val="004A0449"/>
    <w:rsid w:val="004A0A85"/>
    <w:rsid w:val="004A0DC6"/>
    <w:rsid w:val="004A0E37"/>
    <w:rsid w:val="004A0FD2"/>
    <w:rsid w:val="004A0FE9"/>
    <w:rsid w:val="004A1599"/>
    <w:rsid w:val="004A17C1"/>
    <w:rsid w:val="004A20FE"/>
    <w:rsid w:val="004A2D00"/>
    <w:rsid w:val="004A2DE3"/>
    <w:rsid w:val="004A2E88"/>
    <w:rsid w:val="004A326A"/>
    <w:rsid w:val="004A32DB"/>
    <w:rsid w:val="004A33B8"/>
    <w:rsid w:val="004A4BF0"/>
    <w:rsid w:val="004A51E0"/>
    <w:rsid w:val="004A5305"/>
    <w:rsid w:val="004A57FA"/>
    <w:rsid w:val="004A5D79"/>
    <w:rsid w:val="004B0074"/>
    <w:rsid w:val="004B0FC4"/>
    <w:rsid w:val="004B11B2"/>
    <w:rsid w:val="004B12C2"/>
    <w:rsid w:val="004B1676"/>
    <w:rsid w:val="004B25B0"/>
    <w:rsid w:val="004B27FE"/>
    <w:rsid w:val="004B2AA0"/>
    <w:rsid w:val="004B370F"/>
    <w:rsid w:val="004B3B4B"/>
    <w:rsid w:val="004B3F5C"/>
    <w:rsid w:val="004B4139"/>
    <w:rsid w:val="004B428D"/>
    <w:rsid w:val="004B47B2"/>
    <w:rsid w:val="004B4A60"/>
    <w:rsid w:val="004B5442"/>
    <w:rsid w:val="004B5904"/>
    <w:rsid w:val="004B5F87"/>
    <w:rsid w:val="004B6821"/>
    <w:rsid w:val="004B6B94"/>
    <w:rsid w:val="004B73D6"/>
    <w:rsid w:val="004B7CE2"/>
    <w:rsid w:val="004B7F82"/>
    <w:rsid w:val="004C0B8C"/>
    <w:rsid w:val="004C1D1A"/>
    <w:rsid w:val="004C203F"/>
    <w:rsid w:val="004C24BD"/>
    <w:rsid w:val="004C27D5"/>
    <w:rsid w:val="004C2B06"/>
    <w:rsid w:val="004C3D09"/>
    <w:rsid w:val="004C3DBD"/>
    <w:rsid w:val="004C3E2A"/>
    <w:rsid w:val="004C4868"/>
    <w:rsid w:val="004C497A"/>
    <w:rsid w:val="004C5987"/>
    <w:rsid w:val="004C6FE1"/>
    <w:rsid w:val="004C7024"/>
    <w:rsid w:val="004D03CB"/>
    <w:rsid w:val="004D0817"/>
    <w:rsid w:val="004D0934"/>
    <w:rsid w:val="004D142A"/>
    <w:rsid w:val="004D31A2"/>
    <w:rsid w:val="004D3EB6"/>
    <w:rsid w:val="004D49E3"/>
    <w:rsid w:val="004D4FB5"/>
    <w:rsid w:val="004D5600"/>
    <w:rsid w:val="004D7634"/>
    <w:rsid w:val="004E1FE4"/>
    <w:rsid w:val="004E214E"/>
    <w:rsid w:val="004E21B3"/>
    <w:rsid w:val="004E3275"/>
    <w:rsid w:val="004E39E2"/>
    <w:rsid w:val="004E47D0"/>
    <w:rsid w:val="004E499F"/>
    <w:rsid w:val="004E5893"/>
    <w:rsid w:val="004E5EDD"/>
    <w:rsid w:val="004E65F3"/>
    <w:rsid w:val="004E6DA1"/>
    <w:rsid w:val="004E6EB0"/>
    <w:rsid w:val="004E700F"/>
    <w:rsid w:val="004E74C8"/>
    <w:rsid w:val="004E74DF"/>
    <w:rsid w:val="004F0408"/>
    <w:rsid w:val="004F19FB"/>
    <w:rsid w:val="004F24B5"/>
    <w:rsid w:val="004F2597"/>
    <w:rsid w:val="004F4032"/>
    <w:rsid w:val="004F43CD"/>
    <w:rsid w:val="004F4552"/>
    <w:rsid w:val="004F4668"/>
    <w:rsid w:val="004F5032"/>
    <w:rsid w:val="004F569D"/>
    <w:rsid w:val="004F6361"/>
    <w:rsid w:val="004F68C4"/>
    <w:rsid w:val="00500A28"/>
    <w:rsid w:val="005014A3"/>
    <w:rsid w:val="005019D0"/>
    <w:rsid w:val="00501A6B"/>
    <w:rsid w:val="00501DC9"/>
    <w:rsid w:val="0050269F"/>
    <w:rsid w:val="0050282B"/>
    <w:rsid w:val="0050318E"/>
    <w:rsid w:val="00503BA2"/>
    <w:rsid w:val="00503EB5"/>
    <w:rsid w:val="00504458"/>
    <w:rsid w:val="00504D75"/>
    <w:rsid w:val="00504DE2"/>
    <w:rsid w:val="00505153"/>
    <w:rsid w:val="00505281"/>
    <w:rsid w:val="0050528C"/>
    <w:rsid w:val="00505673"/>
    <w:rsid w:val="00506B35"/>
    <w:rsid w:val="00507C8B"/>
    <w:rsid w:val="00510059"/>
    <w:rsid w:val="00510831"/>
    <w:rsid w:val="005114DD"/>
    <w:rsid w:val="005118A4"/>
    <w:rsid w:val="00512CC9"/>
    <w:rsid w:val="00513428"/>
    <w:rsid w:val="00513885"/>
    <w:rsid w:val="00513A6C"/>
    <w:rsid w:val="00514674"/>
    <w:rsid w:val="0051485D"/>
    <w:rsid w:val="00515246"/>
    <w:rsid w:val="00515C6C"/>
    <w:rsid w:val="00515F11"/>
    <w:rsid w:val="0051737B"/>
    <w:rsid w:val="00517DBC"/>
    <w:rsid w:val="00517E73"/>
    <w:rsid w:val="005206E2"/>
    <w:rsid w:val="00521378"/>
    <w:rsid w:val="005213F1"/>
    <w:rsid w:val="00522142"/>
    <w:rsid w:val="00522D49"/>
    <w:rsid w:val="005233AA"/>
    <w:rsid w:val="005236DB"/>
    <w:rsid w:val="00524B22"/>
    <w:rsid w:val="00524EFD"/>
    <w:rsid w:val="00526CB1"/>
    <w:rsid w:val="00527E4B"/>
    <w:rsid w:val="005300D3"/>
    <w:rsid w:val="00530569"/>
    <w:rsid w:val="005307C3"/>
    <w:rsid w:val="00530A8E"/>
    <w:rsid w:val="0053131E"/>
    <w:rsid w:val="00532748"/>
    <w:rsid w:val="00533B44"/>
    <w:rsid w:val="00533B5B"/>
    <w:rsid w:val="00533FEB"/>
    <w:rsid w:val="00535147"/>
    <w:rsid w:val="005359FB"/>
    <w:rsid w:val="00535BE9"/>
    <w:rsid w:val="0053648C"/>
    <w:rsid w:val="005367E5"/>
    <w:rsid w:val="00536884"/>
    <w:rsid w:val="00536B23"/>
    <w:rsid w:val="00537525"/>
    <w:rsid w:val="00537735"/>
    <w:rsid w:val="005379D4"/>
    <w:rsid w:val="0054060C"/>
    <w:rsid w:val="0054066A"/>
    <w:rsid w:val="0054090B"/>
    <w:rsid w:val="00541222"/>
    <w:rsid w:val="00541724"/>
    <w:rsid w:val="005427A9"/>
    <w:rsid w:val="005429C6"/>
    <w:rsid w:val="0054305C"/>
    <w:rsid w:val="00543502"/>
    <w:rsid w:val="00543F74"/>
    <w:rsid w:val="00544019"/>
    <w:rsid w:val="00544E35"/>
    <w:rsid w:val="00544F82"/>
    <w:rsid w:val="00545484"/>
    <w:rsid w:val="00546550"/>
    <w:rsid w:val="005470D9"/>
    <w:rsid w:val="00547653"/>
    <w:rsid w:val="0055024D"/>
    <w:rsid w:val="005505D0"/>
    <w:rsid w:val="00551A54"/>
    <w:rsid w:val="00551CF1"/>
    <w:rsid w:val="0055300C"/>
    <w:rsid w:val="00553935"/>
    <w:rsid w:val="005539CD"/>
    <w:rsid w:val="00554AF3"/>
    <w:rsid w:val="00554BC1"/>
    <w:rsid w:val="00556498"/>
    <w:rsid w:val="005575A4"/>
    <w:rsid w:val="0056082B"/>
    <w:rsid w:val="005609BC"/>
    <w:rsid w:val="00560C53"/>
    <w:rsid w:val="00561796"/>
    <w:rsid w:val="00562294"/>
    <w:rsid w:val="005626E0"/>
    <w:rsid w:val="0056286A"/>
    <w:rsid w:val="00564ABA"/>
    <w:rsid w:val="00564C4E"/>
    <w:rsid w:val="00565193"/>
    <w:rsid w:val="00565841"/>
    <w:rsid w:val="005672F4"/>
    <w:rsid w:val="0057046A"/>
    <w:rsid w:val="00570511"/>
    <w:rsid w:val="0057063C"/>
    <w:rsid w:val="00570D80"/>
    <w:rsid w:val="00572213"/>
    <w:rsid w:val="00574084"/>
    <w:rsid w:val="005745EF"/>
    <w:rsid w:val="0057472E"/>
    <w:rsid w:val="00574D2F"/>
    <w:rsid w:val="00574FB3"/>
    <w:rsid w:val="005758E2"/>
    <w:rsid w:val="00575D04"/>
    <w:rsid w:val="00575E42"/>
    <w:rsid w:val="005766AC"/>
    <w:rsid w:val="00577129"/>
    <w:rsid w:val="005776E1"/>
    <w:rsid w:val="0057777C"/>
    <w:rsid w:val="00577CB1"/>
    <w:rsid w:val="00577EC1"/>
    <w:rsid w:val="0058064D"/>
    <w:rsid w:val="0058075D"/>
    <w:rsid w:val="00580F3A"/>
    <w:rsid w:val="00581C4D"/>
    <w:rsid w:val="00581F52"/>
    <w:rsid w:val="005823A4"/>
    <w:rsid w:val="00582420"/>
    <w:rsid w:val="0058248D"/>
    <w:rsid w:val="00582B8C"/>
    <w:rsid w:val="005841EE"/>
    <w:rsid w:val="00584F15"/>
    <w:rsid w:val="00584F27"/>
    <w:rsid w:val="0058644D"/>
    <w:rsid w:val="00586538"/>
    <w:rsid w:val="00587758"/>
    <w:rsid w:val="005879B0"/>
    <w:rsid w:val="00587A4B"/>
    <w:rsid w:val="00590A4F"/>
    <w:rsid w:val="00591425"/>
    <w:rsid w:val="00591A13"/>
    <w:rsid w:val="00591EE7"/>
    <w:rsid w:val="005925C3"/>
    <w:rsid w:val="0059268F"/>
    <w:rsid w:val="0059314A"/>
    <w:rsid w:val="005935AC"/>
    <w:rsid w:val="00593853"/>
    <w:rsid w:val="00593BFB"/>
    <w:rsid w:val="00593C4F"/>
    <w:rsid w:val="005946A8"/>
    <w:rsid w:val="00595744"/>
    <w:rsid w:val="005959BB"/>
    <w:rsid w:val="00596C97"/>
    <w:rsid w:val="00596D0A"/>
    <w:rsid w:val="00596E8D"/>
    <w:rsid w:val="00597494"/>
    <w:rsid w:val="005A00FD"/>
    <w:rsid w:val="005A0536"/>
    <w:rsid w:val="005A05EE"/>
    <w:rsid w:val="005A158B"/>
    <w:rsid w:val="005A1AD2"/>
    <w:rsid w:val="005A24F3"/>
    <w:rsid w:val="005A2829"/>
    <w:rsid w:val="005A36C1"/>
    <w:rsid w:val="005A38D6"/>
    <w:rsid w:val="005A38F3"/>
    <w:rsid w:val="005A3B54"/>
    <w:rsid w:val="005A4114"/>
    <w:rsid w:val="005A4191"/>
    <w:rsid w:val="005A4407"/>
    <w:rsid w:val="005A49FD"/>
    <w:rsid w:val="005A4C09"/>
    <w:rsid w:val="005A559B"/>
    <w:rsid w:val="005A59EF"/>
    <w:rsid w:val="005A5C18"/>
    <w:rsid w:val="005A5DD8"/>
    <w:rsid w:val="005A624E"/>
    <w:rsid w:val="005A7139"/>
    <w:rsid w:val="005A7891"/>
    <w:rsid w:val="005B0AEB"/>
    <w:rsid w:val="005B0BBE"/>
    <w:rsid w:val="005B0E4C"/>
    <w:rsid w:val="005B1078"/>
    <w:rsid w:val="005B1CB8"/>
    <w:rsid w:val="005B21FE"/>
    <w:rsid w:val="005B289C"/>
    <w:rsid w:val="005B2A18"/>
    <w:rsid w:val="005B2B95"/>
    <w:rsid w:val="005B3825"/>
    <w:rsid w:val="005B3B6C"/>
    <w:rsid w:val="005B3F3E"/>
    <w:rsid w:val="005B424B"/>
    <w:rsid w:val="005B4D19"/>
    <w:rsid w:val="005B5FF8"/>
    <w:rsid w:val="005B6583"/>
    <w:rsid w:val="005C0BD6"/>
    <w:rsid w:val="005C0C94"/>
    <w:rsid w:val="005C0CD4"/>
    <w:rsid w:val="005C0F04"/>
    <w:rsid w:val="005C13F0"/>
    <w:rsid w:val="005C14B4"/>
    <w:rsid w:val="005C2383"/>
    <w:rsid w:val="005C2CFE"/>
    <w:rsid w:val="005C361E"/>
    <w:rsid w:val="005C3F2A"/>
    <w:rsid w:val="005C4862"/>
    <w:rsid w:val="005C50CB"/>
    <w:rsid w:val="005C599C"/>
    <w:rsid w:val="005C63A8"/>
    <w:rsid w:val="005C7B2B"/>
    <w:rsid w:val="005D0F1F"/>
    <w:rsid w:val="005D1429"/>
    <w:rsid w:val="005D215E"/>
    <w:rsid w:val="005D3655"/>
    <w:rsid w:val="005D3998"/>
    <w:rsid w:val="005D492F"/>
    <w:rsid w:val="005D4E62"/>
    <w:rsid w:val="005D52B3"/>
    <w:rsid w:val="005D539E"/>
    <w:rsid w:val="005D6385"/>
    <w:rsid w:val="005D6F30"/>
    <w:rsid w:val="005D7748"/>
    <w:rsid w:val="005D790C"/>
    <w:rsid w:val="005E008F"/>
    <w:rsid w:val="005E099D"/>
    <w:rsid w:val="005E0EDE"/>
    <w:rsid w:val="005E10CF"/>
    <w:rsid w:val="005E189C"/>
    <w:rsid w:val="005E1DD4"/>
    <w:rsid w:val="005E2458"/>
    <w:rsid w:val="005E2563"/>
    <w:rsid w:val="005E343D"/>
    <w:rsid w:val="005E3CAA"/>
    <w:rsid w:val="005E438D"/>
    <w:rsid w:val="005E4D01"/>
    <w:rsid w:val="005E54E9"/>
    <w:rsid w:val="005E5875"/>
    <w:rsid w:val="005E5ED5"/>
    <w:rsid w:val="005E654A"/>
    <w:rsid w:val="005E6915"/>
    <w:rsid w:val="005E6D07"/>
    <w:rsid w:val="005E7111"/>
    <w:rsid w:val="005E7908"/>
    <w:rsid w:val="005E7991"/>
    <w:rsid w:val="005E7C1F"/>
    <w:rsid w:val="005F041B"/>
    <w:rsid w:val="005F1971"/>
    <w:rsid w:val="005F2625"/>
    <w:rsid w:val="005F26F3"/>
    <w:rsid w:val="005F3318"/>
    <w:rsid w:val="005F3359"/>
    <w:rsid w:val="005F3710"/>
    <w:rsid w:val="005F493B"/>
    <w:rsid w:val="005F4B51"/>
    <w:rsid w:val="005F4BA3"/>
    <w:rsid w:val="005F562F"/>
    <w:rsid w:val="005F65B1"/>
    <w:rsid w:val="005F6F41"/>
    <w:rsid w:val="005F770D"/>
    <w:rsid w:val="005F7A7E"/>
    <w:rsid w:val="00600176"/>
    <w:rsid w:val="00600D39"/>
    <w:rsid w:val="00601082"/>
    <w:rsid w:val="0060185B"/>
    <w:rsid w:val="00602A51"/>
    <w:rsid w:val="00602AC4"/>
    <w:rsid w:val="00602AEA"/>
    <w:rsid w:val="006038CC"/>
    <w:rsid w:val="00603AF2"/>
    <w:rsid w:val="006043B8"/>
    <w:rsid w:val="00604D50"/>
    <w:rsid w:val="00605168"/>
    <w:rsid w:val="006055B1"/>
    <w:rsid w:val="00605810"/>
    <w:rsid w:val="0060586A"/>
    <w:rsid w:val="00605B89"/>
    <w:rsid w:val="0060604C"/>
    <w:rsid w:val="006061CD"/>
    <w:rsid w:val="0060659D"/>
    <w:rsid w:val="00606F6A"/>
    <w:rsid w:val="006100C2"/>
    <w:rsid w:val="006105D5"/>
    <w:rsid w:val="0061061E"/>
    <w:rsid w:val="00610853"/>
    <w:rsid w:val="00610D7A"/>
    <w:rsid w:val="00611BAF"/>
    <w:rsid w:val="00611E61"/>
    <w:rsid w:val="00612058"/>
    <w:rsid w:val="006132E4"/>
    <w:rsid w:val="00613A17"/>
    <w:rsid w:val="00613AE5"/>
    <w:rsid w:val="00614BCD"/>
    <w:rsid w:val="00615A42"/>
    <w:rsid w:val="00616689"/>
    <w:rsid w:val="006173C7"/>
    <w:rsid w:val="0061769C"/>
    <w:rsid w:val="006205BB"/>
    <w:rsid w:val="00621520"/>
    <w:rsid w:val="006218F4"/>
    <w:rsid w:val="00621A12"/>
    <w:rsid w:val="00621ABE"/>
    <w:rsid w:val="00622414"/>
    <w:rsid w:val="006229FA"/>
    <w:rsid w:val="006235E2"/>
    <w:rsid w:val="006236DA"/>
    <w:rsid w:val="00623D9D"/>
    <w:rsid w:val="00624952"/>
    <w:rsid w:val="006250EC"/>
    <w:rsid w:val="00625642"/>
    <w:rsid w:val="00625DC6"/>
    <w:rsid w:val="00626C69"/>
    <w:rsid w:val="00627B30"/>
    <w:rsid w:val="006301EC"/>
    <w:rsid w:val="00630697"/>
    <w:rsid w:val="0063084B"/>
    <w:rsid w:val="006310E9"/>
    <w:rsid w:val="00631535"/>
    <w:rsid w:val="0063153F"/>
    <w:rsid w:val="00632BB1"/>
    <w:rsid w:val="00632C3D"/>
    <w:rsid w:val="00633102"/>
    <w:rsid w:val="00633485"/>
    <w:rsid w:val="0063353C"/>
    <w:rsid w:val="00634194"/>
    <w:rsid w:val="00635170"/>
    <w:rsid w:val="00635A91"/>
    <w:rsid w:val="00635D20"/>
    <w:rsid w:val="006363D0"/>
    <w:rsid w:val="006366A7"/>
    <w:rsid w:val="0064008D"/>
    <w:rsid w:val="00640274"/>
    <w:rsid w:val="00640FA4"/>
    <w:rsid w:val="0064111E"/>
    <w:rsid w:val="0064117E"/>
    <w:rsid w:val="00641483"/>
    <w:rsid w:val="00642010"/>
    <w:rsid w:val="0064391D"/>
    <w:rsid w:val="00643EAD"/>
    <w:rsid w:val="00644013"/>
    <w:rsid w:val="00644451"/>
    <w:rsid w:val="006444D4"/>
    <w:rsid w:val="00644712"/>
    <w:rsid w:val="00644BBC"/>
    <w:rsid w:val="00644D44"/>
    <w:rsid w:val="006455EA"/>
    <w:rsid w:val="006459A5"/>
    <w:rsid w:val="006462F7"/>
    <w:rsid w:val="00646582"/>
    <w:rsid w:val="00646655"/>
    <w:rsid w:val="00646950"/>
    <w:rsid w:val="00646F7B"/>
    <w:rsid w:val="00647634"/>
    <w:rsid w:val="00647C1D"/>
    <w:rsid w:val="006500A8"/>
    <w:rsid w:val="006509FD"/>
    <w:rsid w:val="00650E29"/>
    <w:rsid w:val="00651218"/>
    <w:rsid w:val="00651249"/>
    <w:rsid w:val="00651821"/>
    <w:rsid w:val="00652548"/>
    <w:rsid w:val="0065280B"/>
    <w:rsid w:val="00652DB2"/>
    <w:rsid w:val="00652DE4"/>
    <w:rsid w:val="0065393F"/>
    <w:rsid w:val="00653C26"/>
    <w:rsid w:val="00653FF5"/>
    <w:rsid w:val="00654117"/>
    <w:rsid w:val="00654384"/>
    <w:rsid w:val="00654B37"/>
    <w:rsid w:val="00654F3E"/>
    <w:rsid w:val="00655782"/>
    <w:rsid w:val="00655805"/>
    <w:rsid w:val="0065599E"/>
    <w:rsid w:val="00656128"/>
    <w:rsid w:val="00657695"/>
    <w:rsid w:val="00660E08"/>
    <w:rsid w:val="006632DB"/>
    <w:rsid w:val="006645AA"/>
    <w:rsid w:val="00664A68"/>
    <w:rsid w:val="006666EB"/>
    <w:rsid w:val="00666FC9"/>
    <w:rsid w:val="006673B1"/>
    <w:rsid w:val="006675CD"/>
    <w:rsid w:val="00667F2A"/>
    <w:rsid w:val="006706EF"/>
    <w:rsid w:val="00670F1A"/>
    <w:rsid w:val="00670F7F"/>
    <w:rsid w:val="00671FC5"/>
    <w:rsid w:val="006725A2"/>
    <w:rsid w:val="00672A65"/>
    <w:rsid w:val="00672AA9"/>
    <w:rsid w:val="006731BA"/>
    <w:rsid w:val="00673468"/>
    <w:rsid w:val="00673885"/>
    <w:rsid w:val="006739F4"/>
    <w:rsid w:val="0067411C"/>
    <w:rsid w:val="00674125"/>
    <w:rsid w:val="00674921"/>
    <w:rsid w:val="00674C62"/>
    <w:rsid w:val="00674D4E"/>
    <w:rsid w:val="00675CCE"/>
    <w:rsid w:val="0067698E"/>
    <w:rsid w:val="00676A0D"/>
    <w:rsid w:val="00677099"/>
    <w:rsid w:val="006776CF"/>
    <w:rsid w:val="00677F5E"/>
    <w:rsid w:val="0068089D"/>
    <w:rsid w:val="00680CCA"/>
    <w:rsid w:val="006829AD"/>
    <w:rsid w:val="00682A8D"/>
    <w:rsid w:val="00683161"/>
    <w:rsid w:val="00683F0F"/>
    <w:rsid w:val="00684919"/>
    <w:rsid w:val="00684AB3"/>
    <w:rsid w:val="00684D9B"/>
    <w:rsid w:val="006854E5"/>
    <w:rsid w:val="00685915"/>
    <w:rsid w:val="00685EE8"/>
    <w:rsid w:val="006861EF"/>
    <w:rsid w:val="00686C91"/>
    <w:rsid w:val="00686CBD"/>
    <w:rsid w:val="0068781A"/>
    <w:rsid w:val="00690155"/>
    <w:rsid w:val="0069091A"/>
    <w:rsid w:val="00690AC9"/>
    <w:rsid w:val="00690FA7"/>
    <w:rsid w:val="00691D21"/>
    <w:rsid w:val="00691EFE"/>
    <w:rsid w:val="0069208C"/>
    <w:rsid w:val="00692B0E"/>
    <w:rsid w:val="00692D63"/>
    <w:rsid w:val="0069352A"/>
    <w:rsid w:val="00694885"/>
    <w:rsid w:val="00694BC8"/>
    <w:rsid w:val="00694E03"/>
    <w:rsid w:val="00696554"/>
    <w:rsid w:val="00696592"/>
    <w:rsid w:val="00696618"/>
    <w:rsid w:val="006966DC"/>
    <w:rsid w:val="00696CF4"/>
    <w:rsid w:val="006970CF"/>
    <w:rsid w:val="00697556"/>
    <w:rsid w:val="006A0F3F"/>
    <w:rsid w:val="006A14B5"/>
    <w:rsid w:val="006A2161"/>
    <w:rsid w:val="006A2E43"/>
    <w:rsid w:val="006A32BB"/>
    <w:rsid w:val="006A33FF"/>
    <w:rsid w:val="006A42F9"/>
    <w:rsid w:val="006A4548"/>
    <w:rsid w:val="006A4DA4"/>
    <w:rsid w:val="006A5BD7"/>
    <w:rsid w:val="006A61E7"/>
    <w:rsid w:val="006A71B1"/>
    <w:rsid w:val="006A71F5"/>
    <w:rsid w:val="006A7392"/>
    <w:rsid w:val="006A7868"/>
    <w:rsid w:val="006B0EAB"/>
    <w:rsid w:val="006B12CB"/>
    <w:rsid w:val="006B23A9"/>
    <w:rsid w:val="006B2AC4"/>
    <w:rsid w:val="006B2C70"/>
    <w:rsid w:val="006B2CA2"/>
    <w:rsid w:val="006B3540"/>
    <w:rsid w:val="006B3A25"/>
    <w:rsid w:val="006B3E48"/>
    <w:rsid w:val="006B438E"/>
    <w:rsid w:val="006B4647"/>
    <w:rsid w:val="006B481B"/>
    <w:rsid w:val="006B491B"/>
    <w:rsid w:val="006B4C2B"/>
    <w:rsid w:val="006B5131"/>
    <w:rsid w:val="006B6D47"/>
    <w:rsid w:val="006B6DA5"/>
    <w:rsid w:val="006B6EB7"/>
    <w:rsid w:val="006B7101"/>
    <w:rsid w:val="006B7DCE"/>
    <w:rsid w:val="006C035B"/>
    <w:rsid w:val="006C0ED5"/>
    <w:rsid w:val="006C2A8E"/>
    <w:rsid w:val="006C3136"/>
    <w:rsid w:val="006C4101"/>
    <w:rsid w:val="006C4F01"/>
    <w:rsid w:val="006C51CA"/>
    <w:rsid w:val="006C5AFE"/>
    <w:rsid w:val="006C5DF0"/>
    <w:rsid w:val="006C5F79"/>
    <w:rsid w:val="006C5F80"/>
    <w:rsid w:val="006D0453"/>
    <w:rsid w:val="006D0550"/>
    <w:rsid w:val="006D0E7F"/>
    <w:rsid w:val="006D2557"/>
    <w:rsid w:val="006D2817"/>
    <w:rsid w:val="006D394A"/>
    <w:rsid w:val="006D3BEB"/>
    <w:rsid w:val="006D3C42"/>
    <w:rsid w:val="006D3D61"/>
    <w:rsid w:val="006D3E0D"/>
    <w:rsid w:val="006D3F38"/>
    <w:rsid w:val="006D489D"/>
    <w:rsid w:val="006D50F4"/>
    <w:rsid w:val="006D594A"/>
    <w:rsid w:val="006D5A35"/>
    <w:rsid w:val="006D643D"/>
    <w:rsid w:val="006D6563"/>
    <w:rsid w:val="006D73D6"/>
    <w:rsid w:val="006D757F"/>
    <w:rsid w:val="006D77C2"/>
    <w:rsid w:val="006D7C8F"/>
    <w:rsid w:val="006D7EEB"/>
    <w:rsid w:val="006D7EF7"/>
    <w:rsid w:val="006E0D31"/>
    <w:rsid w:val="006E2120"/>
    <w:rsid w:val="006E22B6"/>
    <w:rsid w:val="006E24AF"/>
    <w:rsid w:val="006E2A92"/>
    <w:rsid w:val="006E36D6"/>
    <w:rsid w:val="006E42CE"/>
    <w:rsid w:val="006E443E"/>
    <w:rsid w:val="006E5435"/>
    <w:rsid w:val="006E654E"/>
    <w:rsid w:val="006E6A53"/>
    <w:rsid w:val="006E712D"/>
    <w:rsid w:val="006F0147"/>
    <w:rsid w:val="006F1914"/>
    <w:rsid w:val="006F2052"/>
    <w:rsid w:val="006F2F91"/>
    <w:rsid w:val="006F4C1B"/>
    <w:rsid w:val="006F55A6"/>
    <w:rsid w:val="006F57C3"/>
    <w:rsid w:val="006F5AA7"/>
    <w:rsid w:val="006F5AD7"/>
    <w:rsid w:val="006F611E"/>
    <w:rsid w:val="006F65EE"/>
    <w:rsid w:val="006F6A9F"/>
    <w:rsid w:val="006F6D95"/>
    <w:rsid w:val="006F74A5"/>
    <w:rsid w:val="006F75C6"/>
    <w:rsid w:val="006F7B4F"/>
    <w:rsid w:val="0070130A"/>
    <w:rsid w:val="0070157F"/>
    <w:rsid w:val="00701F4A"/>
    <w:rsid w:val="00701FB5"/>
    <w:rsid w:val="007026B9"/>
    <w:rsid w:val="00702CC9"/>
    <w:rsid w:val="00702DFD"/>
    <w:rsid w:val="00703123"/>
    <w:rsid w:val="007031F7"/>
    <w:rsid w:val="00704B23"/>
    <w:rsid w:val="0070524E"/>
    <w:rsid w:val="0070698A"/>
    <w:rsid w:val="00706F13"/>
    <w:rsid w:val="00706F5F"/>
    <w:rsid w:val="00706FFA"/>
    <w:rsid w:val="0070702E"/>
    <w:rsid w:val="00707180"/>
    <w:rsid w:val="007072E8"/>
    <w:rsid w:val="00707ABF"/>
    <w:rsid w:val="0071081E"/>
    <w:rsid w:val="00712D37"/>
    <w:rsid w:val="007130D0"/>
    <w:rsid w:val="007132F9"/>
    <w:rsid w:val="007134B0"/>
    <w:rsid w:val="00713D0E"/>
    <w:rsid w:val="00713EC6"/>
    <w:rsid w:val="00714EB2"/>
    <w:rsid w:val="007158C6"/>
    <w:rsid w:val="007160FE"/>
    <w:rsid w:val="0071618D"/>
    <w:rsid w:val="00716EA8"/>
    <w:rsid w:val="0072061B"/>
    <w:rsid w:val="00720985"/>
    <w:rsid w:val="0072154E"/>
    <w:rsid w:val="0072197D"/>
    <w:rsid w:val="00721A16"/>
    <w:rsid w:val="00721CB1"/>
    <w:rsid w:val="00721F7B"/>
    <w:rsid w:val="007224EF"/>
    <w:rsid w:val="00722504"/>
    <w:rsid w:val="007234AF"/>
    <w:rsid w:val="00723806"/>
    <w:rsid w:val="007241B7"/>
    <w:rsid w:val="007242D4"/>
    <w:rsid w:val="007245E2"/>
    <w:rsid w:val="00725FA4"/>
    <w:rsid w:val="007267A9"/>
    <w:rsid w:val="00726809"/>
    <w:rsid w:val="00726EEB"/>
    <w:rsid w:val="0072749E"/>
    <w:rsid w:val="00727F83"/>
    <w:rsid w:val="007304D6"/>
    <w:rsid w:val="00731156"/>
    <w:rsid w:val="007313E8"/>
    <w:rsid w:val="0073143C"/>
    <w:rsid w:val="007319CF"/>
    <w:rsid w:val="00731B22"/>
    <w:rsid w:val="007325B0"/>
    <w:rsid w:val="00733C9A"/>
    <w:rsid w:val="00734321"/>
    <w:rsid w:val="007346AF"/>
    <w:rsid w:val="0073597E"/>
    <w:rsid w:val="00736377"/>
    <w:rsid w:val="00736F10"/>
    <w:rsid w:val="00737268"/>
    <w:rsid w:val="007402FF"/>
    <w:rsid w:val="00740446"/>
    <w:rsid w:val="00741712"/>
    <w:rsid w:val="007427CC"/>
    <w:rsid w:val="007434E2"/>
    <w:rsid w:val="00743809"/>
    <w:rsid w:val="007438A9"/>
    <w:rsid w:val="00743CCE"/>
    <w:rsid w:val="0074491E"/>
    <w:rsid w:val="00745325"/>
    <w:rsid w:val="00745D50"/>
    <w:rsid w:val="00746489"/>
    <w:rsid w:val="00746AEF"/>
    <w:rsid w:val="00747B9D"/>
    <w:rsid w:val="00747C13"/>
    <w:rsid w:val="0075075C"/>
    <w:rsid w:val="00751970"/>
    <w:rsid w:val="00751E8F"/>
    <w:rsid w:val="00752031"/>
    <w:rsid w:val="00753C4B"/>
    <w:rsid w:val="007546D0"/>
    <w:rsid w:val="00754AE0"/>
    <w:rsid w:val="00754E32"/>
    <w:rsid w:val="00756468"/>
    <w:rsid w:val="007567E2"/>
    <w:rsid w:val="00756DFA"/>
    <w:rsid w:val="00756EC3"/>
    <w:rsid w:val="00757462"/>
    <w:rsid w:val="00757A3E"/>
    <w:rsid w:val="00757B24"/>
    <w:rsid w:val="00760160"/>
    <w:rsid w:val="00761339"/>
    <w:rsid w:val="007616CD"/>
    <w:rsid w:val="00761A28"/>
    <w:rsid w:val="00761F02"/>
    <w:rsid w:val="0076247A"/>
    <w:rsid w:val="007624BB"/>
    <w:rsid w:val="00762E7E"/>
    <w:rsid w:val="007636CA"/>
    <w:rsid w:val="00763E5B"/>
    <w:rsid w:val="007644E1"/>
    <w:rsid w:val="00764956"/>
    <w:rsid w:val="00764FC5"/>
    <w:rsid w:val="00765BF3"/>
    <w:rsid w:val="0076635A"/>
    <w:rsid w:val="007667A8"/>
    <w:rsid w:val="00766F53"/>
    <w:rsid w:val="0076777C"/>
    <w:rsid w:val="00770203"/>
    <w:rsid w:val="00770391"/>
    <w:rsid w:val="00770C05"/>
    <w:rsid w:val="0077189E"/>
    <w:rsid w:val="00772CB0"/>
    <w:rsid w:val="007732A6"/>
    <w:rsid w:val="00773386"/>
    <w:rsid w:val="00774B8D"/>
    <w:rsid w:val="00774FF8"/>
    <w:rsid w:val="00775271"/>
    <w:rsid w:val="00775964"/>
    <w:rsid w:val="00775C47"/>
    <w:rsid w:val="00776159"/>
    <w:rsid w:val="007765FE"/>
    <w:rsid w:val="00776775"/>
    <w:rsid w:val="00776A7A"/>
    <w:rsid w:val="00776BD0"/>
    <w:rsid w:val="00777DBF"/>
    <w:rsid w:val="00780489"/>
    <w:rsid w:val="0078052E"/>
    <w:rsid w:val="007810BE"/>
    <w:rsid w:val="007818F2"/>
    <w:rsid w:val="00781E11"/>
    <w:rsid w:val="00782BA7"/>
    <w:rsid w:val="007833A7"/>
    <w:rsid w:val="007833C9"/>
    <w:rsid w:val="007838D1"/>
    <w:rsid w:val="00785730"/>
    <w:rsid w:val="00786458"/>
    <w:rsid w:val="00787219"/>
    <w:rsid w:val="00787FFA"/>
    <w:rsid w:val="00790034"/>
    <w:rsid w:val="007902A0"/>
    <w:rsid w:val="007905F7"/>
    <w:rsid w:val="00790ABF"/>
    <w:rsid w:val="00790E66"/>
    <w:rsid w:val="00792487"/>
    <w:rsid w:val="00794353"/>
    <w:rsid w:val="00794BAC"/>
    <w:rsid w:val="00794E60"/>
    <w:rsid w:val="007951A8"/>
    <w:rsid w:val="00795B57"/>
    <w:rsid w:val="00795BFB"/>
    <w:rsid w:val="0079655C"/>
    <w:rsid w:val="00796DF5"/>
    <w:rsid w:val="0079750B"/>
    <w:rsid w:val="007A0C15"/>
    <w:rsid w:val="007A0CF3"/>
    <w:rsid w:val="007A0F38"/>
    <w:rsid w:val="007A10D6"/>
    <w:rsid w:val="007A1BA2"/>
    <w:rsid w:val="007A223A"/>
    <w:rsid w:val="007A299D"/>
    <w:rsid w:val="007A4519"/>
    <w:rsid w:val="007A4753"/>
    <w:rsid w:val="007A570A"/>
    <w:rsid w:val="007A59A0"/>
    <w:rsid w:val="007A5A0A"/>
    <w:rsid w:val="007A5A47"/>
    <w:rsid w:val="007A6139"/>
    <w:rsid w:val="007A6F7F"/>
    <w:rsid w:val="007A766F"/>
    <w:rsid w:val="007A7D76"/>
    <w:rsid w:val="007A7E06"/>
    <w:rsid w:val="007B095A"/>
    <w:rsid w:val="007B0989"/>
    <w:rsid w:val="007B0F22"/>
    <w:rsid w:val="007B2424"/>
    <w:rsid w:val="007B2617"/>
    <w:rsid w:val="007B2760"/>
    <w:rsid w:val="007B35F6"/>
    <w:rsid w:val="007B361C"/>
    <w:rsid w:val="007B4F3D"/>
    <w:rsid w:val="007B59D7"/>
    <w:rsid w:val="007B5D12"/>
    <w:rsid w:val="007B5E9A"/>
    <w:rsid w:val="007B5F8B"/>
    <w:rsid w:val="007B6A62"/>
    <w:rsid w:val="007B71A2"/>
    <w:rsid w:val="007B7211"/>
    <w:rsid w:val="007B7859"/>
    <w:rsid w:val="007B796D"/>
    <w:rsid w:val="007C1C5C"/>
    <w:rsid w:val="007C266F"/>
    <w:rsid w:val="007C2CB7"/>
    <w:rsid w:val="007C3D92"/>
    <w:rsid w:val="007C51B6"/>
    <w:rsid w:val="007C52AB"/>
    <w:rsid w:val="007C543C"/>
    <w:rsid w:val="007C5765"/>
    <w:rsid w:val="007C5866"/>
    <w:rsid w:val="007C6311"/>
    <w:rsid w:val="007C6478"/>
    <w:rsid w:val="007C667B"/>
    <w:rsid w:val="007C6720"/>
    <w:rsid w:val="007C689F"/>
    <w:rsid w:val="007C6DF4"/>
    <w:rsid w:val="007D030C"/>
    <w:rsid w:val="007D0713"/>
    <w:rsid w:val="007D0C55"/>
    <w:rsid w:val="007D0F59"/>
    <w:rsid w:val="007D10C6"/>
    <w:rsid w:val="007D139A"/>
    <w:rsid w:val="007D15B2"/>
    <w:rsid w:val="007D1E3E"/>
    <w:rsid w:val="007D2144"/>
    <w:rsid w:val="007D2BF0"/>
    <w:rsid w:val="007D2EB4"/>
    <w:rsid w:val="007D39F7"/>
    <w:rsid w:val="007D3F74"/>
    <w:rsid w:val="007D400B"/>
    <w:rsid w:val="007D40FE"/>
    <w:rsid w:val="007D47E9"/>
    <w:rsid w:val="007D4AC8"/>
    <w:rsid w:val="007D4BDB"/>
    <w:rsid w:val="007D5B60"/>
    <w:rsid w:val="007D793F"/>
    <w:rsid w:val="007E015A"/>
    <w:rsid w:val="007E01D6"/>
    <w:rsid w:val="007E0298"/>
    <w:rsid w:val="007E0CC2"/>
    <w:rsid w:val="007E0EE1"/>
    <w:rsid w:val="007E13C5"/>
    <w:rsid w:val="007E14A3"/>
    <w:rsid w:val="007E3184"/>
    <w:rsid w:val="007E34CC"/>
    <w:rsid w:val="007E4121"/>
    <w:rsid w:val="007E43C4"/>
    <w:rsid w:val="007E4A18"/>
    <w:rsid w:val="007E4A19"/>
    <w:rsid w:val="007E4AF0"/>
    <w:rsid w:val="007E6094"/>
    <w:rsid w:val="007E72CA"/>
    <w:rsid w:val="007E7590"/>
    <w:rsid w:val="007F0337"/>
    <w:rsid w:val="007F0361"/>
    <w:rsid w:val="007F0C9C"/>
    <w:rsid w:val="007F0D30"/>
    <w:rsid w:val="007F18A8"/>
    <w:rsid w:val="007F20DF"/>
    <w:rsid w:val="007F2631"/>
    <w:rsid w:val="007F3306"/>
    <w:rsid w:val="007F4514"/>
    <w:rsid w:val="007F4754"/>
    <w:rsid w:val="007F4EDE"/>
    <w:rsid w:val="007F523F"/>
    <w:rsid w:val="007F5801"/>
    <w:rsid w:val="007F5C72"/>
    <w:rsid w:val="007F5D28"/>
    <w:rsid w:val="007F60ED"/>
    <w:rsid w:val="007F657D"/>
    <w:rsid w:val="007F693B"/>
    <w:rsid w:val="007F7077"/>
    <w:rsid w:val="007F76DA"/>
    <w:rsid w:val="007F7E38"/>
    <w:rsid w:val="0080025F"/>
    <w:rsid w:val="00800BD9"/>
    <w:rsid w:val="00800E56"/>
    <w:rsid w:val="00800E64"/>
    <w:rsid w:val="00801FFA"/>
    <w:rsid w:val="008024FC"/>
    <w:rsid w:val="00802762"/>
    <w:rsid w:val="00802C8D"/>
    <w:rsid w:val="0080345F"/>
    <w:rsid w:val="0080425C"/>
    <w:rsid w:val="00804950"/>
    <w:rsid w:val="00804EEE"/>
    <w:rsid w:val="008050B8"/>
    <w:rsid w:val="00805567"/>
    <w:rsid w:val="00805874"/>
    <w:rsid w:val="00805A37"/>
    <w:rsid w:val="00805F15"/>
    <w:rsid w:val="00806C01"/>
    <w:rsid w:val="00807273"/>
    <w:rsid w:val="00807A08"/>
    <w:rsid w:val="00807F05"/>
    <w:rsid w:val="00810BE0"/>
    <w:rsid w:val="00812AD9"/>
    <w:rsid w:val="008137D1"/>
    <w:rsid w:val="00813839"/>
    <w:rsid w:val="00813908"/>
    <w:rsid w:val="00813C04"/>
    <w:rsid w:val="0081481D"/>
    <w:rsid w:val="008148CC"/>
    <w:rsid w:val="00814B85"/>
    <w:rsid w:val="00814D59"/>
    <w:rsid w:val="00814EE0"/>
    <w:rsid w:val="00815408"/>
    <w:rsid w:val="0081630D"/>
    <w:rsid w:val="008167B6"/>
    <w:rsid w:val="0081708A"/>
    <w:rsid w:val="00817625"/>
    <w:rsid w:val="00817846"/>
    <w:rsid w:val="00820794"/>
    <w:rsid w:val="008210A2"/>
    <w:rsid w:val="008211A4"/>
    <w:rsid w:val="00821797"/>
    <w:rsid w:val="00821A08"/>
    <w:rsid w:val="00821AA9"/>
    <w:rsid w:val="00821C87"/>
    <w:rsid w:val="00822BE6"/>
    <w:rsid w:val="00822D51"/>
    <w:rsid w:val="0082340B"/>
    <w:rsid w:val="0082345D"/>
    <w:rsid w:val="0082417E"/>
    <w:rsid w:val="008248DF"/>
    <w:rsid w:val="008254FC"/>
    <w:rsid w:val="008263EB"/>
    <w:rsid w:val="00826AE0"/>
    <w:rsid w:val="00826CC6"/>
    <w:rsid w:val="0082750D"/>
    <w:rsid w:val="0082774E"/>
    <w:rsid w:val="00827893"/>
    <w:rsid w:val="008303E9"/>
    <w:rsid w:val="00830DFB"/>
    <w:rsid w:val="00831A19"/>
    <w:rsid w:val="00831DC1"/>
    <w:rsid w:val="0083274D"/>
    <w:rsid w:val="008334AE"/>
    <w:rsid w:val="008336A4"/>
    <w:rsid w:val="008339A3"/>
    <w:rsid w:val="00833DC8"/>
    <w:rsid w:val="00834411"/>
    <w:rsid w:val="008346AF"/>
    <w:rsid w:val="00834A37"/>
    <w:rsid w:val="0083509A"/>
    <w:rsid w:val="00835290"/>
    <w:rsid w:val="008360FC"/>
    <w:rsid w:val="008365C2"/>
    <w:rsid w:val="00836609"/>
    <w:rsid w:val="008368F1"/>
    <w:rsid w:val="00836977"/>
    <w:rsid w:val="0083705E"/>
    <w:rsid w:val="0083734E"/>
    <w:rsid w:val="00837F44"/>
    <w:rsid w:val="008404DF"/>
    <w:rsid w:val="00841F41"/>
    <w:rsid w:val="00842138"/>
    <w:rsid w:val="00843CE8"/>
    <w:rsid w:val="00844603"/>
    <w:rsid w:val="00846EBD"/>
    <w:rsid w:val="0084730E"/>
    <w:rsid w:val="0084779A"/>
    <w:rsid w:val="008479FF"/>
    <w:rsid w:val="00847B74"/>
    <w:rsid w:val="00851155"/>
    <w:rsid w:val="00851C34"/>
    <w:rsid w:val="0085240E"/>
    <w:rsid w:val="008527B5"/>
    <w:rsid w:val="00852BA6"/>
    <w:rsid w:val="00852BBA"/>
    <w:rsid w:val="0085317C"/>
    <w:rsid w:val="0085379E"/>
    <w:rsid w:val="00853915"/>
    <w:rsid w:val="00853F5D"/>
    <w:rsid w:val="00854910"/>
    <w:rsid w:val="00854A95"/>
    <w:rsid w:val="00855277"/>
    <w:rsid w:val="0085560F"/>
    <w:rsid w:val="008557F9"/>
    <w:rsid w:val="0085582A"/>
    <w:rsid w:val="008561DA"/>
    <w:rsid w:val="00856DB0"/>
    <w:rsid w:val="00856FB5"/>
    <w:rsid w:val="008570D6"/>
    <w:rsid w:val="008577D0"/>
    <w:rsid w:val="00860101"/>
    <w:rsid w:val="00860C48"/>
    <w:rsid w:val="00862010"/>
    <w:rsid w:val="00862C82"/>
    <w:rsid w:val="00862FD1"/>
    <w:rsid w:val="00863B7D"/>
    <w:rsid w:val="008641A3"/>
    <w:rsid w:val="00864DF2"/>
    <w:rsid w:val="00865302"/>
    <w:rsid w:val="008657E9"/>
    <w:rsid w:val="00865DD0"/>
    <w:rsid w:val="00865F1E"/>
    <w:rsid w:val="00865FC7"/>
    <w:rsid w:val="00866B2F"/>
    <w:rsid w:val="00867907"/>
    <w:rsid w:val="0087001A"/>
    <w:rsid w:val="0087038A"/>
    <w:rsid w:val="00870498"/>
    <w:rsid w:val="0087054E"/>
    <w:rsid w:val="0087105D"/>
    <w:rsid w:val="00871127"/>
    <w:rsid w:val="00871381"/>
    <w:rsid w:val="00871AE7"/>
    <w:rsid w:val="008720ED"/>
    <w:rsid w:val="00872A86"/>
    <w:rsid w:val="00872ACB"/>
    <w:rsid w:val="00872FA6"/>
    <w:rsid w:val="00873150"/>
    <w:rsid w:val="008749B9"/>
    <w:rsid w:val="00874ADA"/>
    <w:rsid w:val="00875000"/>
    <w:rsid w:val="0087657D"/>
    <w:rsid w:val="00876CC1"/>
    <w:rsid w:val="008803F3"/>
    <w:rsid w:val="008807D5"/>
    <w:rsid w:val="00880832"/>
    <w:rsid w:val="008817B3"/>
    <w:rsid w:val="008817DA"/>
    <w:rsid w:val="00881968"/>
    <w:rsid w:val="00881A2C"/>
    <w:rsid w:val="00882046"/>
    <w:rsid w:val="00884344"/>
    <w:rsid w:val="0088438E"/>
    <w:rsid w:val="00884584"/>
    <w:rsid w:val="00884D15"/>
    <w:rsid w:val="00885BE0"/>
    <w:rsid w:val="00886351"/>
    <w:rsid w:val="00886992"/>
    <w:rsid w:val="00886EE1"/>
    <w:rsid w:val="0088727D"/>
    <w:rsid w:val="008874AE"/>
    <w:rsid w:val="00887778"/>
    <w:rsid w:val="00890C1C"/>
    <w:rsid w:val="008910BE"/>
    <w:rsid w:val="008916E7"/>
    <w:rsid w:val="00891C4A"/>
    <w:rsid w:val="00892933"/>
    <w:rsid w:val="00892C9F"/>
    <w:rsid w:val="00892FE7"/>
    <w:rsid w:val="0089361E"/>
    <w:rsid w:val="0089421C"/>
    <w:rsid w:val="00895B2C"/>
    <w:rsid w:val="00895C66"/>
    <w:rsid w:val="0089652A"/>
    <w:rsid w:val="00896DC1"/>
    <w:rsid w:val="008970D2"/>
    <w:rsid w:val="00897A01"/>
    <w:rsid w:val="00897A5D"/>
    <w:rsid w:val="00897C75"/>
    <w:rsid w:val="008A0243"/>
    <w:rsid w:val="008A066F"/>
    <w:rsid w:val="008A0B31"/>
    <w:rsid w:val="008A205F"/>
    <w:rsid w:val="008A2549"/>
    <w:rsid w:val="008A2F58"/>
    <w:rsid w:val="008A38F4"/>
    <w:rsid w:val="008A4DD5"/>
    <w:rsid w:val="008A4F0C"/>
    <w:rsid w:val="008A5141"/>
    <w:rsid w:val="008A573A"/>
    <w:rsid w:val="008A58C5"/>
    <w:rsid w:val="008A5A4D"/>
    <w:rsid w:val="008A6FA1"/>
    <w:rsid w:val="008A72BE"/>
    <w:rsid w:val="008A756A"/>
    <w:rsid w:val="008A7885"/>
    <w:rsid w:val="008A7E41"/>
    <w:rsid w:val="008A7E58"/>
    <w:rsid w:val="008B0752"/>
    <w:rsid w:val="008B0BCA"/>
    <w:rsid w:val="008B0C20"/>
    <w:rsid w:val="008B1501"/>
    <w:rsid w:val="008B1543"/>
    <w:rsid w:val="008B173B"/>
    <w:rsid w:val="008B220D"/>
    <w:rsid w:val="008B2589"/>
    <w:rsid w:val="008B370B"/>
    <w:rsid w:val="008B385E"/>
    <w:rsid w:val="008B3B03"/>
    <w:rsid w:val="008B3C18"/>
    <w:rsid w:val="008B3D84"/>
    <w:rsid w:val="008B3E68"/>
    <w:rsid w:val="008B49A0"/>
    <w:rsid w:val="008B4BAD"/>
    <w:rsid w:val="008B549E"/>
    <w:rsid w:val="008B79DB"/>
    <w:rsid w:val="008B7F2D"/>
    <w:rsid w:val="008C0852"/>
    <w:rsid w:val="008C1130"/>
    <w:rsid w:val="008C1B6A"/>
    <w:rsid w:val="008C2048"/>
    <w:rsid w:val="008C2D5D"/>
    <w:rsid w:val="008C303A"/>
    <w:rsid w:val="008C3E52"/>
    <w:rsid w:val="008C401E"/>
    <w:rsid w:val="008C42F5"/>
    <w:rsid w:val="008C43DC"/>
    <w:rsid w:val="008C464D"/>
    <w:rsid w:val="008C4AE9"/>
    <w:rsid w:val="008C4BAE"/>
    <w:rsid w:val="008C4DB9"/>
    <w:rsid w:val="008C4DCC"/>
    <w:rsid w:val="008C4DD6"/>
    <w:rsid w:val="008C571F"/>
    <w:rsid w:val="008C62B9"/>
    <w:rsid w:val="008C66E6"/>
    <w:rsid w:val="008C66ED"/>
    <w:rsid w:val="008C7804"/>
    <w:rsid w:val="008C79A9"/>
    <w:rsid w:val="008C7FDB"/>
    <w:rsid w:val="008D1130"/>
    <w:rsid w:val="008D18E6"/>
    <w:rsid w:val="008D1CA0"/>
    <w:rsid w:val="008D227C"/>
    <w:rsid w:val="008D2C28"/>
    <w:rsid w:val="008D2F15"/>
    <w:rsid w:val="008D31DE"/>
    <w:rsid w:val="008D32F0"/>
    <w:rsid w:val="008D3424"/>
    <w:rsid w:val="008D36C8"/>
    <w:rsid w:val="008D4513"/>
    <w:rsid w:val="008D462E"/>
    <w:rsid w:val="008D4BCA"/>
    <w:rsid w:val="008D538A"/>
    <w:rsid w:val="008D55A9"/>
    <w:rsid w:val="008D6A65"/>
    <w:rsid w:val="008D78F4"/>
    <w:rsid w:val="008D7A9B"/>
    <w:rsid w:val="008E1C05"/>
    <w:rsid w:val="008E2118"/>
    <w:rsid w:val="008E2DAC"/>
    <w:rsid w:val="008E2F4A"/>
    <w:rsid w:val="008E4B42"/>
    <w:rsid w:val="008E5B20"/>
    <w:rsid w:val="008E5D8F"/>
    <w:rsid w:val="008E64DD"/>
    <w:rsid w:val="008E6F6E"/>
    <w:rsid w:val="008E70DD"/>
    <w:rsid w:val="008E76AC"/>
    <w:rsid w:val="008F035E"/>
    <w:rsid w:val="008F057E"/>
    <w:rsid w:val="008F11DD"/>
    <w:rsid w:val="008F1403"/>
    <w:rsid w:val="008F18D2"/>
    <w:rsid w:val="008F1B6C"/>
    <w:rsid w:val="008F2086"/>
    <w:rsid w:val="008F209A"/>
    <w:rsid w:val="008F20FD"/>
    <w:rsid w:val="008F21F6"/>
    <w:rsid w:val="008F2649"/>
    <w:rsid w:val="008F3209"/>
    <w:rsid w:val="008F3FAA"/>
    <w:rsid w:val="008F460B"/>
    <w:rsid w:val="008F4D05"/>
    <w:rsid w:val="008F4F4C"/>
    <w:rsid w:val="008F4F52"/>
    <w:rsid w:val="008F52C3"/>
    <w:rsid w:val="008F5A34"/>
    <w:rsid w:val="008F67D9"/>
    <w:rsid w:val="008F7434"/>
    <w:rsid w:val="008F7F7E"/>
    <w:rsid w:val="009000A9"/>
    <w:rsid w:val="00900FAF"/>
    <w:rsid w:val="0090144C"/>
    <w:rsid w:val="00901E63"/>
    <w:rsid w:val="009025CA"/>
    <w:rsid w:val="0090264D"/>
    <w:rsid w:val="009033FA"/>
    <w:rsid w:val="009039F3"/>
    <w:rsid w:val="00903E1A"/>
    <w:rsid w:val="0090471A"/>
    <w:rsid w:val="00905366"/>
    <w:rsid w:val="0090539D"/>
    <w:rsid w:val="00906B3E"/>
    <w:rsid w:val="00906E99"/>
    <w:rsid w:val="009076EF"/>
    <w:rsid w:val="00910695"/>
    <w:rsid w:val="00910EC5"/>
    <w:rsid w:val="009115EE"/>
    <w:rsid w:val="00911877"/>
    <w:rsid w:val="00911DE7"/>
    <w:rsid w:val="009124F3"/>
    <w:rsid w:val="00912537"/>
    <w:rsid w:val="00912E33"/>
    <w:rsid w:val="009138D1"/>
    <w:rsid w:val="00914212"/>
    <w:rsid w:val="009142BF"/>
    <w:rsid w:val="009148E0"/>
    <w:rsid w:val="00915A28"/>
    <w:rsid w:val="00915BD9"/>
    <w:rsid w:val="009164EC"/>
    <w:rsid w:val="00916751"/>
    <w:rsid w:val="00916E0C"/>
    <w:rsid w:val="00916E79"/>
    <w:rsid w:val="0091743C"/>
    <w:rsid w:val="009202E4"/>
    <w:rsid w:val="009204CE"/>
    <w:rsid w:val="00920E83"/>
    <w:rsid w:val="00921ED2"/>
    <w:rsid w:val="00922112"/>
    <w:rsid w:val="00922328"/>
    <w:rsid w:val="0092237A"/>
    <w:rsid w:val="00922A42"/>
    <w:rsid w:val="00922A54"/>
    <w:rsid w:val="0092364C"/>
    <w:rsid w:val="00923892"/>
    <w:rsid w:val="00923FD5"/>
    <w:rsid w:val="009251E0"/>
    <w:rsid w:val="009253DC"/>
    <w:rsid w:val="00925D29"/>
    <w:rsid w:val="0092636A"/>
    <w:rsid w:val="00926A15"/>
    <w:rsid w:val="00926FC7"/>
    <w:rsid w:val="00927002"/>
    <w:rsid w:val="009303B3"/>
    <w:rsid w:val="009304C4"/>
    <w:rsid w:val="009307A4"/>
    <w:rsid w:val="009311FB"/>
    <w:rsid w:val="009315F9"/>
    <w:rsid w:val="00931691"/>
    <w:rsid w:val="009317D5"/>
    <w:rsid w:val="0093195E"/>
    <w:rsid w:val="00931FC2"/>
    <w:rsid w:val="009322BE"/>
    <w:rsid w:val="00934163"/>
    <w:rsid w:val="009353DF"/>
    <w:rsid w:val="00935BDA"/>
    <w:rsid w:val="00936D61"/>
    <w:rsid w:val="00937681"/>
    <w:rsid w:val="00937E6A"/>
    <w:rsid w:val="00940779"/>
    <w:rsid w:val="009413F9"/>
    <w:rsid w:val="0094240E"/>
    <w:rsid w:val="009424E6"/>
    <w:rsid w:val="009426E4"/>
    <w:rsid w:val="00942862"/>
    <w:rsid w:val="009431FC"/>
    <w:rsid w:val="009434D0"/>
    <w:rsid w:val="0094390A"/>
    <w:rsid w:val="00943A49"/>
    <w:rsid w:val="00943C28"/>
    <w:rsid w:val="00943D9B"/>
    <w:rsid w:val="009443B2"/>
    <w:rsid w:val="009449EB"/>
    <w:rsid w:val="00944D54"/>
    <w:rsid w:val="009454C6"/>
    <w:rsid w:val="00946CD2"/>
    <w:rsid w:val="00947256"/>
    <w:rsid w:val="00947A45"/>
    <w:rsid w:val="00947E01"/>
    <w:rsid w:val="009500B9"/>
    <w:rsid w:val="0095052C"/>
    <w:rsid w:val="00950D25"/>
    <w:rsid w:val="00951EEF"/>
    <w:rsid w:val="00951F79"/>
    <w:rsid w:val="00952E6F"/>
    <w:rsid w:val="00953D94"/>
    <w:rsid w:val="009548BF"/>
    <w:rsid w:val="00955001"/>
    <w:rsid w:val="009556A3"/>
    <w:rsid w:val="00955C28"/>
    <w:rsid w:val="00956B6C"/>
    <w:rsid w:val="0095702B"/>
    <w:rsid w:val="0095737C"/>
    <w:rsid w:val="00957AFA"/>
    <w:rsid w:val="00957D90"/>
    <w:rsid w:val="009608BF"/>
    <w:rsid w:val="00961272"/>
    <w:rsid w:val="009617BA"/>
    <w:rsid w:val="00961D9C"/>
    <w:rsid w:val="00961E52"/>
    <w:rsid w:val="00962F94"/>
    <w:rsid w:val="00963079"/>
    <w:rsid w:val="009630CB"/>
    <w:rsid w:val="009641E0"/>
    <w:rsid w:val="00964837"/>
    <w:rsid w:val="009668C2"/>
    <w:rsid w:val="0096779C"/>
    <w:rsid w:val="00967818"/>
    <w:rsid w:val="00967846"/>
    <w:rsid w:val="009702EF"/>
    <w:rsid w:val="0097042F"/>
    <w:rsid w:val="00970AB5"/>
    <w:rsid w:val="00970F05"/>
    <w:rsid w:val="0097137B"/>
    <w:rsid w:val="00971C1D"/>
    <w:rsid w:val="00971CAE"/>
    <w:rsid w:val="00972067"/>
    <w:rsid w:val="00972810"/>
    <w:rsid w:val="0097332C"/>
    <w:rsid w:val="00973B27"/>
    <w:rsid w:val="009740AD"/>
    <w:rsid w:val="0097484B"/>
    <w:rsid w:val="009749BF"/>
    <w:rsid w:val="00974A51"/>
    <w:rsid w:val="00974AB5"/>
    <w:rsid w:val="00975FE2"/>
    <w:rsid w:val="009768B3"/>
    <w:rsid w:val="00976FA3"/>
    <w:rsid w:val="009773D9"/>
    <w:rsid w:val="0097762F"/>
    <w:rsid w:val="00977B56"/>
    <w:rsid w:val="0098014A"/>
    <w:rsid w:val="00980CC0"/>
    <w:rsid w:val="00980CE6"/>
    <w:rsid w:val="00981454"/>
    <w:rsid w:val="00981EC9"/>
    <w:rsid w:val="00982133"/>
    <w:rsid w:val="00982C98"/>
    <w:rsid w:val="0098306D"/>
    <w:rsid w:val="009835A3"/>
    <w:rsid w:val="009838BB"/>
    <w:rsid w:val="009839DB"/>
    <w:rsid w:val="00983AC3"/>
    <w:rsid w:val="009849EF"/>
    <w:rsid w:val="00984A11"/>
    <w:rsid w:val="00984F50"/>
    <w:rsid w:val="009856DC"/>
    <w:rsid w:val="009858BC"/>
    <w:rsid w:val="00985E0A"/>
    <w:rsid w:val="009861D3"/>
    <w:rsid w:val="0098685C"/>
    <w:rsid w:val="009868C9"/>
    <w:rsid w:val="00986D00"/>
    <w:rsid w:val="0098704F"/>
    <w:rsid w:val="0098706D"/>
    <w:rsid w:val="009874E0"/>
    <w:rsid w:val="00987A3B"/>
    <w:rsid w:val="00987A78"/>
    <w:rsid w:val="009906B3"/>
    <w:rsid w:val="00991053"/>
    <w:rsid w:val="00991279"/>
    <w:rsid w:val="0099183C"/>
    <w:rsid w:val="00991C8F"/>
    <w:rsid w:val="009935FB"/>
    <w:rsid w:val="00993C4E"/>
    <w:rsid w:val="009947A4"/>
    <w:rsid w:val="00995A85"/>
    <w:rsid w:val="00995CD6"/>
    <w:rsid w:val="00996FBB"/>
    <w:rsid w:val="00997427"/>
    <w:rsid w:val="0099791B"/>
    <w:rsid w:val="00997DB6"/>
    <w:rsid w:val="009A0BE3"/>
    <w:rsid w:val="009A1546"/>
    <w:rsid w:val="009A2471"/>
    <w:rsid w:val="009A2A6E"/>
    <w:rsid w:val="009A358A"/>
    <w:rsid w:val="009A3699"/>
    <w:rsid w:val="009A3CB4"/>
    <w:rsid w:val="009A40CB"/>
    <w:rsid w:val="009A48BD"/>
    <w:rsid w:val="009A4937"/>
    <w:rsid w:val="009A5085"/>
    <w:rsid w:val="009A577F"/>
    <w:rsid w:val="009A5A79"/>
    <w:rsid w:val="009A718C"/>
    <w:rsid w:val="009A7FBB"/>
    <w:rsid w:val="009B0512"/>
    <w:rsid w:val="009B08CE"/>
    <w:rsid w:val="009B0DB1"/>
    <w:rsid w:val="009B0EAA"/>
    <w:rsid w:val="009B0F5D"/>
    <w:rsid w:val="009B16DD"/>
    <w:rsid w:val="009B1E44"/>
    <w:rsid w:val="009B23A4"/>
    <w:rsid w:val="009B24A0"/>
    <w:rsid w:val="009B2AE1"/>
    <w:rsid w:val="009B2CD0"/>
    <w:rsid w:val="009B2E29"/>
    <w:rsid w:val="009B3FBE"/>
    <w:rsid w:val="009B47B8"/>
    <w:rsid w:val="009B4EC1"/>
    <w:rsid w:val="009B5B47"/>
    <w:rsid w:val="009B5BF0"/>
    <w:rsid w:val="009B650E"/>
    <w:rsid w:val="009B684E"/>
    <w:rsid w:val="009B6A4D"/>
    <w:rsid w:val="009B719C"/>
    <w:rsid w:val="009C1259"/>
    <w:rsid w:val="009C1F98"/>
    <w:rsid w:val="009C2CDC"/>
    <w:rsid w:val="009C2FE7"/>
    <w:rsid w:val="009C39E9"/>
    <w:rsid w:val="009C43A9"/>
    <w:rsid w:val="009C4611"/>
    <w:rsid w:val="009C4E15"/>
    <w:rsid w:val="009C5517"/>
    <w:rsid w:val="009C5638"/>
    <w:rsid w:val="009C5B8B"/>
    <w:rsid w:val="009C5DF9"/>
    <w:rsid w:val="009C5EF8"/>
    <w:rsid w:val="009C67B3"/>
    <w:rsid w:val="009C7377"/>
    <w:rsid w:val="009C7834"/>
    <w:rsid w:val="009C7C72"/>
    <w:rsid w:val="009C7F0C"/>
    <w:rsid w:val="009C7F5D"/>
    <w:rsid w:val="009D181B"/>
    <w:rsid w:val="009D228A"/>
    <w:rsid w:val="009D26E4"/>
    <w:rsid w:val="009D29B9"/>
    <w:rsid w:val="009D3F90"/>
    <w:rsid w:val="009D42DC"/>
    <w:rsid w:val="009D53AA"/>
    <w:rsid w:val="009D5B19"/>
    <w:rsid w:val="009D75A2"/>
    <w:rsid w:val="009D7E92"/>
    <w:rsid w:val="009E01CC"/>
    <w:rsid w:val="009E040C"/>
    <w:rsid w:val="009E045A"/>
    <w:rsid w:val="009E0E69"/>
    <w:rsid w:val="009E1442"/>
    <w:rsid w:val="009E1760"/>
    <w:rsid w:val="009E1D42"/>
    <w:rsid w:val="009E2C2B"/>
    <w:rsid w:val="009E3519"/>
    <w:rsid w:val="009E3B2E"/>
    <w:rsid w:val="009E3FBC"/>
    <w:rsid w:val="009E5101"/>
    <w:rsid w:val="009E5D0C"/>
    <w:rsid w:val="009E5FE5"/>
    <w:rsid w:val="009E6687"/>
    <w:rsid w:val="009E66DF"/>
    <w:rsid w:val="009E7833"/>
    <w:rsid w:val="009E7D6E"/>
    <w:rsid w:val="009F00F4"/>
    <w:rsid w:val="009F014E"/>
    <w:rsid w:val="009F05C2"/>
    <w:rsid w:val="009F0EA9"/>
    <w:rsid w:val="009F1067"/>
    <w:rsid w:val="009F1422"/>
    <w:rsid w:val="009F1C65"/>
    <w:rsid w:val="009F2008"/>
    <w:rsid w:val="009F27EF"/>
    <w:rsid w:val="009F308B"/>
    <w:rsid w:val="009F3EAA"/>
    <w:rsid w:val="009F4523"/>
    <w:rsid w:val="009F46E8"/>
    <w:rsid w:val="009F4A54"/>
    <w:rsid w:val="009F4BEC"/>
    <w:rsid w:val="009F55E7"/>
    <w:rsid w:val="009F66BE"/>
    <w:rsid w:val="009F77AD"/>
    <w:rsid w:val="00A00412"/>
    <w:rsid w:val="00A0087D"/>
    <w:rsid w:val="00A01227"/>
    <w:rsid w:val="00A02005"/>
    <w:rsid w:val="00A02A35"/>
    <w:rsid w:val="00A035D1"/>
    <w:rsid w:val="00A0383E"/>
    <w:rsid w:val="00A04891"/>
    <w:rsid w:val="00A04BAA"/>
    <w:rsid w:val="00A04D07"/>
    <w:rsid w:val="00A058BC"/>
    <w:rsid w:val="00A05918"/>
    <w:rsid w:val="00A06C9A"/>
    <w:rsid w:val="00A06EBF"/>
    <w:rsid w:val="00A0773B"/>
    <w:rsid w:val="00A10266"/>
    <w:rsid w:val="00A11034"/>
    <w:rsid w:val="00A1129E"/>
    <w:rsid w:val="00A11A8C"/>
    <w:rsid w:val="00A12305"/>
    <w:rsid w:val="00A12B6F"/>
    <w:rsid w:val="00A12BEB"/>
    <w:rsid w:val="00A12F7B"/>
    <w:rsid w:val="00A12FCC"/>
    <w:rsid w:val="00A13243"/>
    <w:rsid w:val="00A13E30"/>
    <w:rsid w:val="00A1540B"/>
    <w:rsid w:val="00A15A77"/>
    <w:rsid w:val="00A15B44"/>
    <w:rsid w:val="00A16106"/>
    <w:rsid w:val="00A16111"/>
    <w:rsid w:val="00A16628"/>
    <w:rsid w:val="00A169CF"/>
    <w:rsid w:val="00A1714D"/>
    <w:rsid w:val="00A20326"/>
    <w:rsid w:val="00A20444"/>
    <w:rsid w:val="00A20616"/>
    <w:rsid w:val="00A20E4C"/>
    <w:rsid w:val="00A21C1A"/>
    <w:rsid w:val="00A253A8"/>
    <w:rsid w:val="00A25FD7"/>
    <w:rsid w:val="00A2614F"/>
    <w:rsid w:val="00A27C03"/>
    <w:rsid w:val="00A27DFA"/>
    <w:rsid w:val="00A27F03"/>
    <w:rsid w:val="00A304F5"/>
    <w:rsid w:val="00A30C52"/>
    <w:rsid w:val="00A31737"/>
    <w:rsid w:val="00A31C48"/>
    <w:rsid w:val="00A32F10"/>
    <w:rsid w:val="00A337E2"/>
    <w:rsid w:val="00A33A56"/>
    <w:rsid w:val="00A33B76"/>
    <w:rsid w:val="00A33E67"/>
    <w:rsid w:val="00A33E9B"/>
    <w:rsid w:val="00A351C4"/>
    <w:rsid w:val="00A3581D"/>
    <w:rsid w:val="00A3618F"/>
    <w:rsid w:val="00A361EC"/>
    <w:rsid w:val="00A36D39"/>
    <w:rsid w:val="00A377D8"/>
    <w:rsid w:val="00A37CE1"/>
    <w:rsid w:val="00A4007F"/>
    <w:rsid w:val="00A40671"/>
    <w:rsid w:val="00A40A32"/>
    <w:rsid w:val="00A410FB"/>
    <w:rsid w:val="00A4385A"/>
    <w:rsid w:val="00A43AFF"/>
    <w:rsid w:val="00A4407F"/>
    <w:rsid w:val="00A44AEF"/>
    <w:rsid w:val="00A452A4"/>
    <w:rsid w:val="00A452D1"/>
    <w:rsid w:val="00A45A18"/>
    <w:rsid w:val="00A45C43"/>
    <w:rsid w:val="00A46251"/>
    <w:rsid w:val="00A46C3E"/>
    <w:rsid w:val="00A47AE3"/>
    <w:rsid w:val="00A50763"/>
    <w:rsid w:val="00A508EB"/>
    <w:rsid w:val="00A511B7"/>
    <w:rsid w:val="00A52666"/>
    <w:rsid w:val="00A53DD8"/>
    <w:rsid w:val="00A54264"/>
    <w:rsid w:val="00A5443C"/>
    <w:rsid w:val="00A54A10"/>
    <w:rsid w:val="00A558C4"/>
    <w:rsid w:val="00A55EE3"/>
    <w:rsid w:val="00A57EF0"/>
    <w:rsid w:val="00A60AF5"/>
    <w:rsid w:val="00A60E96"/>
    <w:rsid w:val="00A61663"/>
    <w:rsid w:val="00A61AAE"/>
    <w:rsid w:val="00A61AE1"/>
    <w:rsid w:val="00A62242"/>
    <w:rsid w:val="00A62A1D"/>
    <w:rsid w:val="00A62B6E"/>
    <w:rsid w:val="00A630EE"/>
    <w:rsid w:val="00A631F2"/>
    <w:rsid w:val="00A63753"/>
    <w:rsid w:val="00A63936"/>
    <w:rsid w:val="00A656DE"/>
    <w:rsid w:val="00A65874"/>
    <w:rsid w:val="00A662D1"/>
    <w:rsid w:val="00A66776"/>
    <w:rsid w:val="00A66989"/>
    <w:rsid w:val="00A66F82"/>
    <w:rsid w:val="00A6732D"/>
    <w:rsid w:val="00A67878"/>
    <w:rsid w:val="00A67918"/>
    <w:rsid w:val="00A7005F"/>
    <w:rsid w:val="00A7042D"/>
    <w:rsid w:val="00A70544"/>
    <w:rsid w:val="00A70A1B"/>
    <w:rsid w:val="00A70ED0"/>
    <w:rsid w:val="00A712C5"/>
    <w:rsid w:val="00A71ACE"/>
    <w:rsid w:val="00A72250"/>
    <w:rsid w:val="00A743FA"/>
    <w:rsid w:val="00A74472"/>
    <w:rsid w:val="00A74774"/>
    <w:rsid w:val="00A74DC3"/>
    <w:rsid w:val="00A75391"/>
    <w:rsid w:val="00A75927"/>
    <w:rsid w:val="00A75C0D"/>
    <w:rsid w:val="00A76023"/>
    <w:rsid w:val="00A76034"/>
    <w:rsid w:val="00A76208"/>
    <w:rsid w:val="00A76EA1"/>
    <w:rsid w:val="00A77273"/>
    <w:rsid w:val="00A77302"/>
    <w:rsid w:val="00A7793A"/>
    <w:rsid w:val="00A77AB5"/>
    <w:rsid w:val="00A77FB0"/>
    <w:rsid w:val="00A77FDE"/>
    <w:rsid w:val="00A81112"/>
    <w:rsid w:val="00A81AC9"/>
    <w:rsid w:val="00A838A1"/>
    <w:rsid w:val="00A83AAF"/>
    <w:rsid w:val="00A8406C"/>
    <w:rsid w:val="00A8433E"/>
    <w:rsid w:val="00A8491D"/>
    <w:rsid w:val="00A84A77"/>
    <w:rsid w:val="00A8593A"/>
    <w:rsid w:val="00A86003"/>
    <w:rsid w:val="00A861EE"/>
    <w:rsid w:val="00A8699C"/>
    <w:rsid w:val="00A86EF0"/>
    <w:rsid w:val="00A871F0"/>
    <w:rsid w:val="00A87373"/>
    <w:rsid w:val="00A87B9B"/>
    <w:rsid w:val="00A87DEC"/>
    <w:rsid w:val="00A9003C"/>
    <w:rsid w:val="00A909B9"/>
    <w:rsid w:val="00A90EEB"/>
    <w:rsid w:val="00A913E7"/>
    <w:rsid w:val="00A913F2"/>
    <w:rsid w:val="00A91462"/>
    <w:rsid w:val="00A9179E"/>
    <w:rsid w:val="00A917C2"/>
    <w:rsid w:val="00A9395A"/>
    <w:rsid w:val="00A93D5C"/>
    <w:rsid w:val="00A94166"/>
    <w:rsid w:val="00A94392"/>
    <w:rsid w:val="00A94D54"/>
    <w:rsid w:val="00A963D2"/>
    <w:rsid w:val="00A970DD"/>
    <w:rsid w:val="00A97364"/>
    <w:rsid w:val="00A974B6"/>
    <w:rsid w:val="00A97A28"/>
    <w:rsid w:val="00AA0A5C"/>
    <w:rsid w:val="00AA1586"/>
    <w:rsid w:val="00AA1657"/>
    <w:rsid w:val="00AA1F72"/>
    <w:rsid w:val="00AA258A"/>
    <w:rsid w:val="00AA2AF6"/>
    <w:rsid w:val="00AA386A"/>
    <w:rsid w:val="00AA3BE6"/>
    <w:rsid w:val="00AA4CC7"/>
    <w:rsid w:val="00AA4FBB"/>
    <w:rsid w:val="00AA555B"/>
    <w:rsid w:val="00AA5B59"/>
    <w:rsid w:val="00AA5BDF"/>
    <w:rsid w:val="00AA5E8E"/>
    <w:rsid w:val="00AA608C"/>
    <w:rsid w:val="00AA6264"/>
    <w:rsid w:val="00AA6F1B"/>
    <w:rsid w:val="00AA74BE"/>
    <w:rsid w:val="00AA75CA"/>
    <w:rsid w:val="00AB07C8"/>
    <w:rsid w:val="00AB07EB"/>
    <w:rsid w:val="00AB0E1B"/>
    <w:rsid w:val="00AB103D"/>
    <w:rsid w:val="00AB1601"/>
    <w:rsid w:val="00AB1DEF"/>
    <w:rsid w:val="00AB1EFA"/>
    <w:rsid w:val="00AB2597"/>
    <w:rsid w:val="00AB2B39"/>
    <w:rsid w:val="00AB2FA7"/>
    <w:rsid w:val="00AB43D6"/>
    <w:rsid w:val="00AB4443"/>
    <w:rsid w:val="00AB4D00"/>
    <w:rsid w:val="00AB580D"/>
    <w:rsid w:val="00AB5929"/>
    <w:rsid w:val="00AB6147"/>
    <w:rsid w:val="00AB6CA7"/>
    <w:rsid w:val="00AB77DB"/>
    <w:rsid w:val="00AB7B39"/>
    <w:rsid w:val="00AC08F0"/>
    <w:rsid w:val="00AC0A76"/>
    <w:rsid w:val="00AC2065"/>
    <w:rsid w:val="00AC2827"/>
    <w:rsid w:val="00AC2CDE"/>
    <w:rsid w:val="00AC3500"/>
    <w:rsid w:val="00AC3523"/>
    <w:rsid w:val="00AC4338"/>
    <w:rsid w:val="00AC5633"/>
    <w:rsid w:val="00AC582F"/>
    <w:rsid w:val="00AC7C41"/>
    <w:rsid w:val="00AD01E4"/>
    <w:rsid w:val="00AD0858"/>
    <w:rsid w:val="00AD1077"/>
    <w:rsid w:val="00AD14A1"/>
    <w:rsid w:val="00AD17DB"/>
    <w:rsid w:val="00AD1A5B"/>
    <w:rsid w:val="00AD1B36"/>
    <w:rsid w:val="00AD318F"/>
    <w:rsid w:val="00AD3F7E"/>
    <w:rsid w:val="00AD4E76"/>
    <w:rsid w:val="00AD4F16"/>
    <w:rsid w:val="00AD50FF"/>
    <w:rsid w:val="00AD587E"/>
    <w:rsid w:val="00AD6AEC"/>
    <w:rsid w:val="00AD6D52"/>
    <w:rsid w:val="00AD701D"/>
    <w:rsid w:val="00AD71C2"/>
    <w:rsid w:val="00AD7F9E"/>
    <w:rsid w:val="00AE0FB8"/>
    <w:rsid w:val="00AE1220"/>
    <w:rsid w:val="00AE1487"/>
    <w:rsid w:val="00AE1FDC"/>
    <w:rsid w:val="00AE2B23"/>
    <w:rsid w:val="00AE32AC"/>
    <w:rsid w:val="00AE389E"/>
    <w:rsid w:val="00AE4CB4"/>
    <w:rsid w:val="00AE6237"/>
    <w:rsid w:val="00AE68DF"/>
    <w:rsid w:val="00AE6A0A"/>
    <w:rsid w:val="00AE6D42"/>
    <w:rsid w:val="00AE6E4A"/>
    <w:rsid w:val="00AE71B0"/>
    <w:rsid w:val="00AE7340"/>
    <w:rsid w:val="00AE739C"/>
    <w:rsid w:val="00AE7D23"/>
    <w:rsid w:val="00AF1BBD"/>
    <w:rsid w:val="00AF274E"/>
    <w:rsid w:val="00AF2DAB"/>
    <w:rsid w:val="00AF3067"/>
    <w:rsid w:val="00AF4340"/>
    <w:rsid w:val="00AF5197"/>
    <w:rsid w:val="00AF6726"/>
    <w:rsid w:val="00AF6CA1"/>
    <w:rsid w:val="00AF6D23"/>
    <w:rsid w:val="00AF6FF3"/>
    <w:rsid w:val="00AF7658"/>
    <w:rsid w:val="00AF7767"/>
    <w:rsid w:val="00B00376"/>
    <w:rsid w:val="00B006A8"/>
    <w:rsid w:val="00B00922"/>
    <w:rsid w:val="00B00B58"/>
    <w:rsid w:val="00B00BF0"/>
    <w:rsid w:val="00B00EAC"/>
    <w:rsid w:val="00B0176E"/>
    <w:rsid w:val="00B01E05"/>
    <w:rsid w:val="00B0295C"/>
    <w:rsid w:val="00B0307F"/>
    <w:rsid w:val="00B0373C"/>
    <w:rsid w:val="00B03A3A"/>
    <w:rsid w:val="00B04B7C"/>
    <w:rsid w:val="00B04E55"/>
    <w:rsid w:val="00B05A1D"/>
    <w:rsid w:val="00B05BEA"/>
    <w:rsid w:val="00B05E5B"/>
    <w:rsid w:val="00B0677C"/>
    <w:rsid w:val="00B06798"/>
    <w:rsid w:val="00B07649"/>
    <w:rsid w:val="00B07E5C"/>
    <w:rsid w:val="00B07E93"/>
    <w:rsid w:val="00B07E9B"/>
    <w:rsid w:val="00B10207"/>
    <w:rsid w:val="00B107E0"/>
    <w:rsid w:val="00B10CE6"/>
    <w:rsid w:val="00B10DCE"/>
    <w:rsid w:val="00B10E9A"/>
    <w:rsid w:val="00B11B92"/>
    <w:rsid w:val="00B11CE0"/>
    <w:rsid w:val="00B11E0C"/>
    <w:rsid w:val="00B120D4"/>
    <w:rsid w:val="00B12C8C"/>
    <w:rsid w:val="00B12D02"/>
    <w:rsid w:val="00B12EB8"/>
    <w:rsid w:val="00B12F4E"/>
    <w:rsid w:val="00B13C5C"/>
    <w:rsid w:val="00B141E7"/>
    <w:rsid w:val="00B14556"/>
    <w:rsid w:val="00B14F80"/>
    <w:rsid w:val="00B16BAF"/>
    <w:rsid w:val="00B20589"/>
    <w:rsid w:val="00B21ABC"/>
    <w:rsid w:val="00B21DAA"/>
    <w:rsid w:val="00B23645"/>
    <w:rsid w:val="00B23F04"/>
    <w:rsid w:val="00B2568B"/>
    <w:rsid w:val="00B25747"/>
    <w:rsid w:val="00B25B45"/>
    <w:rsid w:val="00B264B5"/>
    <w:rsid w:val="00B26FBE"/>
    <w:rsid w:val="00B27123"/>
    <w:rsid w:val="00B3058B"/>
    <w:rsid w:val="00B32148"/>
    <w:rsid w:val="00B32EB3"/>
    <w:rsid w:val="00B330AC"/>
    <w:rsid w:val="00B33AEF"/>
    <w:rsid w:val="00B34AE0"/>
    <w:rsid w:val="00B351B4"/>
    <w:rsid w:val="00B3577F"/>
    <w:rsid w:val="00B362BF"/>
    <w:rsid w:val="00B365ED"/>
    <w:rsid w:val="00B37429"/>
    <w:rsid w:val="00B37CF6"/>
    <w:rsid w:val="00B37F7E"/>
    <w:rsid w:val="00B403A3"/>
    <w:rsid w:val="00B414C3"/>
    <w:rsid w:val="00B416D3"/>
    <w:rsid w:val="00B4190E"/>
    <w:rsid w:val="00B41DD4"/>
    <w:rsid w:val="00B42776"/>
    <w:rsid w:val="00B42959"/>
    <w:rsid w:val="00B44EED"/>
    <w:rsid w:val="00B44F73"/>
    <w:rsid w:val="00B454C6"/>
    <w:rsid w:val="00B456AC"/>
    <w:rsid w:val="00B4596C"/>
    <w:rsid w:val="00B467FA"/>
    <w:rsid w:val="00B46BCA"/>
    <w:rsid w:val="00B46BD6"/>
    <w:rsid w:val="00B46F87"/>
    <w:rsid w:val="00B472BF"/>
    <w:rsid w:val="00B478A0"/>
    <w:rsid w:val="00B50148"/>
    <w:rsid w:val="00B5058C"/>
    <w:rsid w:val="00B50591"/>
    <w:rsid w:val="00B50F14"/>
    <w:rsid w:val="00B510DE"/>
    <w:rsid w:val="00B51F50"/>
    <w:rsid w:val="00B52612"/>
    <w:rsid w:val="00B52B6B"/>
    <w:rsid w:val="00B53767"/>
    <w:rsid w:val="00B53D86"/>
    <w:rsid w:val="00B54206"/>
    <w:rsid w:val="00B54919"/>
    <w:rsid w:val="00B54F96"/>
    <w:rsid w:val="00B55F6D"/>
    <w:rsid w:val="00B579BE"/>
    <w:rsid w:val="00B57BC4"/>
    <w:rsid w:val="00B608E3"/>
    <w:rsid w:val="00B60EE3"/>
    <w:rsid w:val="00B61525"/>
    <w:rsid w:val="00B616F2"/>
    <w:rsid w:val="00B61C8B"/>
    <w:rsid w:val="00B61ED0"/>
    <w:rsid w:val="00B62EDD"/>
    <w:rsid w:val="00B65858"/>
    <w:rsid w:val="00B65917"/>
    <w:rsid w:val="00B661C6"/>
    <w:rsid w:val="00B7004F"/>
    <w:rsid w:val="00B70231"/>
    <w:rsid w:val="00B70355"/>
    <w:rsid w:val="00B71387"/>
    <w:rsid w:val="00B714F5"/>
    <w:rsid w:val="00B72053"/>
    <w:rsid w:val="00B72B2D"/>
    <w:rsid w:val="00B73087"/>
    <w:rsid w:val="00B7387A"/>
    <w:rsid w:val="00B739EB"/>
    <w:rsid w:val="00B74422"/>
    <w:rsid w:val="00B744B4"/>
    <w:rsid w:val="00B746A5"/>
    <w:rsid w:val="00B74C67"/>
    <w:rsid w:val="00B753E5"/>
    <w:rsid w:val="00B7562D"/>
    <w:rsid w:val="00B76279"/>
    <w:rsid w:val="00B80276"/>
    <w:rsid w:val="00B8074B"/>
    <w:rsid w:val="00B8115C"/>
    <w:rsid w:val="00B8164C"/>
    <w:rsid w:val="00B81769"/>
    <w:rsid w:val="00B81D9F"/>
    <w:rsid w:val="00B82452"/>
    <w:rsid w:val="00B84135"/>
    <w:rsid w:val="00B84636"/>
    <w:rsid w:val="00B84EF1"/>
    <w:rsid w:val="00B852BE"/>
    <w:rsid w:val="00B85376"/>
    <w:rsid w:val="00B856FB"/>
    <w:rsid w:val="00B859DD"/>
    <w:rsid w:val="00B863FA"/>
    <w:rsid w:val="00B87806"/>
    <w:rsid w:val="00B879C6"/>
    <w:rsid w:val="00B87BC1"/>
    <w:rsid w:val="00B87EC9"/>
    <w:rsid w:val="00B90564"/>
    <w:rsid w:val="00B90904"/>
    <w:rsid w:val="00B90936"/>
    <w:rsid w:val="00B9156A"/>
    <w:rsid w:val="00B9176F"/>
    <w:rsid w:val="00B91BD8"/>
    <w:rsid w:val="00B91FCC"/>
    <w:rsid w:val="00B92352"/>
    <w:rsid w:val="00B9253E"/>
    <w:rsid w:val="00B930DE"/>
    <w:rsid w:val="00B9313E"/>
    <w:rsid w:val="00B93474"/>
    <w:rsid w:val="00B938FD"/>
    <w:rsid w:val="00B9393F"/>
    <w:rsid w:val="00B93CCC"/>
    <w:rsid w:val="00B94475"/>
    <w:rsid w:val="00B94561"/>
    <w:rsid w:val="00B94A56"/>
    <w:rsid w:val="00B94A92"/>
    <w:rsid w:val="00B94D02"/>
    <w:rsid w:val="00B94F9D"/>
    <w:rsid w:val="00B953F3"/>
    <w:rsid w:val="00B96A5E"/>
    <w:rsid w:val="00B96BE0"/>
    <w:rsid w:val="00B970F9"/>
    <w:rsid w:val="00B9739D"/>
    <w:rsid w:val="00B97FD3"/>
    <w:rsid w:val="00BA0415"/>
    <w:rsid w:val="00BA1A50"/>
    <w:rsid w:val="00BA1CF6"/>
    <w:rsid w:val="00BA37EF"/>
    <w:rsid w:val="00BA652B"/>
    <w:rsid w:val="00BA6AC6"/>
    <w:rsid w:val="00BA6B17"/>
    <w:rsid w:val="00BA7371"/>
    <w:rsid w:val="00BA794F"/>
    <w:rsid w:val="00BB0D0D"/>
    <w:rsid w:val="00BB14C5"/>
    <w:rsid w:val="00BB240E"/>
    <w:rsid w:val="00BB2AF2"/>
    <w:rsid w:val="00BB4DA1"/>
    <w:rsid w:val="00BC01CB"/>
    <w:rsid w:val="00BC04AE"/>
    <w:rsid w:val="00BC0C38"/>
    <w:rsid w:val="00BC1012"/>
    <w:rsid w:val="00BC1A23"/>
    <w:rsid w:val="00BC1BDF"/>
    <w:rsid w:val="00BC37CC"/>
    <w:rsid w:val="00BC389C"/>
    <w:rsid w:val="00BC38FD"/>
    <w:rsid w:val="00BC4C2F"/>
    <w:rsid w:val="00BC4F60"/>
    <w:rsid w:val="00BC5C8E"/>
    <w:rsid w:val="00BC6374"/>
    <w:rsid w:val="00BC789D"/>
    <w:rsid w:val="00BD08B5"/>
    <w:rsid w:val="00BD10CF"/>
    <w:rsid w:val="00BD17B8"/>
    <w:rsid w:val="00BD2615"/>
    <w:rsid w:val="00BD338B"/>
    <w:rsid w:val="00BD58E3"/>
    <w:rsid w:val="00BD5E99"/>
    <w:rsid w:val="00BD60BA"/>
    <w:rsid w:val="00BD692E"/>
    <w:rsid w:val="00BD736A"/>
    <w:rsid w:val="00BE10E0"/>
    <w:rsid w:val="00BE1884"/>
    <w:rsid w:val="00BE2258"/>
    <w:rsid w:val="00BE22ED"/>
    <w:rsid w:val="00BE2E74"/>
    <w:rsid w:val="00BE312F"/>
    <w:rsid w:val="00BE3AA2"/>
    <w:rsid w:val="00BE3F19"/>
    <w:rsid w:val="00BE4AC7"/>
    <w:rsid w:val="00BE511C"/>
    <w:rsid w:val="00BE5F03"/>
    <w:rsid w:val="00BE6CB2"/>
    <w:rsid w:val="00BF18EE"/>
    <w:rsid w:val="00BF2A3A"/>
    <w:rsid w:val="00BF38C0"/>
    <w:rsid w:val="00BF3B8F"/>
    <w:rsid w:val="00BF413D"/>
    <w:rsid w:val="00BF4A84"/>
    <w:rsid w:val="00BF4AF3"/>
    <w:rsid w:val="00BF4F5B"/>
    <w:rsid w:val="00BF5537"/>
    <w:rsid w:val="00BF55C7"/>
    <w:rsid w:val="00BF5C18"/>
    <w:rsid w:val="00BF6325"/>
    <w:rsid w:val="00BF6462"/>
    <w:rsid w:val="00BF691B"/>
    <w:rsid w:val="00C001BC"/>
    <w:rsid w:val="00C0052D"/>
    <w:rsid w:val="00C01296"/>
    <w:rsid w:val="00C01681"/>
    <w:rsid w:val="00C016B3"/>
    <w:rsid w:val="00C0242F"/>
    <w:rsid w:val="00C02F15"/>
    <w:rsid w:val="00C034CB"/>
    <w:rsid w:val="00C0380F"/>
    <w:rsid w:val="00C05140"/>
    <w:rsid w:val="00C051A8"/>
    <w:rsid w:val="00C05360"/>
    <w:rsid w:val="00C054BC"/>
    <w:rsid w:val="00C0562E"/>
    <w:rsid w:val="00C05B13"/>
    <w:rsid w:val="00C063DA"/>
    <w:rsid w:val="00C067D9"/>
    <w:rsid w:val="00C068B4"/>
    <w:rsid w:val="00C06AD9"/>
    <w:rsid w:val="00C072D4"/>
    <w:rsid w:val="00C0737F"/>
    <w:rsid w:val="00C07B5B"/>
    <w:rsid w:val="00C104A6"/>
    <w:rsid w:val="00C10580"/>
    <w:rsid w:val="00C10AEA"/>
    <w:rsid w:val="00C12451"/>
    <w:rsid w:val="00C13329"/>
    <w:rsid w:val="00C152DE"/>
    <w:rsid w:val="00C15AD7"/>
    <w:rsid w:val="00C15D4A"/>
    <w:rsid w:val="00C164EF"/>
    <w:rsid w:val="00C16E34"/>
    <w:rsid w:val="00C16EC7"/>
    <w:rsid w:val="00C16F07"/>
    <w:rsid w:val="00C17105"/>
    <w:rsid w:val="00C17185"/>
    <w:rsid w:val="00C1718C"/>
    <w:rsid w:val="00C17897"/>
    <w:rsid w:val="00C1799A"/>
    <w:rsid w:val="00C20575"/>
    <w:rsid w:val="00C20F02"/>
    <w:rsid w:val="00C21984"/>
    <w:rsid w:val="00C21D42"/>
    <w:rsid w:val="00C22623"/>
    <w:rsid w:val="00C22939"/>
    <w:rsid w:val="00C24409"/>
    <w:rsid w:val="00C248DA"/>
    <w:rsid w:val="00C25325"/>
    <w:rsid w:val="00C254DA"/>
    <w:rsid w:val="00C255BD"/>
    <w:rsid w:val="00C259B6"/>
    <w:rsid w:val="00C25EEE"/>
    <w:rsid w:val="00C260F1"/>
    <w:rsid w:val="00C30416"/>
    <w:rsid w:val="00C30A4D"/>
    <w:rsid w:val="00C320BC"/>
    <w:rsid w:val="00C328B9"/>
    <w:rsid w:val="00C32B9C"/>
    <w:rsid w:val="00C335F6"/>
    <w:rsid w:val="00C33CEE"/>
    <w:rsid w:val="00C340A7"/>
    <w:rsid w:val="00C34945"/>
    <w:rsid w:val="00C3532F"/>
    <w:rsid w:val="00C35531"/>
    <w:rsid w:val="00C35EAD"/>
    <w:rsid w:val="00C35FD7"/>
    <w:rsid w:val="00C36AC7"/>
    <w:rsid w:val="00C37827"/>
    <w:rsid w:val="00C37DCE"/>
    <w:rsid w:val="00C40098"/>
    <w:rsid w:val="00C409D5"/>
    <w:rsid w:val="00C419C4"/>
    <w:rsid w:val="00C422B7"/>
    <w:rsid w:val="00C43538"/>
    <w:rsid w:val="00C435C3"/>
    <w:rsid w:val="00C43DEE"/>
    <w:rsid w:val="00C43E46"/>
    <w:rsid w:val="00C43FB3"/>
    <w:rsid w:val="00C454D2"/>
    <w:rsid w:val="00C4564A"/>
    <w:rsid w:val="00C4593E"/>
    <w:rsid w:val="00C45C07"/>
    <w:rsid w:val="00C45C1D"/>
    <w:rsid w:val="00C461F9"/>
    <w:rsid w:val="00C46D54"/>
    <w:rsid w:val="00C46D70"/>
    <w:rsid w:val="00C47123"/>
    <w:rsid w:val="00C4799E"/>
    <w:rsid w:val="00C47AAC"/>
    <w:rsid w:val="00C47E68"/>
    <w:rsid w:val="00C47EB1"/>
    <w:rsid w:val="00C503C9"/>
    <w:rsid w:val="00C504F0"/>
    <w:rsid w:val="00C505AE"/>
    <w:rsid w:val="00C50C61"/>
    <w:rsid w:val="00C50CB6"/>
    <w:rsid w:val="00C51339"/>
    <w:rsid w:val="00C51C0F"/>
    <w:rsid w:val="00C51F22"/>
    <w:rsid w:val="00C521D6"/>
    <w:rsid w:val="00C52731"/>
    <w:rsid w:val="00C53ACA"/>
    <w:rsid w:val="00C53CD9"/>
    <w:rsid w:val="00C5513B"/>
    <w:rsid w:val="00C55A70"/>
    <w:rsid w:val="00C56429"/>
    <w:rsid w:val="00C5651E"/>
    <w:rsid w:val="00C56625"/>
    <w:rsid w:val="00C5685E"/>
    <w:rsid w:val="00C57545"/>
    <w:rsid w:val="00C578BA"/>
    <w:rsid w:val="00C57F24"/>
    <w:rsid w:val="00C610E4"/>
    <w:rsid w:val="00C61528"/>
    <w:rsid w:val="00C61EFC"/>
    <w:rsid w:val="00C6234B"/>
    <w:rsid w:val="00C62896"/>
    <w:rsid w:val="00C62FA9"/>
    <w:rsid w:val="00C63295"/>
    <w:rsid w:val="00C63554"/>
    <w:rsid w:val="00C63D2B"/>
    <w:rsid w:val="00C63EAE"/>
    <w:rsid w:val="00C64B34"/>
    <w:rsid w:val="00C64EBD"/>
    <w:rsid w:val="00C6530D"/>
    <w:rsid w:val="00C65F90"/>
    <w:rsid w:val="00C66102"/>
    <w:rsid w:val="00C66288"/>
    <w:rsid w:val="00C669A5"/>
    <w:rsid w:val="00C66EF2"/>
    <w:rsid w:val="00C67449"/>
    <w:rsid w:val="00C70CED"/>
    <w:rsid w:val="00C71119"/>
    <w:rsid w:val="00C7177D"/>
    <w:rsid w:val="00C71CD7"/>
    <w:rsid w:val="00C722B7"/>
    <w:rsid w:val="00C738B6"/>
    <w:rsid w:val="00C73F70"/>
    <w:rsid w:val="00C73FE9"/>
    <w:rsid w:val="00C74A6C"/>
    <w:rsid w:val="00C74CD6"/>
    <w:rsid w:val="00C752B7"/>
    <w:rsid w:val="00C756B3"/>
    <w:rsid w:val="00C75884"/>
    <w:rsid w:val="00C7593E"/>
    <w:rsid w:val="00C75964"/>
    <w:rsid w:val="00C75DB5"/>
    <w:rsid w:val="00C7629F"/>
    <w:rsid w:val="00C76C96"/>
    <w:rsid w:val="00C7740C"/>
    <w:rsid w:val="00C77E93"/>
    <w:rsid w:val="00C77FEE"/>
    <w:rsid w:val="00C80845"/>
    <w:rsid w:val="00C80A9C"/>
    <w:rsid w:val="00C80EC1"/>
    <w:rsid w:val="00C812E4"/>
    <w:rsid w:val="00C81674"/>
    <w:rsid w:val="00C81A85"/>
    <w:rsid w:val="00C81E60"/>
    <w:rsid w:val="00C834FD"/>
    <w:rsid w:val="00C83648"/>
    <w:rsid w:val="00C83E38"/>
    <w:rsid w:val="00C84B6F"/>
    <w:rsid w:val="00C865D4"/>
    <w:rsid w:val="00C8661B"/>
    <w:rsid w:val="00C86A6F"/>
    <w:rsid w:val="00C8734F"/>
    <w:rsid w:val="00C87698"/>
    <w:rsid w:val="00C87C0D"/>
    <w:rsid w:val="00C87C2A"/>
    <w:rsid w:val="00C911C3"/>
    <w:rsid w:val="00C91AD0"/>
    <w:rsid w:val="00C9275E"/>
    <w:rsid w:val="00C92948"/>
    <w:rsid w:val="00C92BC5"/>
    <w:rsid w:val="00C9410E"/>
    <w:rsid w:val="00C9430C"/>
    <w:rsid w:val="00C953A8"/>
    <w:rsid w:val="00C957F6"/>
    <w:rsid w:val="00C95B62"/>
    <w:rsid w:val="00CA01A4"/>
    <w:rsid w:val="00CA0A6E"/>
    <w:rsid w:val="00CA0C9B"/>
    <w:rsid w:val="00CA1286"/>
    <w:rsid w:val="00CA1334"/>
    <w:rsid w:val="00CA139A"/>
    <w:rsid w:val="00CA17F1"/>
    <w:rsid w:val="00CA1D72"/>
    <w:rsid w:val="00CA256C"/>
    <w:rsid w:val="00CA2899"/>
    <w:rsid w:val="00CA3046"/>
    <w:rsid w:val="00CA30FF"/>
    <w:rsid w:val="00CA3782"/>
    <w:rsid w:val="00CA3A3D"/>
    <w:rsid w:val="00CA3CBA"/>
    <w:rsid w:val="00CA49F0"/>
    <w:rsid w:val="00CA4AD9"/>
    <w:rsid w:val="00CA549C"/>
    <w:rsid w:val="00CA572E"/>
    <w:rsid w:val="00CA5807"/>
    <w:rsid w:val="00CA58B9"/>
    <w:rsid w:val="00CA5EF6"/>
    <w:rsid w:val="00CA65DA"/>
    <w:rsid w:val="00CA6FEA"/>
    <w:rsid w:val="00CA70C6"/>
    <w:rsid w:val="00CA7274"/>
    <w:rsid w:val="00CA77FB"/>
    <w:rsid w:val="00CB0726"/>
    <w:rsid w:val="00CB090E"/>
    <w:rsid w:val="00CB1150"/>
    <w:rsid w:val="00CB15BC"/>
    <w:rsid w:val="00CB1869"/>
    <w:rsid w:val="00CB1903"/>
    <w:rsid w:val="00CB1FCC"/>
    <w:rsid w:val="00CB2566"/>
    <w:rsid w:val="00CB2692"/>
    <w:rsid w:val="00CB2BC5"/>
    <w:rsid w:val="00CB2BDB"/>
    <w:rsid w:val="00CB2C9C"/>
    <w:rsid w:val="00CB379B"/>
    <w:rsid w:val="00CB3EE2"/>
    <w:rsid w:val="00CB3F1C"/>
    <w:rsid w:val="00CB4632"/>
    <w:rsid w:val="00CB4DEA"/>
    <w:rsid w:val="00CB5DD0"/>
    <w:rsid w:val="00CB66D6"/>
    <w:rsid w:val="00CB680C"/>
    <w:rsid w:val="00CB6E0E"/>
    <w:rsid w:val="00CC0027"/>
    <w:rsid w:val="00CC0FAA"/>
    <w:rsid w:val="00CC1256"/>
    <w:rsid w:val="00CC1CF9"/>
    <w:rsid w:val="00CC31F9"/>
    <w:rsid w:val="00CC373A"/>
    <w:rsid w:val="00CC457E"/>
    <w:rsid w:val="00CC497B"/>
    <w:rsid w:val="00CC51D4"/>
    <w:rsid w:val="00CC5275"/>
    <w:rsid w:val="00CC5834"/>
    <w:rsid w:val="00CC598E"/>
    <w:rsid w:val="00CC5FAC"/>
    <w:rsid w:val="00CC6296"/>
    <w:rsid w:val="00CC65DA"/>
    <w:rsid w:val="00CC688E"/>
    <w:rsid w:val="00CC6DF7"/>
    <w:rsid w:val="00CC735A"/>
    <w:rsid w:val="00CC7FA1"/>
    <w:rsid w:val="00CD0813"/>
    <w:rsid w:val="00CD0F38"/>
    <w:rsid w:val="00CD16F9"/>
    <w:rsid w:val="00CD17D5"/>
    <w:rsid w:val="00CD1B1B"/>
    <w:rsid w:val="00CD1C22"/>
    <w:rsid w:val="00CD1F4E"/>
    <w:rsid w:val="00CD237A"/>
    <w:rsid w:val="00CD32B1"/>
    <w:rsid w:val="00CD36CE"/>
    <w:rsid w:val="00CD3F6A"/>
    <w:rsid w:val="00CD403F"/>
    <w:rsid w:val="00CD51E4"/>
    <w:rsid w:val="00CD5508"/>
    <w:rsid w:val="00CD56FC"/>
    <w:rsid w:val="00CD5DB7"/>
    <w:rsid w:val="00CD5F81"/>
    <w:rsid w:val="00CD6E3D"/>
    <w:rsid w:val="00CD7251"/>
    <w:rsid w:val="00CE03C4"/>
    <w:rsid w:val="00CE06ED"/>
    <w:rsid w:val="00CE11D2"/>
    <w:rsid w:val="00CE1445"/>
    <w:rsid w:val="00CE1D36"/>
    <w:rsid w:val="00CE2499"/>
    <w:rsid w:val="00CE25D2"/>
    <w:rsid w:val="00CE3133"/>
    <w:rsid w:val="00CE40A5"/>
    <w:rsid w:val="00CE4778"/>
    <w:rsid w:val="00CE496B"/>
    <w:rsid w:val="00CE4F14"/>
    <w:rsid w:val="00CE542C"/>
    <w:rsid w:val="00CE5BA5"/>
    <w:rsid w:val="00CE608F"/>
    <w:rsid w:val="00CE60AC"/>
    <w:rsid w:val="00CE6804"/>
    <w:rsid w:val="00CE6AA8"/>
    <w:rsid w:val="00CE6E2C"/>
    <w:rsid w:val="00CE6EA8"/>
    <w:rsid w:val="00CE6FB0"/>
    <w:rsid w:val="00CE7538"/>
    <w:rsid w:val="00CE7AFA"/>
    <w:rsid w:val="00CE7CF8"/>
    <w:rsid w:val="00CE7E19"/>
    <w:rsid w:val="00CF03F3"/>
    <w:rsid w:val="00CF0C8D"/>
    <w:rsid w:val="00CF0FA6"/>
    <w:rsid w:val="00CF1707"/>
    <w:rsid w:val="00CF1D62"/>
    <w:rsid w:val="00CF1E56"/>
    <w:rsid w:val="00CF210F"/>
    <w:rsid w:val="00CF21B9"/>
    <w:rsid w:val="00CF23BD"/>
    <w:rsid w:val="00CF29D9"/>
    <w:rsid w:val="00CF2F4F"/>
    <w:rsid w:val="00CF2FA3"/>
    <w:rsid w:val="00CF4C8F"/>
    <w:rsid w:val="00CF502D"/>
    <w:rsid w:val="00CF524F"/>
    <w:rsid w:val="00CF6069"/>
    <w:rsid w:val="00CF64F0"/>
    <w:rsid w:val="00CF6BF9"/>
    <w:rsid w:val="00D00B94"/>
    <w:rsid w:val="00D0106E"/>
    <w:rsid w:val="00D018F0"/>
    <w:rsid w:val="00D019B7"/>
    <w:rsid w:val="00D01DB5"/>
    <w:rsid w:val="00D033DD"/>
    <w:rsid w:val="00D03800"/>
    <w:rsid w:val="00D0404E"/>
    <w:rsid w:val="00D041E4"/>
    <w:rsid w:val="00D04712"/>
    <w:rsid w:val="00D04822"/>
    <w:rsid w:val="00D050C7"/>
    <w:rsid w:val="00D06264"/>
    <w:rsid w:val="00D065D3"/>
    <w:rsid w:val="00D06DD6"/>
    <w:rsid w:val="00D076D6"/>
    <w:rsid w:val="00D07BE3"/>
    <w:rsid w:val="00D10A6F"/>
    <w:rsid w:val="00D10E88"/>
    <w:rsid w:val="00D11BA0"/>
    <w:rsid w:val="00D11BCD"/>
    <w:rsid w:val="00D135FB"/>
    <w:rsid w:val="00D13F0F"/>
    <w:rsid w:val="00D14C94"/>
    <w:rsid w:val="00D150D8"/>
    <w:rsid w:val="00D15A13"/>
    <w:rsid w:val="00D15B8D"/>
    <w:rsid w:val="00D21151"/>
    <w:rsid w:val="00D21295"/>
    <w:rsid w:val="00D21AA4"/>
    <w:rsid w:val="00D224D3"/>
    <w:rsid w:val="00D2288E"/>
    <w:rsid w:val="00D2315D"/>
    <w:rsid w:val="00D23CEA"/>
    <w:rsid w:val="00D23D87"/>
    <w:rsid w:val="00D25453"/>
    <w:rsid w:val="00D25962"/>
    <w:rsid w:val="00D25D64"/>
    <w:rsid w:val="00D26388"/>
    <w:rsid w:val="00D2674B"/>
    <w:rsid w:val="00D26CBF"/>
    <w:rsid w:val="00D30136"/>
    <w:rsid w:val="00D30326"/>
    <w:rsid w:val="00D312DE"/>
    <w:rsid w:val="00D3132E"/>
    <w:rsid w:val="00D31ACF"/>
    <w:rsid w:val="00D31CDE"/>
    <w:rsid w:val="00D323AA"/>
    <w:rsid w:val="00D330CC"/>
    <w:rsid w:val="00D330DB"/>
    <w:rsid w:val="00D342A6"/>
    <w:rsid w:val="00D34465"/>
    <w:rsid w:val="00D34B67"/>
    <w:rsid w:val="00D352C5"/>
    <w:rsid w:val="00D36F17"/>
    <w:rsid w:val="00D372A4"/>
    <w:rsid w:val="00D3759C"/>
    <w:rsid w:val="00D37CBB"/>
    <w:rsid w:val="00D40739"/>
    <w:rsid w:val="00D418EA"/>
    <w:rsid w:val="00D419E0"/>
    <w:rsid w:val="00D424D5"/>
    <w:rsid w:val="00D435DF"/>
    <w:rsid w:val="00D4363E"/>
    <w:rsid w:val="00D444EF"/>
    <w:rsid w:val="00D45361"/>
    <w:rsid w:val="00D4560F"/>
    <w:rsid w:val="00D45783"/>
    <w:rsid w:val="00D45C90"/>
    <w:rsid w:val="00D464BF"/>
    <w:rsid w:val="00D47B51"/>
    <w:rsid w:val="00D47F76"/>
    <w:rsid w:val="00D50184"/>
    <w:rsid w:val="00D50480"/>
    <w:rsid w:val="00D50999"/>
    <w:rsid w:val="00D51238"/>
    <w:rsid w:val="00D5176D"/>
    <w:rsid w:val="00D520CB"/>
    <w:rsid w:val="00D524A1"/>
    <w:rsid w:val="00D52C8C"/>
    <w:rsid w:val="00D531BE"/>
    <w:rsid w:val="00D538BA"/>
    <w:rsid w:val="00D53E26"/>
    <w:rsid w:val="00D54DAE"/>
    <w:rsid w:val="00D54F80"/>
    <w:rsid w:val="00D551B8"/>
    <w:rsid w:val="00D5524B"/>
    <w:rsid w:val="00D56179"/>
    <w:rsid w:val="00D563AD"/>
    <w:rsid w:val="00D56A72"/>
    <w:rsid w:val="00D56E81"/>
    <w:rsid w:val="00D571B7"/>
    <w:rsid w:val="00D57299"/>
    <w:rsid w:val="00D57BB1"/>
    <w:rsid w:val="00D57C3F"/>
    <w:rsid w:val="00D60177"/>
    <w:rsid w:val="00D60731"/>
    <w:rsid w:val="00D60852"/>
    <w:rsid w:val="00D60ABF"/>
    <w:rsid w:val="00D6108F"/>
    <w:rsid w:val="00D6109E"/>
    <w:rsid w:val="00D61166"/>
    <w:rsid w:val="00D6167D"/>
    <w:rsid w:val="00D6179A"/>
    <w:rsid w:val="00D61E17"/>
    <w:rsid w:val="00D62287"/>
    <w:rsid w:val="00D628EA"/>
    <w:rsid w:val="00D62C2F"/>
    <w:rsid w:val="00D631A6"/>
    <w:rsid w:val="00D6322D"/>
    <w:rsid w:val="00D63932"/>
    <w:rsid w:val="00D63B9A"/>
    <w:rsid w:val="00D6451F"/>
    <w:rsid w:val="00D6476B"/>
    <w:rsid w:val="00D6548B"/>
    <w:rsid w:val="00D657F8"/>
    <w:rsid w:val="00D6623E"/>
    <w:rsid w:val="00D665AD"/>
    <w:rsid w:val="00D66AF7"/>
    <w:rsid w:val="00D66E2F"/>
    <w:rsid w:val="00D67482"/>
    <w:rsid w:val="00D674C4"/>
    <w:rsid w:val="00D67E4F"/>
    <w:rsid w:val="00D7178C"/>
    <w:rsid w:val="00D71A0F"/>
    <w:rsid w:val="00D72F94"/>
    <w:rsid w:val="00D733CA"/>
    <w:rsid w:val="00D738A0"/>
    <w:rsid w:val="00D74A89"/>
    <w:rsid w:val="00D74CDB"/>
    <w:rsid w:val="00D76739"/>
    <w:rsid w:val="00D76FED"/>
    <w:rsid w:val="00D771CC"/>
    <w:rsid w:val="00D7739C"/>
    <w:rsid w:val="00D77559"/>
    <w:rsid w:val="00D777B8"/>
    <w:rsid w:val="00D77923"/>
    <w:rsid w:val="00D77FA6"/>
    <w:rsid w:val="00D8105C"/>
    <w:rsid w:val="00D82C30"/>
    <w:rsid w:val="00D82FE0"/>
    <w:rsid w:val="00D835FD"/>
    <w:rsid w:val="00D83EA2"/>
    <w:rsid w:val="00D867BC"/>
    <w:rsid w:val="00D86DC8"/>
    <w:rsid w:val="00D86DCD"/>
    <w:rsid w:val="00D9027B"/>
    <w:rsid w:val="00D90648"/>
    <w:rsid w:val="00D9070A"/>
    <w:rsid w:val="00D909D7"/>
    <w:rsid w:val="00D9141E"/>
    <w:rsid w:val="00D91480"/>
    <w:rsid w:val="00D914DE"/>
    <w:rsid w:val="00D92967"/>
    <w:rsid w:val="00D92C87"/>
    <w:rsid w:val="00D92C98"/>
    <w:rsid w:val="00D93788"/>
    <w:rsid w:val="00D94249"/>
    <w:rsid w:val="00D94ADF"/>
    <w:rsid w:val="00D950FB"/>
    <w:rsid w:val="00D951B7"/>
    <w:rsid w:val="00D95533"/>
    <w:rsid w:val="00D969CA"/>
    <w:rsid w:val="00D9723C"/>
    <w:rsid w:val="00DA051D"/>
    <w:rsid w:val="00DA0C3F"/>
    <w:rsid w:val="00DA2C4C"/>
    <w:rsid w:val="00DA2FF4"/>
    <w:rsid w:val="00DA3295"/>
    <w:rsid w:val="00DA34BD"/>
    <w:rsid w:val="00DA380E"/>
    <w:rsid w:val="00DA3A60"/>
    <w:rsid w:val="00DA466C"/>
    <w:rsid w:val="00DA4DD7"/>
    <w:rsid w:val="00DA52BD"/>
    <w:rsid w:val="00DA565E"/>
    <w:rsid w:val="00DA5909"/>
    <w:rsid w:val="00DA6280"/>
    <w:rsid w:val="00DA7F53"/>
    <w:rsid w:val="00DB065C"/>
    <w:rsid w:val="00DB0F27"/>
    <w:rsid w:val="00DB1943"/>
    <w:rsid w:val="00DB2884"/>
    <w:rsid w:val="00DB2B9E"/>
    <w:rsid w:val="00DB319E"/>
    <w:rsid w:val="00DB41A2"/>
    <w:rsid w:val="00DB4B10"/>
    <w:rsid w:val="00DB4EF0"/>
    <w:rsid w:val="00DB5410"/>
    <w:rsid w:val="00DB612E"/>
    <w:rsid w:val="00DB64BC"/>
    <w:rsid w:val="00DB73EC"/>
    <w:rsid w:val="00DB74AC"/>
    <w:rsid w:val="00DB7C61"/>
    <w:rsid w:val="00DC1438"/>
    <w:rsid w:val="00DC1671"/>
    <w:rsid w:val="00DC180F"/>
    <w:rsid w:val="00DC20B0"/>
    <w:rsid w:val="00DC2181"/>
    <w:rsid w:val="00DC350B"/>
    <w:rsid w:val="00DC364A"/>
    <w:rsid w:val="00DC383C"/>
    <w:rsid w:val="00DC542E"/>
    <w:rsid w:val="00DC5AA6"/>
    <w:rsid w:val="00DC5C29"/>
    <w:rsid w:val="00DC6B5C"/>
    <w:rsid w:val="00DC6F2A"/>
    <w:rsid w:val="00DC720D"/>
    <w:rsid w:val="00DD01E5"/>
    <w:rsid w:val="00DD10E4"/>
    <w:rsid w:val="00DD1471"/>
    <w:rsid w:val="00DD273A"/>
    <w:rsid w:val="00DD2C10"/>
    <w:rsid w:val="00DD2F13"/>
    <w:rsid w:val="00DD485D"/>
    <w:rsid w:val="00DD486D"/>
    <w:rsid w:val="00DD4BFF"/>
    <w:rsid w:val="00DD4C3C"/>
    <w:rsid w:val="00DD4CE3"/>
    <w:rsid w:val="00DD4F0E"/>
    <w:rsid w:val="00DD7A13"/>
    <w:rsid w:val="00DE0B40"/>
    <w:rsid w:val="00DE17E4"/>
    <w:rsid w:val="00DE3053"/>
    <w:rsid w:val="00DE3142"/>
    <w:rsid w:val="00DE47B1"/>
    <w:rsid w:val="00DE4CD8"/>
    <w:rsid w:val="00DE4E24"/>
    <w:rsid w:val="00DE56B8"/>
    <w:rsid w:val="00DE596A"/>
    <w:rsid w:val="00DE5D06"/>
    <w:rsid w:val="00DE65D5"/>
    <w:rsid w:val="00DE69F8"/>
    <w:rsid w:val="00DE7955"/>
    <w:rsid w:val="00DE7E5B"/>
    <w:rsid w:val="00DE7EF3"/>
    <w:rsid w:val="00DF04E3"/>
    <w:rsid w:val="00DF05F1"/>
    <w:rsid w:val="00DF0B66"/>
    <w:rsid w:val="00DF0BF0"/>
    <w:rsid w:val="00DF0CEA"/>
    <w:rsid w:val="00DF11EC"/>
    <w:rsid w:val="00DF1BA3"/>
    <w:rsid w:val="00DF1FED"/>
    <w:rsid w:val="00DF2617"/>
    <w:rsid w:val="00DF27EA"/>
    <w:rsid w:val="00DF2809"/>
    <w:rsid w:val="00DF2F9C"/>
    <w:rsid w:val="00DF3444"/>
    <w:rsid w:val="00DF378F"/>
    <w:rsid w:val="00DF39E6"/>
    <w:rsid w:val="00DF4535"/>
    <w:rsid w:val="00DF5684"/>
    <w:rsid w:val="00DF5859"/>
    <w:rsid w:val="00DF5FAD"/>
    <w:rsid w:val="00DF69F5"/>
    <w:rsid w:val="00DF7511"/>
    <w:rsid w:val="00DF7AA8"/>
    <w:rsid w:val="00DF7E7A"/>
    <w:rsid w:val="00E002CC"/>
    <w:rsid w:val="00E0079F"/>
    <w:rsid w:val="00E00A9E"/>
    <w:rsid w:val="00E01249"/>
    <w:rsid w:val="00E01408"/>
    <w:rsid w:val="00E014EA"/>
    <w:rsid w:val="00E01F0B"/>
    <w:rsid w:val="00E02964"/>
    <w:rsid w:val="00E034A7"/>
    <w:rsid w:val="00E03DB3"/>
    <w:rsid w:val="00E03F73"/>
    <w:rsid w:val="00E054DF"/>
    <w:rsid w:val="00E0579F"/>
    <w:rsid w:val="00E05B53"/>
    <w:rsid w:val="00E05E0A"/>
    <w:rsid w:val="00E05FB4"/>
    <w:rsid w:val="00E0638D"/>
    <w:rsid w:val="00E0680F"/>
    <w:rsid w:val="00E101AA"/>
    <w:rsid w:val="00E10F4B"/>
    <w:rsid w:val="00E118CD"/>
    <w:rsid w:val="00E11A4F"/>
    <w:rsid w:val="00E11CE7"/>
    <w:rsid w:val="00E12083"/>
    <w:rsid w:val="00E13B60"/>
    <w:rsid w:val="00E143C4"/>
    <w:rsid w:val="00E145CB"/>
    <w:rsid w:val="00E15284"/>
    <w:rsid w:val="00E15628"/>
    <w:rsid w:val="00E156FE"/>
    <w:rsid w:val="00E15DAC"/>
    <w:rsid w:val="00E160B1"/>
    <w:rsid w:val="00E162A4"/>
    <w:rsid w:val="00E164E4"/>
    <w:rsid w:val="00E17502"/>
    <w:rsid w:val="00E17B31"/>
    <w:rsid w:val="00E17D4D"/>
    <w:rsid w:val="00E2018B"/>
    <w:rsid w:val="00E21D6A"/>
    <w:rsid w:val="00E21EBB"/>
    <w:rsid w:val="00E221A2"/>
    <w:rsid w:val="00E22328"/>
    <w:rsid w:val="00E22707"/>
    <w:rsid w:val="00E23419"/>
    <w:rsid w:val="00E23A82"/>
    <w:rsid w:val="00E24607"/>
    <w:rsid w:val="00E24960"/>
    <w:rsid w:val="00E263E3"/>
    <w:rsid w:val="00E26F47"/>
    <w:rsid w:val="00E27AEE"/>
    <w:rsid w:val="00E27B1D"/>
    <w:rsid w:val="00E3085D"/>
    <w:rsid w:val="00E31239"/>
    <w:rsid w:val="00E31CD2"/>
    <w:rsid w:val="00E3357D"/>
    <w:rsid w:val="00E3437A"/>
    <w:rsid w:val="00E35D5A"/>
    <w:rsid w:val="00E36F20"/>
    <w:rsid w:val="00E37499"/>
    <w:rsid w:val="00E37F7A"/>
    <w:rsid w:val="00E403BF"/>
    <w:rsid w:val="00E40453"/>
    <w:rsid w:val="00E40696"/>
    <w:rsid w:val="00E40C86"/>
    <w:rsid w:val="00E40F00"/>
    <w:rsid w:val="00E41ADE"/>
    <w:rsid w:val="00E41C43"/>
    <w:rsid w:val="00E42680"/>
    <w:rsid w:val="00E42B55"/>
    <w:rsid w:val="00E42CB6"/>
    <w:rsid w:val="00E43DFB"/>
    <w:rsid w:val="00E43EAB"/>
    <w:rsid w:val="00E43EEF"/>
    <w:rsid w:val="00E447F8"/>
    <w:rsid w:val="00E44A2D"/>
    <w:rsid w:val="00E44BBB"/>
    <w:rsid w:val="00E44F2B"/>
    <w:rsid w:val="00E45C2B"/>
    <w:rsid w:val="00E45F88"/>
    <w:rsid w:val="00E4651F"/>
    <w:rsid w:val="00E47074"/>
    <w:rsid w:val="00E47304"/>
    <w:rsid w:val="00E47873"/>
    <w:rsid w:val="00E479F5"/>
    <w:rsid w:val="00E504EC"/>
    <w:rsid w:val="00E50647"/>
    <w:rsid w:val="00E51025"/>
    <w:rsid w:val="00E511C1"/>
    <w:rsid w:val="00E516BB"/>
    <w:rsid w:val="00E52574"/>
    <w:rsid w:val="00E531EE"/>
    <w:rsid w:val="00E5335D"/>
    <w:rsid w:val="00E534CF"/>
    <w:rsid w:val="00E53B82"/>
    <w:rsid w:val="00E53C15"/>
    <w:rsid w:val="00E5407D"/>
    <w:rsid w:val="00E55041"/>
    <w:rsid w:val="00E55564"/>
    <w:rsid w:val="00E55FE8"/>
    <w:rsid w:val="00E562AA"/>
    <w:rsid w:val="00E57393"/>
    <w:rsid w:val="00E604EE"/>
    <w:rsid w:val="00E60EBB"/>
    <w:rsid w:val="00E6127F"/>
    <w:rsid w:val="00E618AC"/>
    <w:rsid w:val="00E61CF9"/>
    <w:rsid w:val="00E6234C"/>
    <w:rsid w:val="00E62EE4"/>
    <w:rsid w:val="00E63061"/>
    <w:rsid w:val="00E632E0"/>
    <w:rsid w:val="00E635AC"/>
    <w:rsid w:val="00E637F6"/>
    <w:rsid w:val="00E63A17"/>
    <w:rsid w:val="00E6570C"/>
    <w:rsid w:val="00E66DD9"/>
    <w:rsid w:val="00E67019"/>
    <w:rsid w:val="00E678E3"/>
    <w:rsid w:val="00E70217"/>
    <w:rsid w:val="00E70312"/>
    <w:rsid w:val="00E70FAD"/>
    <w:rsid w:val="00E7111E"/>
    <w:rsid w:val="00E711DB"/>
    <w:rsid w:val="00E71EB4"/>
    <w:rsid w:val="00E71EFF"/>
    <w:rsid w:val="00E72537"/>
    <w:rsid w:val="00E7258C"/>
    <w:rsid w:val="00E72F46"/>
    <w:rsid w:val="00E73114"/>
    <w:rsid w:val="00E73633"/>
    <w:rsid w:val="00E7424A"/>
    <w:rsid w:val="00E74844"/>
    <w:rsid w:val="00E74D67"/>
    <w:rsid w:val="00E7509E"/>
    <w:rsid w:val="00E75220"/>
    <w:rsid w:val="00E75463"/>
    <w:rsid w:val="00E75484"/>
    <w:rsid w:val="00E75B01"/>
    <w:rsid w:val="00E76CDC"/>
    <w:rsid w:val="00E76ECB"/>
    <w:rsid w:val="00E77B66"/>
    <w:rsid w:val="00E8067A"/>
    <w:rsid w:val="00E80927"/>
    <w:rsid w:val="00E80DA7"/>
    <w:rsid w:val="00E812BF"/>
    <w:rsid w:val="00E817C3"/>
    <w:rsid w:val="00E81CB4"/>
    <w:rsid w:val="00E82A8B"/>
    <w:rsid w:val="00E83147"/>
    <w:rsid w:val="00E840E1"/>
    <w:rsid w:val="00E849BA"/>
    <w:rsid w:val="00E84FD2"/>
    <w:rsid w:val="00E851AD"/>
    <w:rsid w:val="00E85679"/>
    <w:rsid w:val="00E8585B"/>
    <w:rsid w:val="00E85CE0"/>
    <w:rsid w:val="00E85E59"/>
    <w:rsid w:val="00E8713A"/>
    <w:rsid w:val="00E87BC1"/>
    <w:rsid w:val="00E87F6A"/>
    <w:rsid w:val="00E9061E"/>
    <w:rsid w:val="00E90955"/>
    <w:rsid w:val="00E9264A"/>
    <w:rsid w:val="00E93C5E"/>
    <w:rsid w:val="00E93EB3"/>
    <w:rsid w:val="00E93FB3"/>
    <w:rsid w:val="00E9503E"/>
    <w:rsid w:val="00E9574D"/>
    <w:rsid w:val="00E9684B"/>
    <w:rsid w:val="00E96874"/>
    <w:rsid w:val="00E97099"/>
    <w:rsid w:val="00E97CB0"/>
    <w:rsid w:val="00EA0849"/>
    <w:rsid w:val="00EA14C7"/>
    <w:rsid w:val="00EA28FF"/>
    <w:rsid w:val="00EA30EB"/>
    <w:rsid w:val="00EA372B"/>
    <w:rsid w:val="00EA3C94"/>
    <w:rsid w:val="00EA3F15"/>
    <w:rsid w:val="00EA3F81"/>
    <w:rsid w:val="00EA52EF"/>
    <w:rsid w:val="00EA59DF"/>
    <w:rsid w:val="00EA5FBC"/>
    <w:rsid w:val="00EA6384"/>
    <w:rsid w:val="00EA6385"/>
    <w:rsid w:val="00EA64F9"/>
    <w:rsid w:val="00EA7847"/>
    <w:rsid w:val="00EA7FB7"/>
    <w:rsid w:val="00EB005E"/>
    <w:rsid w:val="00EB0F2E"/>
    <w:rsid w:val="00EB0F69"/>
    <w:rsid w:val="00EB0F94"/>
    <w:rsid w:val="00EB180D"/>
    <w:rsid w:val="00EB1C8E"/>
    <w:rsid w:val="00EB2359"/>
    <w:rsid w:val="00EB2884"/>
    <w:rsid w:val="00EB290B"/>
    <w:rsid w:val="00EB298E"/>
    <w:rsid w:val="00EB2BFD"/>
    <w:rsid w:val="00EB2F1D"/>
    <w:rsid w:val="00EB382D"/>
    <w:rsid w:val="00EB449D"/>
    <w:rsid w:val="00EB463A"/>
    <w:rsid w:val="00EB512D"/>
    <w:rsid w:val="00EB5E91"/>
    <w:rsid w:val="00EB623F"/>
    <w:rsid w:val="00EB6B3E"/>
    <w:rsid w:val="00EB6D3E"/>
    <w:rsid w:val="00EB6DC4"/>
    <w:rsid w:val="00EB6EC3"/>
    <w:rsid w:val="00EB7721"/>
    <w:rsid w:val="00EC0664"/>
    <w:rsid w:val="00EC081A"/>
    <w:rsid w:val="00EC0893"/>
    <w:rsid w:val="00EC090A"/>
    <w:rsid w:val="00EC0D38"/>
    <w:rsid w:val="00EC19F3"/>
    <w:rsid w:val="00EC1B50"/>
    <w:rsid w:val="00EC1D4D"/>
    <w:rsid w:val="00EC2796"/>
    <w:rsid w:val="00EC3714"/>
    <w:rsid w:val="00EC4B96"/>
    <w:rsid w:val="00EC564B"/>
    <w:rsid w:val="00EC62C4"/>
    <w:rsid w:val="00EC71E4"/>
    <w:rsid w:val="00EC72FC"/>
    <w:rsid w:val="00EC7775"/>
    <w:rsid w:val="00ED0102"/>
    <w:rsid w:val="00ED0822"/>
    <w:rsid w:val="00ED0EE2"/>
    <w:rsid w:val="00ED1DFF"/>
    <w:rsid w:val="00ED28C9"/>
    <w:rsid w:val="00ED2A1C"/>
    <w:rsid w:val="00ED3EA2"/>
    <w:rsid w:val="00ED4147"/>
    <w:rsid w:val="00ED45AC"/>
    <w:rsid w:val="00ED4D14"/>
    <w:rsid w:val="00ED4EB3"/>
    <w:rsid w:val="00ED51A0"/>
    <w:rsid w:val="00ED54C8"/>
    <w:rsid w:val="00ED63A2"/>
    <w:rsid w:val="00ED7166"/>
    <w:rsid w:val="00ED7610"/>
    <w:rsid w:val="00EE014D"/>
    <w:rsid w:val="00EE058F"/>
    <w:rsid w:val="00EE0793"/>
    <w:rsid w:val="00EE0E6E"/>
    <w:rsid w:val="00EE1002"/>
    <w:rsid w:val="00EE2E6D"/>
    <w:rsid w:val="00EE2E6E"/>
    <w:rsid w:val="00EE2F3A"/>
    <w:rsid w:val="00EE3106"/>
    <w:rsid w:val="00EE3A47"/>
    <w:rsid w:val="00EE3B42"/>
    <w:rsid w:val="00EE422D"/>
    <w:rsid w:val="00EE4260"/>
    <w:rsid w:val="00EE49E1"/>
    <w:rsid w:val="00EE4BDB"/>
    <w:rsid w:val="00EE5298"/>
    <w:rsid w:val="00EE594F"/>
    <w:rsid w:val="00EE59D3"/>
    <w:rsid w:val="00EE5CB9"/>
    <w:rsid w:val="00EE5F7D"/>
    <w:rsid w:val="00EE6C8A"/>
    <w:rsid w:val="00EE6E20"/>
    <w:rsid w:val="00EE71CE"/>
    <w:rsid w:val="00EE7BF4"/>
    <w:rsid w:val="00EE7D8A"/>
    <w:rsid w:val="00EF0942"/>
    <w:rsid w:val="00EF0A19"/>
    <w:rsid w:val="00EF0C4F"/>
    <w:rsid w:val="00EF0E52"/>
    <w:rsid w:val="00EF10AD"/>
    <w:rsid w:val="00EF1B32"/>
    <w:rsid w:val="00EF2031"/>
    <w:rsid w:val="00EF2641"/>
    <w:rsid w:val="00EF297F"/>
    <w:rsid w:val="00EF2A9E"/>
    <w:rsid w:val="00EF2BFF"/>
    <w:rsid w:val="00EF32C0"/>
    <w:rsid w:val="00EF330F"/>
    <w:rsid w:val="00EF339E"/>
    <w:rsid w:val="00EF3921"/>
    <w:rsid w:val="00EF4B93"/>
    <w:rsid w:val="00EF63CE"/>
    <w:rsid w:val="00EF6591"/>
    <w:rsid w:val="00EF7019"/>
    <w:rsid w:val="00EF773E"/>
    <w:rsid w:val="00EF7B4F"/>
    <w:rsid w:val="00EF7F92"/>
    <w:rsid w:val="00F001F2"/>
    <w:rsid w:val="00F01068"/>
    <w:rsid w:val="00F011F8"/>
    <w:rsid w:val="00F01431"/>
    <w:rsid w:val="00F017CD"/>
    <w:rsid w:val="00F01806"/>
    <w:rsid w:val="00F01B61"/>
    <w:rsid w:val="00F01F7C"/>
    <w:rsid w:val="00F04455"/>
    <w:rsid w:val="00F044EB"/>
    <w:rsid w:val="00F0501D"/>
    <w:rsid w:val="00F05FD5"/>
    <w:rsid w:val="00F0631F"/>
    <w:rsid w:val="00F066E9"/>
    <w:rsid w:val="00F0759E"/>
    <w:rsid w:val="00F075A1"/>
    <w:rsid w:val="00F07E4D"/>
    <w:rsid w:val="00F10203"/>
    <w:rsid w:val="00F10644"/>
    <w:rsid w:val="00F10E43"/>
    <w:rsid w:val="00F10F88"/>
    <w:rsid w:val="00F13554"/>
    <w:rsid w:val="00F13FC5"/>
    <w:rsid w:val="00F143DE"/>
    <w:rsid w:val="00F145B9"/>
    <w:rsid w:val="00F14C6D"/>
    <w:rsid w:val="00F15075"/>
    <w:rsid w:val="00F15208"/>
    <w:rsid w:val="00F158EE"/>
    <w:rsid w:val="00F158F4"/>
    <w:rsid w:val="00F16034"/>
    <w:rsid w:val="00F1649D"/>
    <w:rsid w:val="00F16C18"/>
    <w:rsid w:val="00F16E1A"/>
    <w:rsid w:val="00F170CC"/>
    <w:rsid w:val="00F171E1"/>
    <w:rsid w:val="00F1720B"/>
    <w:rsid w:val="00F17C1E"/>
    <w:rsid w:val="00F2158F"/>
    <w:rsid w:val="00F2233E"/>
    <w:rsid w:val="00F22540"/>
    <w:rsid w:val="00F2274A"/>
    <w:rsid w:val="00F22B5C"/>
    <w:rsid w:val="00F22B84"/>
    <w:rsid w:val="00F2329B"/>
    <w:rsid w:val="00F23351"/>
    <w:rsid w:val="00F23E17"/>
    <w:rsid w:val="00F24931"/>
    <w:rsid w:val="00F24FFB"/>
    <w:rsid w:val="00F263F8"/>
    <w:rsid w:val="00F27665"/>
    <w:rsid w:val="00F27729"/>
    <w:rsid w:val="00F27F24"/>
    <w:rsid w:val="00F306A1"/>
    <w:rsid w:val="00F30B18"/>
    <w:rsid w:val="00F31266"/>
    <w:rsid w:val="00F31642"/>
    <w:rsid w:val="00F31679"/>
    <w:rsid w:val="00F321F4"/>
    <w:rsid w:val="00F32898"/>
    <w:rsid w:val="00F33430"/>
    <w:rsid w:val="00F337D9"/>
    <w:rsid w:val="00F33B43"/>
    <w:rsid w:val="00F33C70"/>
    <w:rsid w:val="00F34239"/>
    <w:rsid w:val="00F34585"/>
    <w:rsid w:val="00F34782"/>
    <w:rsid w:val="00F34E34"/>
    <w:rsid w:val="00F350AF"/>
    <w:rsid w:val="00F358D1"/>
    <w:rsid w:val="00F35935"/>
    <w:rsid w:val="00F35B02"/>
    <w:rsid w:val="00F37175"/>
    <w:rsid w:val="00F37B32"/>
    <w:rsid w:val="00F41373"/>
    <w:rsid w:val="00F42CBD"/>
    <w:rsid w:val="00F432E6"/>
    <w:rsid w:val="00F43858"/>
    <w:rsid w:val="00F43CA8"/>
    <w:rsid w:val="00F4514D"/>
    <w:rsid w:val="00F4540C"/>
    <w:rsid w:val="00F459E6"/>
    <w:rsid w:val="00F4627D"/>
    <w:rsid w:val="00F465C5"/>
    <w:rsid w:val="00F479D3"/>
    <w:rsid w:val="00F505B2"/>
    <w:rsid w:val="00F50683"/>
    <w:rsid w:val="00F50FAE"/>
    <w:rsid w:val="00F51347"/>
    <w:rsid w:val="00F513F0"/>
    <w:rsid w:val="00F51E2E"/>
    <w:rsid w:val="00F52C1D"/>
    <w:rsid w:val="00F52F1F"/>
    <w:rsid w:val="00F53D77"/>
    <w:rsid w:val="00F55D66"/>
    <w:rsid w:val="00F55DA9"/>
    <w:rsid w:val="00F5619A"/>
    <w:rsid w:val="00F569FD"/>
    <w:rsid w:val="00F57245"/>
    <w:rsid w:val="00F572C5"/>
    <w:rsid w:val="00F61F7D"/>
    <w:rsid w:val="00F621DA"/>
    <w:rsid w:val="00F62312"/>
    <w:rsid w:val="00F62459"/>
    <w:rsid w:val="00F62791"/>
    <w:rsid w:val="00F62ECE"/>
    <w:rsid w:val="00F633BD"/>
    <w:rsid w:val="00F634AC"/>
    <w:rsid w:val="00F63C14"/>
    <w:rsid w:val="00F63C57"/>
    <w:rsid w:val="00F64113"/>
    <w:rsid w:val="00F645E4"/>
    <w:rsid w:val="00F64E17"/>
    <w:rsid w:val="00F651E9"/>
    <w:rsid w:val="00F652B9"/>
    <w:rsid w:val="00F66696"/>
    <w:rsid w:val="00F669AB"/>
    <w:rsid w:val="00F66A2C"/>
    <w:rsid w:val="00F66B49"/>
    <w:rsid w:val="00F66D76"/>
    <w:rsid w:val="00F66E9F"/>
    <w:rsid w:val="00F66EEC"/>
    <w:rsid w:val="00F671ED"/>
    <w:rsid w:val="00F700DD"/>
    <w:rsid w:val="00F707B3"/>
    <w:rsid w:val="00F70D52"/>
    <w:rsid w:val="00F712A7"/>
    <w:rsid w:val="00F7159B"/>
    <w:rsid w:val="00F718F3"/>
    <w:rsid w:val="00F719A8"/>
    <w:rsid w:val="00F71C6E"/>
    <w:rsid w:val="00F71CBA"/>
    <w:rsid w:val="00F71DB1"/>
    <w:rsid w:val="00F71E33"/>
    <w:rsid w:val="00F72311"/>
    <w:rsid w:val="00F72719"/>
    <w:rsid w:val="00F72BA7"/>
    <w:rsid w:val="00F72C2E"/>
    <w:rsid w:val="00F736B6"/>
    <w:rsid w:val="00F736C4"/>
    <w:rsid w:val="00F742A8"/>
    <w:rsid w:val="00F7590A"/>
    <w:rsid w:val="00F75BC2"/>
    <w:rsid w:val="00F76456"/>
    <w:rsid w:val="00F7664E"/>
    <w:rsid w:val="00F76F67"/>
    <w:rsid w:val="00F778C7"/>
    <w:rsid w:val="00F779E7"/>
    <w:rsid w:val="00F77BED"/>
    <w:rsid w:val="00F81167"/>
    <w:rsid w:val="00F813A4"/>
    <w:rsid w:val="00F8145D"/>
    <w:rsid w:val="00F81D80"/>
    <w:rsid w:val="00F82194"/>
    <w:rsid w:val="00F821A3"/>
    <w:rsid w:val="00F82A93"/>
    <w:rsid w:val="00F82FD1"/>
    <w:rsid w:val="00F830E9"/>
    <w:rsid w:val="00F84069"/>
    <w:rsid w:val="00F841B2"/>
    <w:rsid w:val="00F84267"/>
    <w:rsid w:val="00F84898"/>
    <w:rsid w:val="00F85061"/>
    <w:rsid w:val="00F854E0"/>
    <w:rsid w:val="00F85C08"/>
    <w:rsid w:val="00F85DD5"/>
    <w:rsid w:val="00F862DC"/>
    <w:rsid w:val="00F865FC"/>
    <w:rsid w:val="00F86627"/>
    <w:rsid w:val="00F867C6"/>
    <w:rsid w:val="00F86A8F"/>
    <w:rsid w:val="00F870C0"/>
    <w:rsid w:val="00F875A4"/>
    <w:rsid w:val="00F8779B"/>
    <w:rsid w:val="00F9033A"/>
    <w:rsid w:val="00F9088F"/>
    <w:rsid w:val="00F913DF"/>
    <w:rsid w:val="00F9164E"/>
    <w:rsid w:val="00F9314A"/>
    <w:rsid w:val="00F935FB"/>
    <w:rsid w:val="00F9373E"/>
    <w:rsid w:val="00F94BAD"/>
    <w:rsid w:val="00F955C3"/>
    <w:rsid w:val="00F957D8"/>
    <w:rsid w:val="00F95F39"/>
    <w:rsid w:val="00F97F25"/>
    <w:rsid w:val="00FA136C"/>
    <w:rsid w:val="00FA15A0"/>
    <w:rsid w:val="00FA2188"/>
    <w:rsid w:val="00FA2D26"/>
    <w:rsid w:val="00FA2E4E"/>
    <w:rsid w:val="00FA310D"/>
    <w:rsid w:val="00FA31C4"/>
    <w:rsid w:val="00FA34B4"/>
    <w:rsid w:val="00FA42C7"/>
    <w:rsid w:val="00FA5679"/>
    <w:rsid w:val="00FA7D90"/>
    <w:rsid w:val="00FB0C1A"/>
    <w:rsid w:val="00FB0EE9"/>
    <w:rsid w:val="00FB1146"/>
    <w:rsid w:val="00FB1299"/>
    <w:rsid w:val="00FB1437"/>
    <w:rsid w:val="00FB153A"/>
    <w:rsid w:val="00FB1546"/>
    <w:rsid w:val="00FB2114"/>
    <w:rsid w:val="00FB2E67"/>
    <w:rsid w:val="00FB37B7"/>
    <w:rsid w:val="00FB47BD"/>
    <w:rsid w:val="00FB4B5A"/>
    <w:rsid w:val="00FB4BD0"/>
    <w:rsid w:val="00FB5666"/>
    <w:rsid w:val="00FB57F3"/>
    <w:rsid w:val="00FB5F17"/>
    <w:rsid w:val="00FB63CC"/>
    <w:rsid w:val="00FB643F"/>
    <w:rsid w:val="00FB6677"/>
    <w:rsid w:val="00FB7323"/>
    <w:rsid w:val="00FC0120"/>
    <w:rsid w:val="00FC0171"/>
    <w:rsid w:val="00FC02FB"/>
    <w:rsid w:val="00FC0C9B"/>
    <w:rsid w:val="00FC14E0"/>
    <w:rsid w:val="00FC1531"/>
    <w:rsid w:val="00FC1AB3"/>
    <w:rsid w:val="00FC1D20"/>
    <w:rsid w:val="00FC1ED8"/>
    <w:rsid w:val="00FC2A06"/>
    <w:rsid w:val="00FC33A7"/>
    <w:rsid w:val="00FC3897"/>
    <w:rsid w:val="00FC4840"/>
    <w:rsid w:val="00FC50E8"/>
    <w:rsid w:val="00FC58EF"/>
    <w:rsid w:val="00FC5D2B"/>
    <w:rsid w:val="00FC60B4"/>
    <w:rsid w:val="00FC614C"/>
    <w:rsid w:val="00FC6B86"/>
    <w:rsid w:val="00FC6CB9"/>
    <w:rsid w:val="00FC6FBD"/>
    <w:rsid w:val="00FC7069"/>
    <w:rsid w:val="00FC7356"/>
    <w:rsid w:val="00FC7F4F"/>
    <w:rsid w:val="00FD0468"/>
    <w:rsid w:val="00FD0766"/>
    <w:rsid w:val="00FD0C39"/>
    <w:rsid w:val="00FD1C22"/>
    <w:rsid w:val="00FD33DF"/>
    <w:rsid w:val="00FD4319"/>
    <w:rsid w:val="00FD43AF"/>
    <w:rsid w:val="00FD4523"/>
    <w:rsid w:val="00FD4BC8"/>
    <w:rsid w:val="00FD4BD4"/>
    <w:rsid w:val="00FD5191"/>
    <w:rsid w:val="00FD5B78"/>
    <w:rsid w:val="00FD685F"/>
    <w:rsid w:val="00FD68B0"/>
    <w:rsid w:val="00FD6FD5"/>
    <w:rsid w:val="00FD769D"/>
    <w:rsid w:val="00FD7A96"/>
    <w:rsid w:val="00FE00C6"/>
    <w:rsid w:val="00FE038E"/>
    <w:rsid w:val="00FE0DC5"/>
    <w:rsid w:val="00FE1FE5"/>
    <w:rsid w:val="00FE277E"/>
    <w:rsid w:val="00FE39D7"/>
    <w:rsid w:val="00FE3EA7"/>
    <w:rsid w:val="00FE43B3"/>
    <w:rsid w:val="00FE48A9"/>
    <w:rsid w:val="00FE5037"/>
    <w:rsid w:val="00FE59E2"/>
    <w:rsid w:val="00FE5D5D"/>
    <w:rsid w:val="00FE6E46"/>
    <w:rsid w:val="00FF03A0"/>
    <w:rsid w:val="00FF094C"/>
    <w:rsid w:val="00FF0AD3"/>
    <w:rsid w:val="00FF0B25"/>
    <w:rsid w:val="00FF158F"/>
    <w:rsid w:val="00FF19A3"/>
    <w:rsid w:val="00FF19B6"/>
    <w:rsid w:val="00FF26F4"/>
    <w:rsid w:val="00FF3285"/>
    <w:rsid w:val="00FF3651"/>
    <w:rsid w:val="00FF3EAD"/>
    <w:rsid w:val="00FF4670"/>
    <w:rsid w:val="00FF46DF"/>
    <w:rsid w:val="00FF4F3F"/>
    <w:rsid w:val="00FF50A9"/>
    <w:rsid w:val="00FF6855"/>
    <w:rsid w:val="00FF6BE9"/>
    <w:rsid w:val="00FF7673"/>
    <w:rsid w:val="00FF795D"/>
    <w:rsid w:val="00FF7F3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7F9E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185"/>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eastAsia="x-none"/>
    </w:rPr>
  </w:style>
  <w:style w:type="paragraph" w:styleId="Ttulo4">
    <w:name w:val="heading 4"/>
    <w:aliases w:val="TBG Heading 4,o"/>
    <w:basedOn w:val="Normal"/>
    <w:next w:val="Normal"/>
    <w:link w:val="Ttulo4Car"/>
    <w:qFormat/>
    <w:rsid w:val="003101DA"/>
    <w:pPr>
      <w:keepNext/>
      <w:jc w:val="center"/>
      <w:outlineLvl w:val="3"/>
    </w:pPr>
    <w:rPr>
      <w:rFonts w:ascii="Arial" w:hAnsi="Arial"/>
      <w:b/>
      <w:snapToGrid w:val="0"/>
      <w:color w:val="000000"/>
      <w:spacing w:val="20"/>
      <w:sz w:val="20"/>
      <w:szCs w:val="20"/>
      <w:lang w:val="es-ES_tradnl" w:eastAsia="x-none"/>
    </w:rPr>
  </w:style>
  <w:style w:type="paragraph" w:styleId="Ttulo5">
    <w:name w:val="heading 5"/>
    <w:basedOn w:val="Normal"/>
    <w:next w:val="Normal"/>
    <w:link w:val="Ttulo5Car"/>
    <w:qFormat/>
    <w:rsid w:val="003101DA"/>
    <w:pPr>
      <w:keepNext/>
      <w:jc w:val="center"/>
      <w:outlineLvl w:val="4"/>
    </w:pPr>
    <w:rPr>
      <w:rFonts w:ascii="Arial" w:hAnsi="Arial"/>
      <w:b/>
      <w:snapToGrid w:val="0"/>
      <w:color w:val="000000"/>
      <w:spacing w:val="20"/>
      <w:sz w:val="28"/>
      <w:szCs w:val="20"/>
      <w:lang w:val="es-ES_tradnl" w:eastAsia="x-none"/>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eastAsia="x-none"/>
    </w:rPr>
  </w:style>
  <w:style w:type="paragraph" w:styleId="Piedepgina">
    <w:name w:val="footer"/>
    <w:basedOn w:val="Normal"/>
    <w:link w:val="PiedepginaCar"/>
    <w:uiPriority w:val="99"/>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b/>
      <w:bCs/>
      <w:lang w:val="x-none" w:eastAsia="x-none"/>
    </w:rPr>
  </w:style>
  <w:style w:type="paragraph" w:styleId="Textoindependiente3">
    <w:name w:val="Body Text 3"/>
    <w:basedOn w:val="Normal"/>
    <w:link w:val="Textoindependiente3Car"/>
    <w:semiHidden/>
    <w:rsid w:val="003101DA"/>
    <w:pPr>
      <w:jc w:val="center"/>
      <w:outlineLvl w:val="0"/>
    </w:pPr>
    <w:rPr>
      <w:rFonts w:ascii="Arial" w:hAnsi="Arial"/>
      <w:b/>
      <w:bCs/>
      <w:spacing w:val="-3"/>
      <w:lang w:val="x-none" w:eastAsia="x-none"/>
    </w:rPr>
  </w:style>
  <w:style w:type="paragraph" w:styleId="Textodeglobo">
    <w:name w:val="Balloon Text"/>
    <w:basedOn w:val="Normal"/>
    <w:link w:val="TextodegloboCar"/>
    <w:uiPriority w:val="99"/>
    <w:semiHidden/>
    <w:unhideWhenUsed/>
    <w:rsid w:val="00725FA4"/>
    <w:rPr>
      <w:rFonts w:ascii="Tahoma" w:hAnsi="Tahoma"/>
      <w:sz w:val="16"/>
      <w:szCs w:val="16"/>
      <w:lang w:val="x-none" w:eastAsia="x-none"/>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aliases w:val="TBG Heading 4 Car,o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b/>
      <w:bCs/>
      <w:lang w:val="x-none" w:eastAsia="x-none"/>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eastAsia="x-none"/>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rPr>
      <w:lang w:val="x-none" w:eastAsia="x-none"/>
    </w:rPr>
  </w:style>
  <w:style w:type="character" w:customStyle="1" w:styleId="Textoindependiente2Car">
    <w:name w:val="Texto independiente 2 Car"/>
    <w:link w:val="Textoindependiente2"/>
    <w:rsid w:val="00006AE2"/>
    <w:rPr>
      <w:sz w:val="24"/>
      <w:szCs w:val="24"/>
    </w:rPr>
  </w:style>
  <w:style w:type="paragraph" w:styleId="Epgrafe">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lang w:val="x-none" w:eastAsia="x-none"/>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character" w:customStyle="1" w:styleId="PiedepginaCar">
    <w:name w:val="Pie de página Car"/>
    <w:link w:val="Piedepgina"/>
    <w:uiPriority w:val="99"/>
    <w:rsid w:val="00CD5DB7"/>
    <w:rPr>
      <w:sz w:val="24"/>
      <w:szCs w:val="24"/>
      <w:lang w:val="es-ES" w:eastAsia="es-ES"/>
    </w:rPr>
  </w:style>
  <w:style w:type="character" w:styleId="Refdecomentario">
    <w:name w:val="annotation reference"/>
    <w:uiPriority w:val="99"/>
    <w:semiHidden/>
    <w:rsid w:val="00CD5DB7"/>
    <w:rPr>
      <w:sz w:val="16"/>
      <w:szCs w:val="16"/>
    </w:rPr>
  </w:style>
  <w:style w:type="paragraph" w:styleId="Textocomentario">
    <w:name w:val="annotation text"/>
    <w:basedOn w:val="Normal"/>
    <w:link w:val="TextocomentarioCar"/>
    <w:uiPriority w:val="99"/>
    <w:rsid w:val="00CD5DB7"/>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CD5DB7"/>
    <w:rPr>
      <w:lang w:val="es-ES" w:eastAsia="es-ES"/>
    </w:rPr>
  </w:style>
  <w:style w:type="paragraph" w:customStyle="1" w:styleId="ARTICULOS">
    <w:name w:val="ARTICULOS"/>
    <w:basedOn w:val="Normal"/>
    <w:link w:val="ARTICULOSCar"/>
    <w:qFormat/>
    <w:rsid w:val="00CD5DB7"/>
    <w:pPr>
      <w:widowControl w:val="0"/>
      <w:numPr>
        <w:numId w:val="1"/>
      </w:numPr>
      <w:adjustRightInd w:val="0"/>
      <w:jc w:val="both"/>
      <w:textAlignment w:val="baseline"/>
    </w:pPr>
    <w:rPr>
      <w:rFonts w:ascii="Bookman Old Style" w:hAnsi="Bookman Old Style"/>
      <w:bCs/>
      <w:lang w:val="x-none" w:eastAsia="x-none"/>
    </w:rPr>
  </w:style>
  <w:style w:type="character" w:customStyle="1" w:styleId="ARTICULOSCar">
    <w:name w:val="ARTICULOS Car"/>
    <w:link w:val="ARTICULOS"/>
    <w:rsid w:val="00CD5DB7"/>
    <w:rPr>
      <w:rFonts w:ascii="Bookman Old Style" w:hAnsi="Bookman Old Style"/>
      <w:bCs/>
      <w:sz w:val="24"/>
      <w:szCs w:val="24"/>
      <w:lang w:val="x-none" w:eastAsia="x-none"/>
    </w:rPr>
  </w:style>
  <w:style w:type="paragraph" w:customStyle="1" w:styleId="Default">
    <w:name w:val="Default"/>
    <w:rsid w:val="00CD5DB7"/>
    <w:pPr>
      <w:autoSpaceDE w:val="0"/>
      <w:autoSpaceDN w:val="0"/>
      <w:adjustRightInd w:val="0"/>
    </w:pPr>
    <w:rPr>
      <w:rFonts w:ascii="Verdana" w:eastAsia="Calibri" w:hAnsi="Verdana" w:cs="Verdana"/>
      <w:color w:val="000000"/>
      <w:sz w:val="24"/>
      <w:szCs w:val="24"/>
      <w:lang w:eastAsia="en-US"/>
    </w:rPr>
  </w:style>
  <w:style w:type="paragraph" w:styleId="Asuntodelcomentario">
    <w:name w:val="annotation subject"/>
    <w:basedOn w:val="Textocomentario"/>
    <w:next w:val="Textocomentario"/>
    <w:link w:val="AsuntodelcomentarioCar"/>
    <w:uiPriority w:val="99"/>
    <w:semiHidden/>
    <w:unhideWhenUsed/>
    <w:rsid w:val="00CD5DB7"/>
    <w:pPr>
      <w:spacing w:line="240" w:lineRule="auto"/>
    </w:pPr>
    <w:rPr>
      <w:b/>
      <w:bCs/>
    </w:rPr>
  </w:style>
  <w:style w:type="character" w:customStyle="1" w:styleId="AsuntodelcomentarioCar">
    <w:name w:val="Asunto del comentario Car"/>
    <w:link w:val="Asuntodelcomentario"/>
    <w:uiPriority w:val="99"/>
    <w:semiHidden/>
    <w:rsid w:val="00CD5DB7"/>
    <w:rPr>
      <w:b/>
      <w:bCs/>
      <w:lang w:val="es-ES" w:eastAsia="es-ES"/>
    </w:rPr>
  </w:style>
  <w:style w:type="paragraph" w:styleId="TDC3">
    <w:name w:val="toc 3"/>
    <w:basedOn w:val="Normal"/>
    <w:next w:val="Normal"/>
    <w:autoRedefine/>
    <w:semiHidden/>
    <w:rsid w:val="00CD5DB7"/>
    <w:pPr>
      <w:ind w:left="480"/>
    </w:pPr>
  </w:style>
  <w:style w:type="paragraph" w:styleId="Sangradetextonormal">
    <w:name w:val="Body Text Indent"/>
    <w:basedOn w:val="Normal"/>
    <w:link w:val="SangradetextonormalCar"/>
    <w:uiPriority w:val="99"/>
    <w:semiHidden/>
    <w:unhideWhenUsed/>
    <w:rsid w:val="00CD5DB7"/>
    <w:pPr>
      <w:widowControl w:val="0"/>
      <w:adjustRightInd w:val="0"/>
      <w:spacing w:after="120" w:line="360" w:lineRule="atLeast"/>
      <w:ind w:left="283"/>
      <w:jc w:val="both"/>
      <w:textAlignment w:val="baseline"/>
    </w:pPr>
  </w:style>
  <w:style w:type="character" w:customStyle="1" w:styleId="SangradetextonormalCar">
    <w:name w:val="Sangría de texto normal Car"/>
    <w:link w:val="Sangradetextonormal"/>
    <w:uiPriority w:val="99"/>
    <w:semiHidden/>
    <w:rsid w:val="00CD5DB7"/>
    <w:rPr>
      <w:sz w:val="24"/>
      <w:szCs w:val="24"/>
      <w:lang w:val="es-ES" w:eastAsia="es-ES"/>
    </w:rPr>
  </w:style>
  <w:style w:type="paragraph" w:customStyle="1" w:styleId="xl28">
    <w:name w:val="xl28"/>
    <w:basedOn w:val="Normal"/>
    <w:rsid w:val="00CD5DB7"/>
    <w:pPr>
      <w:pBdr>
        <w:left w:val="single" w:sz="4" w:space="0" w:color="auto"/>
        <w:bottom w:val="single" w:sz="4" w:space="0" w:color="auto"/>
      </w:pBdr>
      <w:spacing w:before="100" w:after="100"/>
      <w:ind w:left="0"/>
      <w:jc w:val="center"/>
    </w:pPr>
    <w:rPr>
      <w:rFonts w:ascii="Arial" w:hAnsi="Arial"/>
      <w:b/>
      <w:sz w:val="22"/>
      <w:szCs w:val="20"/>
      <w:lang w:eastAsia="es-MX"/>
    </w:rPr>
  </w:style>
  <w:style w:type="paragraph" w:customStyle="1" w:styleId="xl32">
    <w:name w:val="xl32"/>
    <w:basedOn w:val="Normal"/>
    <w:rsid w:val="00CD5DB7"/>
    <w:pPr>
      <w:pBdr>
        <w:left w:val="single" w:sz="4" w:space="0" w:color="auto"/>
        <w:right w:val="single" w:sz="4" w:space="0" w:color="auto"/>
      </w:pBdr>
      <w:spacing w:before="100" w:after="100"/>
      <w:ind w:left="0"/>
      <w:jc w:val="center"/>
    </w:pPr>
    <w:rPr>
      <w:rFonts w:ascii="Arial" w:hAnsi="Arial"/>
      <w:sz w:val="22"/>
      <w:szCs w:val="20"/>
      <w:lang w:eastAsia="es-MX"/>
    </w:rPr>
  </w:style>
  <w:style w:type="paragraph" w:customStyle="1" w:styleId="TableHeading">
    <w:name w:val="Table Heading"/>
    <w:basedOn w:val="Normal"/>
    <w:rsid w:val="00CD5DB7"/>
    <w:pPr>
      <w:suppressLineNumbers/>
      <w:suppressAutoHyphens/>
      <w:ind w:left="0"/>
      <w:jc w:val="center"/>
    </w:pPr>
    <w:rPr>
      <w:rFonts w:ascii="Arial" w:hAnsi="Arial"/>
      <w:b/>
      <w:bCs/>
      <w:sz w:val="22"/>
      <w:lang w:val="es-CO" w:eastAsia="ar-SA"/>
    </w:rPr>
  </w:style>
  <w:style w:type="character" w:styleId="Textodelmarcadordeposicin">
    <w:name w:val="Placeholder Text"/>
    <w:uiPriority w:val="99"/>
    <w:semiHidden/>
    <w:rsid w:val="00CD5DB7"/>
    <w:rPr>
      <w:color w:val="808080"/>
    </w:rPr>
  </w:style>
  <w:style w:type="paragraph" w:styleId="Revisin">
    <w:name w:val="Revision"/>
    <w:hidden/>
    <w:uiPriority w:val="99"/>
    <w:semiHidden/>
    <w:rsid w:val="00CD5DB7"/>
    <w:rPr>
      <w:sz w:val="24"/>
      <w:szCs w:val="24"/>
      <w:lang w:val="es-ES" w:eastAsia="es-ES"/>
    </w:rPr>
  </w:style>
  <w:style w:type="paragraph" w:customStyle="1" w:styleId="Comentarios">
    <w:name w:val="Comentarios"/>
    <w:basedOn w:val="Textoindependiente"/>
    <w:rsid w:val="00CD5DB7"/>
    <w:pPr>
      <w:numPr>
        <w:numId w:val="2"/>
      </w:numPr>
      <w:jc w:val="both"/>
    </w:pPr>
    <w:rPr>
      <w:b w:val="0"/>
      <w:bCs w:val="0"/>
      <w:sz w:val="22"/>
      <w:szCs w:val="20"/>
    </w:rPr>
  </w:style>
  <w:style w:type="paragraph" w:styleId="Textonotaalfinal">
    <w:name w:val="endnote text"/>
    <w:basedOn w:val="Normal"/>
    <w:link w:val="TextonotaalfinalCar"/>
    <w:uiPriority w:val="99"/>
    <w:semiHidden/>
    <w:unhideWhenUsed/>
    <w:rsid w:val="00CD5DB7"/>
    <w:pPr>
      <w:widowControl w:val="0"/>
      <w:adjustRightInd w:val="0"/>
      <w:ind w:left="0"/>
      <w:jc w:val="both"/>
      <w:textAlignment w:val="baseline"/>
    </w:pPr>
    <w:rPr>
      <w:sz w:val="20"/>
      <w:szCs w:val="20"/>
    </w:rPr>
  </w:style>
  <w:style w:type="character" w:customStyle="1" w:styleId="TextonotaalfinalCar">
    <w:name w:val="Texto nota al final Car"/>
    <w:link w:val="Textonotaalfinal"/>
    <w:uiPriority w:val="99"/>
    <w:semiHidden/>
    <w:rsid w:val="00CD5DB7"/>
    <w:rPr>
      <w:lang w:val="es-ES" w:eastAsia="es-ES"/>
    </w:rPr>
  </w:style>
  <w:style w:type="character" w:styleId="Refdenotaalfinal">
    <w:name w:val="endnote reference"/>
    <w:uiPriority w:val="99"/>
    <w:semiHidden/>
    <w:unhideWhenUsed/>
    <w:rsid w:val="00CD5DB7"/>
    <w:rPr>
      <w:vertAlign w:val="superscript"/>
    </w:rPr>
  </w:style>
  <w:style w:type="paragraph" w:styleId="Textonotapie">
    <w:name w:val="footnote text"/>
    <w:aliases w:val="fn,footnote text"/>
    <w:basedOn w:val="Normal"/>
    <w:link w:val="TextonotapieCar"/>
    <w:rsid w:val="00C505AE"/>
    <w:pPr>
      <w:ind w:left="0"/>
      <w:jc w:val="both"/>
    </w:pPr>
    <w:rPr>
      <w:rFonts w:ascii="Arial" w:hAnsi="Arial"/>
      <w:sz w:val="20"/>
      <w:szCs w:val="20"/>
      <w:lang w:val="es-ES_tradnl" w:eastAsia="x-none"/>
    </w:rPr>
  </w:style>
  <w:style w:type="character" w:customStyle="1" w:styleId="TextonotapieCar">
    <w:name w:val="Texto nota pie Car"/>
    <w:aliases w:val="fn Car,footnote text Car"/>
    <w:link w:val="Textonotapie"/>
    <w:uiPriority w:val="99"/>
    <w:rsid w:val="00C505AE"/>
    <w:rPr>
      <w:rFonts w:ascii="Arial" w:hAnsi="Arial"/>
      <w:lang w:val="es-ES_tradnl"/>
    </w:rPr>
  </w:style>
  <w:style w:type="character" w:styleId="Refdenotaalpie">
    <w:name w:val="footnote reference"/>
    <w:aliases w:val="Texto de nota al pie,Footnotes refss,Appel note de bas de page,Ref,de nota al pie,FC,Appel note d,Appel note de,Appel note de bas de p,Ref. de nota al pie 2,Appel note de bas de"/>
    <w:rsid w:val="00C505AE"/>
    <w:rPr>
      <w:vertAlign w:val="superscript"/>
    </w:rPr>
  </w:style>
  <w:style w:type="character" w:styleId="Hipervnculo">
    <w:name w:val="Hyperlink"/>
    <w:uiPriority w:val="99"/>
    <w:unhideWhenUsed/>
    <w:rsid w:val="002149EB"/>
    <w:rPr>
      <w:color w:val="0000FF"/>
      <w:u w:val="single"/>
    </w:rPr>
  </w:style>
  <w:style w:type="character" w:styleId="Hipervnculovisitado">
    <w:name w:val="FollowedHyperlink"/>
    <w:uiPriority w:val="99"/>
    <w:semiHidden/>
    <w:unhideWhenUsed/>
    <w:rsid w:val="00023A14"/>
    <w:rPr>
      <w:color w:val="800080"/>
      <w:u w:val="single"/>
    </w:rPr>
  </w:style>
  <w:style w:type="paragraph" w:customStyle="1" w:styleId="Textoindependiente21">
    <w:name w:val="Texto independiente 21"/>
    <w:basedOn w:val="Normal"/>
    <w:rsid w:val="00DC5C29"/>
    <w:pPr>
      <w:widowControl w:val="0"/>
      <w:tabs>
        <w:tab w:val="left" w:pos="3420"/>
      </w:tabs>
      <w:ind w:left="0"/>
      <w:jc w:val="both"/>
    </w:pPr>
    <w:rPr>
      <w:rFonts w:ascii="Arial" w:hAnsi="Arial"/>
      <w:sz w:val="20"/>
      <w:szCs w:val="20"/>
      <w:lang w:val="es-CO" w:eastAsia="es-CO"/>
    </w:rPr>
  </w:style>
  <w:style w:type="paragraph" w:customStyle="1" w:styleId="Estilo2">
    <w:name w:val="Estilo2"/>
    <w:basedOn w:val="Estilo1"/>
    <w:link w:val="Estilo2Car"/>
    <w:rsid w:val="00D352C5"/>
    <w:pPr>
      <w:keepNext/>
      <w:widowControl w:val="0"/>
      <w:numPr>
        <w:numId w:val="3"/>
      </w:numPr>
      <w:shd w:val="clear" w:color="auto" w:fill="auto"/>
      <w:adjustRightInd w:val="0"/>
      <w:jc w:val="both"/>
      <w:textAlignment w:val="baseline"/>
      <w:outlineLvl w:val="0"/>
    </w:pPr>
    <w:rPr>
      <w:rFonts w:ascii="Bookman Old Style" w:hAnsi="Bookman Old Style"/>
      <w:b/>
      <w:bCs/>
      <w:color w:val="auto"/>
      <w:sz w:val="24"/>
      <w:szCs w:val="24"/>
      <w:lang w:eastAsia="ar-SA"/>
    </w:rPr>
  </w:style>
  <w:style w:type="character" w:customStyle="1" w:styleId="Estilo2Car">
    <w:name w:val="Estilo2 Car"/>
    <w:link w:val="Estilo2"/>
    <w:rsid w:val="00D352C5"/>
    <w:rPr>
      <w:rFonts w:ascii="Bookman Old Style" w:hAnsi="Bookman Old Style"/>
      <w:b/>
      <w:bCs/>
      <w:sz w:val="24"/>
      <w:szCs w:val="24"/>
      <w:lang w:eastAsia="ar-SA"/>
    </w:rPr>
  </w:style>
  <w:style w:type="paragraph" w:styleId="Mapadeldocumento">
    <w:name w:val="Document Map"/>
    <w:basedOn w:val="Normal"/>
    <w:link w:val="MapadeldocumentoCar"/>
    <w:uiPriority w:val="99"/>
    <w:semiHidden/>
    <w:unhideWhenUsed/>
    <w:rsid w:val="00D352C5"/>
    <w:rPr>
      <w:rFonts w:ascii="Tahoma" w:hAnsi="Tahoma"/>
      <w:sz w:val="16"/>
      <w:szCs w:val="16"/>
    </w:rPr>
  </w:style>
  <w:style w:type="character" w:customStyle="1" w:styleId="MapadeldocumentoCar">
    <w:name w:val="Mapa del documento Car"/>
    <w:link w:val="Mapadeldocumento"/>
    <w:uiPriority w:val="99"/>
    <w:semiHidden/>
    <w:rsid w:val="00D352C5"/>
    <w:rPr>
      <w:rFonts w:ascii="Tahoma" w:hAnsi="Tahoma"/>
      <w:sz w:val="16"/>
      <w:szCs w:val="16"/>
      <w:lang w:val="es-ES" w:eastAsia="es-ES"/>
    </w:rPr>
  </w:style>
  <w:style w:type="character" w:customStyle="1" w:styleId="TextocomentarioCar1">
    <w:name w:val="Texto comentario Car1"/>
    <w:uiPriority w:val="99"/>
    <w:semiHidden/>
    <w:rsid w:val="00F5619A"/>
    <w:rPr>
      <w:rFonts w:ascii="Arial" w:hAnsi="Arial"/>
      <w:lang w:val="es-ES_tradnl"/>
    </w:rPr>
  </w:style>
  <w:style w:type="character" w:customStyle="1" w:styleId="Ttulo1Car">
    <w:name w:val="Título 1 Car"/>
    <w:basedOn w:val="Fuentedeprrafopredeter"/>
    <w:link w:val="Ttulo1"/>
    <w:rsid w:val="001159F1"/>
    <w:rPr>
      <w:rFonts w:ascii="CG Times" w:hAnsi="CG Times"/>
      <w:b/>
      <w:sz w:val="24"/>
      <w:lang w:eastAsia="es-ES"/>
    </w:rPr>
  </w:style>
  <w:style w:type="paragraph" w:customStyle="1" w:styleId="CM29">
    <w:name w:val="CM29"/>
    <w:basedOn w:val="Default"/>
    <w:next w:val="Default"/>
    <w:uiPriority w:val="99"/>
    <w:rsid w:val="00DC6B5C"/>
    <w:rPr>
      <w:rFonts w:ascii="Arial" w:eastAsia="Times New Roman" w:hAnsi="Arial" w:cs="Arial"/>
      <w:color w:val="auto"/>
      <w:lang w:eastAsia="es-CO"/>
    </w:rPr>
  </w:style>
  <w:style w:type="character" w:customStyle="1" w:styleId="textonavy1">
    <w:name w:val="texto_navy1"/>
    <w:basedOn w:val="Fuentedeprrafopredeter"/>
    <w:rsid w:val="00D10A6F"/>
    <w:rPr>
      <w:color w:val="000080"/>
    </w:rPr>
  </w:style>
  <w:style w:type="paragraph" w:customStyle="1" w:styleId="Estilo5">
    <w:name w:val="Estilo5"/>
    <w:basedOn w:val="Estilo1"/>
    <w:qFormat/>
    <w:rsid w:val="005A559B"/>
    <w:pPr>
      <w:keepNext/>
      <w:numPr>
        <w:numId w:val="4"/>
      </w:numPr>
      <w:shd w:val="clear" w:color="auto" w:fill="auto"/>
      <w:spacing w:before="240" w:after="60"/>
      <w:jc w:val="both"/>
      <w:outlineLvl w:val="0"/>
    </w:pPr>
    <w:rPr>
      <w:rFonts w:ascii="Arial" w:hAnsi="Arial"/>
      <w:b/>
      <w:color w:val="auto"/>
      <w:kern w:val="28"/>
      <w:sz w:val="22"/>
      <w:szCs w:val="22"/>
      <w:lang w:val="es-ES_tradnl" w:eastAsia="es-CO"/>
    </w:rPr>
  </w:style>
  <w:style w:type="paragraph" w:styleId="Textosinformato">
    <w:name w:val="Plain Text"/>
    <w:basedOn w:val="Normal"/>
    <w:link w:val="TextosinformatoCar"/>
    <w:rsid w:val="00170128"/>
    <w:pPr>
      <w:ind w:left="0"/>
    </w:pPr>
    <w:rPr>
      <w:rFonts w:ascii="Courier New" w:hAnsi="Courier New" w:cs="Courier New"/>
      <w:sz w:val="20"/>
      <w:szCs w:val="20"/>
    </w:rPr>
  </w:style>
  <w:style w:type="character" w:customStyle="1" w:styleId="TextosinformatoCar">
    <w:name w:val="Texto sin formato Car"/>
    <w:basedOn w:val="Fuentedeprrafopredeter"/>
    <w:link w:val="Textosinformato"/>
    <w:rsid w:val="00170128"/>
    <w:rPr>
      <w:rFonts w:ascii="Courier New" w:hAnsi="Courier New" w:cs="Courier New"/>
      <w:lang w:val="es-ES" w:eastAsia="es-ES"/>
    </w:rPr>
  </w:style>
  <w:style w:type="paragraph" w:styleId="NormalWeb">
    <w:name w:val="Normal (Web)"/>
    <w:basedOn w:val="Normal"/>
    <w:uiPriority w:val="99"/>
    <w:semiHidden/>
    <w:unhideWhenUsed/>
    <w:rsid w:val="00F66E9F"/>
    <w:pPr>
      <w:spacing w:before="100" w:beforeAutospacing="1" w:after="100" w:afterAutospacing="1"/>
      <w:ind w:left="0"/>
    </w:pPr>
    <w:rPr>
      <w:lang w:val="es-CO" w:eastAsia="es-CO"/>
    </w:rPr>
  </w:style>
  <w:style w:type="paragraph" w:customStyle="1" w:styleId="CM9">
    <w:name w:val="CM9"/>
    <w:basedOn w:val="Default"/>
    <w:next w:val="Default"/>
    <w:uiPriority w:val="99"/>
    <w:rsid w:val="00633102"/>
    <w:rPr>
      <w:rFonts w:ascii="Arial" w:eastAsia="Times New Roman" w:hAnsi="Arial" w:cs="Arial"/>
      <w:color w:val="auto"/>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5916">
      <w:bodyDiv w:val="1"/>
      <w:marLeft w:val="0"/>
      <w:marRight w:val="0"/>
      <w:marTop w:val="0"/>
      <w:marBottom w:val="0"/>
      <w:divBdr>
        <w:top w:val="none" w:sz="0" w:space="0" w:color="auto"/>
        <w:left w:val="none" w:sz="0" w:space="0" w:color="auto"/>
        <w:bottom w:val="none" w:sz="0" w:space="0" w:color="auto"/>
        <w:right w:val="none" w:sz="0" w:space="0" w:color="auto"/>
      </w:divBdr>
      <w:divsChild>
        <w:div w:id="1474564471">
          <w:marLeft w:val="0"/>
          <w:marRight w:val="0"/>
          <w:marTop w:val="0"/>
          <w:marBottom w:val="0"/>
          <w:divBdr>
            <w:top w:val="none" w:sz="0" w:space="0" w:color="auto"/>
            <w:left w:val="none" w:sz="0" w:space="0" w:color="auto"/>
            <w:bottom w:val="none" w:sz="0" w:space="0" w:color="auto"/>
            <w:right w:val="none" w:sz="0" w:space="0" w:color="auto"/>
          </w:divBdr>
        </w:div>
      </w:divsChild>
    </w:div>
    <w:div w:id="1635901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2574">
          <w:marLeft w:val="0"/>
          <w:marRight w:val="0"/>
          <w:marTop w:val="0"/>
          <w:marBottom w:val="0"/>
          <w:divBdr>
            <w:top w:val="none" w:sz="0" w:space="0" w:color="auto"/>
            <w:left w:val="none" w:sz="0" w:space="0" w:color="auto"/>
            <w:bottom w:val="none" w:sz="0" w:space="0" w:color="auto"/>
            <w:right w:val="none" w:sz="0" w:space="0" w:color="auto"/>
          </w:divBdr>
        </w:div>
        <w:div w:id="646544565">
          <w:marLeft w:val="0"/>
          <w:marRight w:val="0"/>
          <w:marTop w:val="0"/>
          <w:marBottom w:val="0"/>
          <w:divBdr>
            <w:top w:val="none" w:sz="0" w:space="0" w:color="auto"/>
            <w:left w:val="none" w:sz="0" w:space="0" w:color="auto"/>
            <w:bottom w:val="none" w:sz="0" w:space="0" w:color="auto"/>
            <w:right w:val="none" w:sz="0" w:space="0" w:color="auto"/>
          </w:divBdr>
        </w:div>
        <w:div w:id="1769346128">
          <w:marLeft w:val="0"/>
          <w:marRight w:val="0"/>
          <w:marTop w:val="0"/>
          <w:marBottom w:val="0"/>
          <w:divBdr>
            <w:top w:val="none" w:sz="0" w:space="0" w:color="auto"/>
            <w:left w:val="none" w:sz="0" w:space="0" w:color="auto"/>
            <w:bottom w:val="none" w:sz="0" w:space="0" w:color="auto"/>
            <w:right w:val="none" w:sz="0" w:space="0" w:color="auto"/>
          </w:divBdr>
        </w:div>
      </w:divsChild>
    </w:div>
    <w:div w:id="1045447228">
      <w:bodyDiv w:val="1"/>
      <w:marLeft w:val="0"/>
      <w:marRight w:val="0"/>
      <w:marTop w:val="0"/>
      <w:marBottom w:val="0"/>
      <w:divBdr>
        <w:top w:val="none" w:sz="0" w:space="0" w:color="auto"/>
        <w:left w:val="none" w:sz="0" w:space="0" w:color="auto"/>
        <w:bottom w:val="none" w:sz="0" w:space="0" w:color="auto"/>
        <w:right w:val="none" w:sz="0" w:space="0" w:color="auto"/>
      </w:divBdr>
      <w:divsChild>
        <w:div w:id="1832789833">
          <w:marLeft w:val="0"/>
          <w:marRight w:val="0"/>
          <w:marTop w:val="0"/>
          <w:marBottom w:val="0"/>
          <w:divBdr>
            <w:top w:val="none" w:sz="0" w:space="0" w:color="auto"/>
            <w:left w:val="none" w:sz="0" w:space="0" w:color="auto"/>
            <w:bottom w:val="none" w:sz="0" w:space="0" w:color="auto"/>
            <w:right w:val="none" w:sz="0" w:space="0" w:color="auto"/>
          </w:divBdr>
        </w:div>
      </w:divsChild>
    </w:div>
    <w:div w:id="1406873895">
      <w:bodyDiv w:val="1"/>
      <w:marLeft w:val="0"/>
      <w:marRight w:val="0"/>
      <w:marTop w:val="0"/>
      <w:marBottom w:val="0"/>
      <w:divBdr>
        <w:top w:val="none" w:sz="0" w:space="0" w:color="auto"/>
        <w:left w:val="none" w:sz="0" w:space="0" w:color="auto"/>
        <w:bottom w:val="none" w:sz="0" w:space="0" w:color="auto"/>
        <w:right w:val="none" w:sz="0" w:space="0" w:color="auto"/>
      </w:divBdr>
    </w:div>
    <w:div w:id="1410729380">
      <w:bodyDiv w:val="1"/>
      <w:marLeft w:val="0"/>
      <w:marRight w:val="0"/>
      <w:marTop w:val="0"/>
      <w:marBottom w:val="0"/>
      <w:divBdr>
        <w:top w:val="none" w:sz="0" w:space="0" w:color="auto"/>
        <w:left w:val="none" w:sz="0" w:space="0" w:color="auto"/>
        <w:bottom w:val="none" w:sz="0" w:space="0" w:color="auto"/>
        <w:right w:val="none" w:sz="0" w:space="0" w:color="auto"/>
      </w:divBdr>
    </w:div>
    <w:div w:id="1504129833">
      <w:bodyDiv w:val="1"/>
      <w:marLeft w:val="0"/>
      <w:marRight w:val="0"/>
      <w:marTop w:val="0"/>
      <w:marBottom w:val="0"/>
      <w:divBdr>
        <w:top w:val="none" w:sz="0" w:space="0" w:color="auto"/>
        <w:left w:val="none" w:sz="0" w:space="0" w:color="auto"/>
        <w:bottom w:val="none" w:sz="0" w:space="0" w:color="auto"/>
        <w:right w:val="none" w:sz="0" w:space="0" w:color="auto"/>
      </w:divBdr>
    </w:div>
    <w:div w:id="1581022099">
      <w:bodyDiv w:val="1"/>
      <w:marLeft w:val="0"/>
      <w:marRight w:val="0"/>
      <w:marTop w:val="0"/>
      <w:marBottom w:val="0"/>
      <w:divBdr>
        <w:top w:val="none" w:sz="0" w:space="0" w:color="auto"/>
        <w:left w:val="none" w:sz="0" w:space="0" w:color="auto"/>
        <w:bottom w:val="none" w:sz="0" w:space="0" w:color="auto"/>
        <w:right w:val="none" w:sz="0" w:space="0" w:color="auto"/>
      </w:divBdr>
    </w:div>
    <w:div w:id="1808082276">
      <w:bodyDiv w:val="1"/>
      <w:marLeft w:val="0"/>
      <w:marRight w:val="0"/>
      <w:marTop w:val="0"/>
      <w:marBottom w:val="0"/>
      <w:divBdr>
        <w:top w:val="none" w:sz="0" w:space="0" w:color="auto"/>
        <w:left w:val="none" w:sz="0" w:space="0" w:color="auto"/>
        <w:bottom w:val="none" w:sz="0" w:space="0" w:color="auto"/>
        <w:right w:val="none" w:sz="0" w:space="0" w:color="auto"/>
      </w:divBdr>
    </w:div>
    <w:div w:id="1899975495">
      <w:bodyDiv w:val="1"/>
      <w:marLeft w:val="0"/>
      <w:marRight w:val="0"/>
      <w:marTop w:val="0"/>
      <w:marBottom w:val="0"/>
      <w:divBdr>
        <w:top w:val="none" w:sz="0" w:space="0" w:color="auto"/>
        <w:left w:val="none" w:sz="0" w:space="0" w:color="auto"/>
        <w:bottom w:val="none" w:sz="0" w:space="0" w:color="auto"/>
        <w:right w:val="none" w:sz="0" w:space="0" w:color="auto"/>
      </w:divBdr>
      <w:divsChild>
        <w:div w:id="2112966397">
          <w:marLeft w:val="0"/>
          <w:marRight w:val="0"/>
          <w:marTop w:val="0"/>
          <w:marBottom w:val="0"/>
          <w:divBdr>
            <w:top w:val="none" w:sz="0" w:space="0" w:color="auto"/>
            <w:left w:val="none" w:sz="0" w:space="0" w:color="auto"/>
            <w:bottom w:val="none" w:sz="0" w:space="0" w:color="auto"/>
            <w:right w:val="none" w:sz="0" w:space="0" w:color="auto"/>
          </w:divBdr>
          <w:divsChild>
            <w:div w:id="1323461663">
              <w:marLeft w:val="0"/>
              <w:marRight w:val="0"/>
              <w:marTop w:val="0"/>
              <w:marBottom w:val="0"/>
              <w:divBdr>
                <w:top w:val="none" w:sz="0" w:space="0" w:color="auto"/>
                <w:left w:val="none" w:sz="0" w:space="0" w:color="auto"/>
                <w:bottom w:val="none" w:sz="0" w:space="0" w:color="auto"/>
                <w:right w:val="none" w:sz="0" w:space="0" w:color="auto"/>
              </w:divBdr>
              <w:divsChild>
                <w:div w:id="1891767563">
                  <w:marLeft w:val="0"/>
                  <w:marRight w:val="0"/>
                  <w:marTop w:val="0"/>
                  <w:marBottom w:val="0"/>
                  <w:divBdr>
                    <w:top w:val="none" w:sz="0" w:space="0" w:color="auto"/>
                    <w:left w:val="none" w:sz="0" w:space="0" w:color="auto"/>
                    <w:bottom w:val="none" w:sz="0" w:space="0" w:color="auto"/>
                    <w:right w:val="none" w:sz="0" w:space="0" w:color="auto"/>
                  </w:divBdr>
                  <w:divsChild>
                    <w:div w:id="2071612828">
                      <w:marLeft w:val="0"/>
                      <w:marRight w:val="0"/>
                      <w:marTop w:val="0"/>
                      <w:marBottom w:val="0"/>
                      <w:divBdr>
                        <w:top w:val="none" w:sz="0" w:space="0" w:color="auto"/>
                        <w:left w:val="none" w:sz="0" w:space="0" w:color="auto"/>
                        <w:bottom w:val="none" w:sz="0" w:space="0" w:color="auto"/>
                        <w:right w:val="none" w:sz="0" w:space="0" w:color="auto"/>
                      </w:divBdr>
                      <w:divsChild>
                        <w:div w:id="456532420">
                          <w:marLeft w:val="0"/>
                          <w:marRight w:val="0"/>
                          <w:marTop w:val="0"/>
                          <w:marBottom w:val="0"/>
                          <w:divBdr>
                            <w:top w:val="none" w:sz="0" w:space="0" w:color="auto"/>
                            <w:left w:val="none" w:sz="0" w:space="0" w:color="auto"/>
                            <w:bottom w:val="none" w:sz="0" w:space="0" w:color="auto"/>
                            <w:right w:val="none" w:sz="0" w:space="0" w:color="auto"/>
                          </w:divBdr>
                          <w:divsChild>
                            <w:div w:id="2107118457">
                              <w:marLeft w:val="0"/>
                              <w:marRight w:val="0"/>
                              <w:marTop w:val="0"/>
                              <w:marBottom w:val="0"/>
                              <w:divBdr>
                                <w:top w:val="none" w:sz="0" w:space="0" w:color="auto"/>
                                <w:left w:val="none" w:sz="0" w:space="0" w:color="auto"/>
                                <w:bottom w:val="none" w:sz="0" w:space="0" w:color="auto"/>
                                <w:right w:val="none" w:sz="0" w:space="0" w:color="auto"/>
                              </w:divBdr>
                              <w:divsChild>
                                <w:div w:id="1650598387">
                                  <w:marLeft w:val="0"/>
                                  <w:marRight w:val="0"/>
                                  <w:marTop w:val="0"/>
                                  <w:marBottom w:val="0"/>
                                  <w:divBdr>
                                    <w:top w:val="none" w:sz="0" w:space="0" w:color="auto"/>
                                    <w:left w:val="none" w:sz="0" w:space="0" w:color="auto"/>
                                    <w:bottom w:val="none" w:sz="0" w:space="0" w:color="auto"/>
                                    <w:right w:val="none" w:sz="0" w:space="0" w:color="auto"/>
                                  </w:divBdr>
                                  <w:divsChild>
                                    <w:div w:id="614795040">
                                      <w:marLeft w:val="0"/>
                                      <w:marRight w:val="0"/>
                                      <w:marTop w:val="0"/>
                                      <w:marBottom w:val="0"/>
                                      <w:divBdr>
                                        <w:top w:val="none" w:sz="0" w:space="0" w:color="auto"/>
                                        <w:left w:val="none" w:sz="0" w:space="0" w:color="auto"/>
                                        <w:bottom w:val="none" w:sz="0" w:space="0" w:color="auto"/>
                                        <w:right w:val="none" w:sz="0" w:space="0" w:color="auto"/>
                                      </w:divBdr>
                                      <w:divsChild>
                                        <w:div w:id="1484152432">
                                          <w:marLeft w:val="0"/>
                                          <w:marRight w:val="0"/>
                                          <w:marTop w:val="0"/>
                                          <w:marBottom w:val="0"/>
                                          <w:divBdr>
                                            <w:top w:val="none" w:sz="0" w:space="0" w:color="auto"/>
                                            <w:left w:val="none" w:sz="0" w:space="0" w:color="auto"/>
                                            <w:bottom w:val="none" w:sz="0" w:space="0" w:color="auto"/>
                                            <w:right w:val="none" w:sz="0" w:space="0" w:color="auto"/>
                                          </w:divBdr>
                                          <w:divsChild>
                                            <w:div w:id="268778282">
                                              <w:marLeft w:val="0"/>
                                              <w:marRight w:val="0"/>
                                              <w:marTop w:val="0"/>
                                              <w:marBottom w:val="0"/>
                                              <w:divBdr>
                                                <w:top w:val="none" w:sz="0" w:space="0" w:color="auto"/>
                                                <w:left w:val="none" w:sz="0" w:space="0" w:color="auto"/>
                                                <w:bottom w:val="none" w:sz="0" w:space="0" w:color="auto"/>
                                                <w:right w:val="none" w:sz="0" w:space="0" w:color="auto"/>
                                              </w:divBdr>
                                              <w:divsChild>
                                                <w:div w:id="2087847430">
                                                  <w:marLeft w:val="0"/>
                                                  <w:marRight w:val="0"/>
                                                  <w:marTop w:val="0"/>
                                                  <w:marBottom w:val="0"/>
                                                  <w:divBdr>
                                                    <w:top w:val="none" w:sz="0" w:space="0" w:color="auto"/>
                                                    <w:left w:val="none" w:sz="0" w:space="0" w:color="auto"/>
                                                    <w:bottom w:val="none" w:sz="0" w:space="0" w:color="auto"/>
                                                    <w:right w:val="none" w:sz="0" w:space="0" w:color="auto"/>
                                                  </w:divBdr>
                                                  <w:divsChild>
                                                    <w:div w:id="1419055348">
                                                      <w:marLeft w:val="0"/>
                                                      <w:marRight w:val="0"/>
                                                      <w:marTop w:val="0"/>
                                                      <w:marBottom w:val="0"/>
                                                      <w:divBdr>
                                                        <w:top w:val="none" w:sz="0" w:space="0" w:color="auto"/>
                                                        <w:left w:val="none" w:sz="0" w:space="0" w:color="auto"/>
                                                        <w:bottom w:val="none" w:sz="0" w:space="0" w:color="auto"/>
                                                        <w:right w:val="none" w:sz="0" w:space="0" w:color="auto"/>
                                                      </w:divBdr>
                                                      <w:divsChild>
                                                        <w:div w:id="1106848316">
                                                          <w:marLeft w:val="0"/>
                                                          <w:marRight w:val="0"/>
                                                          <w:marTop w:val="0"/>
                                                          <w:marBottom w:val="0"/>
                                                          <w:divBdr>
                                                            <w:top w:val="none" w:sz="0" w:space="0" w:color="auto"/>
                                                            <w:left w:val="none" w:sz="0" w:space="0" w:color="auto"/>
                                                            <w:bottom w:val="none" w:sz="0" w:space="0" w:color="auto"/>
                                                            <w:right w:val="none" w:sz="0" w:space="0" w:color="auto"/>
                                                          </w:divBdr>
                                                          <w:divsChild>
                                                            <w:div w:id="1223177725">
                                                              <w:marLeft w:val="0"/>
                                                              <w:marRight w:val="0"/>
                                                              <w:marTop w:val="0"/>
                                                              <w:marBottom w:val="0"/>
                                                              <w:divBdr>
                                                                <w:top w:val="none" w:sz="0" w:space="0" w:color="auto"/>
                                                                <w:left w:val="none" w:sz="0" w:space="0" w:color="auto"/>
                                                                <w:bottom w:val="none" w:sz="0" w:space="0" w:color="auto"/>
                                                                <w:right w:val="none" w:sz="0" w:space="0" w:color="auto"/>
                                                              </w:divBdr>
                                                              <w:divsChild>
                                                                <w:div w:id="1668287797">
                                                                  <w:marLeft w:val="0"/>
                                                                  <w:marRight w:val="0"/>
                                                                  <w:marTop w:val="0"/>
                                                                  <w:marBottom w:val="0"/>
                                                                  <w:divBdr>
                                                                    <w:top w:val="none" w:sz="0" w:space="0" w:color="auto"/>
                                                                    <w:left w:val="none" w:sz="0" w:space="0" w:color="auto"/>
                                                                    <w:bottom w:val="none" w:sz="0" w:space="0" w:color="auto"/>
                                                                    <w:right w:val="none" w:sz="0" w:space="0" w:color="auto"/>
                                                                  </w:divBdr>
                                                                  <w:divsChild>
                                                                    <w:div w:id="1532957590">
                                                                      <w:marLeft w:val="0"/>
                                                                      <w:marRight w:val="0"/>
                                                                      <w:marTop w:val="0"/>
                                                                      <w:marBottom w:val="0"/>
                                                                      <w:divBdr>
                                                                        <w:top w:val="none" w:sz="0" w:space="0" w:color="auto"/>
                                                                        <w:left w:val="none" w:sz="0" w:space="0" w:color="auto"/>
                                                                        <w:bottom w:val="none" w:sz="0" w:space="0" w:color="auto"/>
                                                                        <w:right w:val="none" w:sz="0" w:space="0" w:color="auto"/>
                                                                      </w:divBdr>
                                                                      <w:divsChild>
                                                                        <w:div w:id="1693610515">
                                                                          <w:marLeft w:val="0"/>
                                                                          <w:marRight w:val="0"/>
                                                                          <w:marTop w:val="0"/>
                                                                          <w:marBottom w:val="0"/>
                                                                          <w:divBdr>
                                                                            <w:top w:val="none" w:sz="0" w:space="0" w:color="auto"/>
                                                                            <w:left w:val="none" w:sz="0" w:space="0" w:color="auto"/>
                                                                            <w:bottom w:val="none" w:sz="0" w:space="0" w:color="auto"/>
                                                                            <w:right w:val="none" w:sz="0" w:space="0" w:color="auto"/>
                                                                          </w:divBdr>
                                                                          <w:divsChild>
                                                                            <w:div w:id="2049259660">
                                                                              <w:marLeft w:val="0"/>
                                                                              <w:marRight w:val="0"/>
                                                                              <w:marTop w:val="0"/>
                                                                              <w:marBottom w:val="0"/>
                                                                              <w:divBdr>
                                                                                <w:top w:val="none" w:sz="0" w:space="0" w:color="auto"/>
                                                                                <w:left w:val="none" w:sz="0" w:space="0" w:color="auto"/>
                                                                                <w:bottom w:val="none" w:sz="0" w:space="0" w:color="auto"/>
                                                                                <w:right w:val="none" w:sz="0" w:space="0" w:color="auto"/>
                                                                              </w:divBdr>
                                                                              <w:divsChild>
                                                                                <w:div w:id="467864290">
                                                                                  <w:marLeft w:val="0"/>
                                                                                  <w:marRight w:val="0"/>
                                                                                  <w:marTop w:val="0"/>
                                                                                  <w:marBottom w:val="0"/>
                                                                                  <w:divBdr>
                                                                                    <w:top w:val="none" w:sz="0" w:space="0" w:color="auto"/>
                                                                                    <w:left w:val="none" w:sz="0" w:space="0" w:color="auto"/>
                                                                                    <w:bottom w:val="none" w:sz="0" w:space="0" w:color="auto"/>
                                                                                    <w:right w:val="none" w:sz="0" w:space="0" w:color="auto"/>
                                                                                  </w:divBdr>
                                                                                  <w:divsChild>
                                                                                    <w:div w:id="1052853777">
                                                                                      <w:marLeft w:val="0"/>
                                                                                      <w:marRight w:val="0"/>
                                                                                      <w:marTop w:val="0"/>
                                                                                      <w:marBottom w:val="0"/>
                                                                                      <w:divBdr>
                                                                                        <w:top w:val="none" w:sz="0" w:space="0" w:color="auto"/>
                                                                                        <w:left w:val="none" w:sz="0" w:space="0" w:color="auto"/>
                                                                                        <w:bottom w:val="none" w:sz="0" w:space="0" w:color="auto"/>
                                                                                        <w:right w:val="none" w:sz="0" w:space="0" w:color="auto"/>
                                                                                      </w:divBdr>
                                                                                      <w:divsChild>
                                                                                        <w:div w:id="905408738">
                                                                                          <w:marLeft w:val="0"/>
                                                                                          <w:marRight w:val="0"/>
                                                                                          <w:marTop w:val="0"/>
                                                                                          <w:marBottom w:val="0"/>
                                                                                          <w:divBdr>
                                                                                            <w:top w:val="none" w:sz="0" w:space="0" w:color="auto"/>
                                                                                            <w:left w:val="none" w:sz="0" w:space="0" w:color="auto"/>
                                                                                            <w:bottom w:val="none" w:sz="0" w:space="0" w:color="auto"/>
                                                                                            <w:right w:val="none" w:sz="0" w:space="0" w:color="auto"/>
                                                                                          </w:divBdr>
                                                                                          <w:divsChild>
                                                                                            <w:div w:id="347291510">
                                                                                              <w:marLeft w:val="0"/>
                                                                                              <w:marRight w:val="0"/>
                                                                                              <w:marTop w:val="0"/>
                                                                                              <w:marBottom w:val="0"/>
                                                                                              <w:divBdr>
                                                                                                <w:top w:val="none" w:sz="0" w:space="0" w:color="auto"/>
                                                                                                <w:left w:val="none" w:sz="0" w:space="0" w:color="auto"/>
                                                                                                <w:bottom w:val="none" w:sz="0" w:space="0" w:color="auto"/>
                                                                                                <w:right w:val="none" w:sz="0" w:space="0" w:color="auto"/>
                                                                                              </w:divBdr>
                                                                                              <w:divsChild>
                                                                                                <w:div w:id="687414691">
                                                                                                  <w:marLeft w:val="0"/>
                                                                                                  <w:marRight w:val="0"/>
                                                                                                  <w:marTop w:val="0"/>
                                                                                                  <w:marBottom w:val="0"/>
                                                                                                  <w:divBdr>
                                                                                                    <w:top w:val="none" w:sz="0" w:space="0" w:color="auto"/>
                                                                                                    <w:left w:val="none" w:sz="0" w:space="0" w:color="auto"/>
                                                                                                    <w:bottom w:val="none" w:sz="0" w:space="0" w:color="auto"/>
                                                                                                    <w:right w:val="none" w:sz="0" w:space="0" w:color="auto"/>
                                                                                                  </w:divBdr>
                                                                                                  <w:divsChild>
                                                                                                    <w:div w:id="1018193631">
                                                                                                      <w:marLeft w:val="0"/>
                                                                                                      <w:marRight w:val="0"/>
                                                                                                      <w:marTop w:val="0"/>
                                                                                                      <w:marBottom w:val="0"/>
                                                                                                      <w:divBdr>
                                                                                                        <w:top w:val="none" w:sz="0" w:space="0" w:color="auto"/>
                                                                                                        <w:left w:val="none" w:sz="0" w:space="0" w:color="auto"/>
                                                                                                        <w:bottom w:val="none" w:sz="0" w:space="0" w:color="auto"/>
                                                                                                        <w:right w:val="none" w:sz="0" w:space="0" w:color="auto"/>
                                                                                                      </w:divBdr>
                                                                                                      <w:divsChild>
                                                                                                        <w:div w:id="1432162153">
                                                                                                          <w:marLeft w:val="0"/>
                                                                                                          <w:marRight w:val="0"/>
                                                                                                          <w:marTop w:val="0"/>
                                                                                                          <w:marBottom w:val="0"/>
                                                                                                          <w:divBdr>
                                                                                                            <w:top w:val="none" w:sz="0" w:space="0" w:color="auto"/>
                                                                                                            <w:left w:val="none" w:sz="0" w:space="0" w:color="auto"/>
                                                                                                            <w:bottom w:val="none" w:sz="0" w:space="0" w:color="auto"/>
                                                                                                            <w:right w:val="none" w:sz="0" w:space="0" w:color="auto"/>
                                                                                                          </w:divBdr>
                                                                                                          <w:divsChild>
                                                                                                            <w:div w:id="1123571206">
                                                                                                              <w:marLeft w:val="0"/>
                                                                                                              <w:marRight w:val="0"/>
                                                                                                              <w:marTop w:val="0"/>
                                                                                                              <w:marBottom w:val="0"/>
                                                                                                              <w:divBdr>
                                                                                                                <w:top w:val="none" w:sz="0" w:space="0" w:color="auto"/>
                                                                                                                <w:left w:val="none" w:sz="0" w:space="0" w:color="auto"/>
                                                                                                                <w:bottom w:val="none" w:sz="0" w:space="0" w:color="auto"/>
                                                                                                                <w:right w:val="none" w:sz="0" w:space="0" w:color="auto"/>
                                                                                                              </w:divBdr>
                                                                                                              <w:divsChild>
                                                                                                                <w:div w:id="545063467">
                                                                                                                  <w:marLeft w:val="0"/>
                                                                                                                  <w:marRight w:val="0"/>
                                                                                                                  <w:marTop w:val="0"/>
                                                                                                                  <w:marBottom w:val="0"/>
                                                                                                                  <w:divBdr>
                                                                                                                    <w:top w:val="none" w:sz="0" w:space="0" w:color="auto"/>
                                                                                                                    <w:left w:val="none" w:sz="0" w:space="0" w:color="auto"/>
                                                                                                                    <w:bottom w:val="none" w:sz="0" w:space="0" w:color="auto"/>
                                                                                                                    <w:right w:val="none" w:sz="0" w:space="0" w:color="auto"/>
                                                                                                                  </w:divBdr>
                                                                                                                  <w:divsChild>
                                                                                                                    <w:div w:id="1611935221">
                                                                                                                      <w:marLeft w:val="0"/>
                                                                                                                      <w:marRight w:val="0"/>
                                                                                                                      <w:marTop w:val="0"/>
                                                                                                                      <w:marBottom w:val="0"/>
                                                                                                                      <w:divBdr>
                                                                                                                        <w:top w:val="none" w:sz="0" w:space="0" w:color="auto"/>
                                                                                                                        <w:left w:val="none" w:sz="0" w:space="0" w:color="auto"/>
                                                                                                                        <w:bottom w:val="none" w:sz="0" w:space="0" w:color="auto"/>
                                                                                                                        <w:right w:val="none" w:sz="0" w:space="0" w:color="auto"/>
                                                                                                                      </w:divBdr>
                                                                                                                      <w:divsChild>
                                                                                                                        <w:div w:id="1371952123">
                                                                                                                          <w:marLeft w:val="0"/>
                                                                                                                          <w:marRight w:val="0"/>
                                                                                                                          <w:marTop w:val="0"/>
                                                                                                                          <w:marBottom w:val="0"/>
                                                                                                                          <w:divBdr>
                                                                                                                            <w:top w:val="none" w:sz="0" w:space="0" w:color="auto"/>
                                                                                                                            <w:left w:val="none" w:sz="0" w:space="0" w:color="auto"/>
                                                                                                                            <w:bottom w:val="none" w:sz="0" w:space="0" w:color="auto"/>
                                                                                                                            <w:right w:val="none" w:sz="0" w:space="0" w:color="auto"/>
                                                                                                                          </w:divBdr>
                                                                                                                          <w:divsChild>
                                                                                                                            <w:div w:id="955991093">
                                                                                                                              <w:marLeft w:val="0"/>
                                                                                                                              <w:marRight w:val="0"/>
                                                                                                                              <w:marTop w:val="0"/>
                                                                                                                              <w:marBottom w:val="0"/>
                                                                                                                              <w:divBdr>
                                                                                                                                <w:top w:val="none" w:sz="0" w:space="0" w:color="auto"/>
                                                                                                                                <w:left w:val="none" w:sz="0" w:space="0" w:color="auto"/>
                                                                                                                                <w:bottom w:val="none" w:sz="0" w:space="0" w:color="auto"/>
                                                                                                                                <w:right w:val="none" w:sz="0" w:space="0" w:color="auto"/>
                                                                                                                              </w:divBdr>
                                                                                                                              <w:divsChild>
                                                                                                                                <w:div w:id="1547258863">
                                                                                                                                  <w:marLeft w:val="0"/>
                                                                                                                                  <w:marRight w:val="0"/>
                                                                                                                                  <w:marTop w:val="0"/>
                                                                                                                                  <w:marBottom w:val="0"/>
                                                                                                                                  <w:divBdr>
                                                                                                                                    <w:top w:val="none" w:sz="0" w:space="0" w:color="auto"/>
                                                                                                                                    <w:left w:val="none" w:sz="0" w:space="0" w:color="auto"/>
                                                                                                                                    <w:bottom w:val="none" w:sz="0" w:space="0" w:color="auto"/>
                                                                                                                                    <w:right w:val="none" w:sz="0" w:space="0" w:color="auto"/>
                                                                                                                                  </w:divBdr>
                                                                                                                                  <w:divsChild>
                                                                                                                                    <w:div w:id="2002655506">
                                                                                                                                      <w:marLeft w:val="0"/>
                                                                                                                                      <w:marRight w:val="0"/>
                                                                                                                                      <w:marTop w:val="0"/>
                                                                                                                                      <w:marBottom w:val="0"/>
                                                                                                                                      <w:divBdr>
                                                                                                                                        <w:top w:val="none" w:sz="0" w:space="0" w:color="auto"/>
                                                                                                                                        <w:left w:val="none" w:sz="0" w:space="0" w:color="auto"/>
                                                                                                                                        <w:bottom w:val="none" w:sz="0" w:space="0" w:color="auto"/>
                                                                                                                                        <w:right w:val="none" w:sz="0" w:space="0" w:color="auto"/>
                                                                                                                                      </w:divBdr>
                                                                                                                                      <w:divsChild>
                                                                                                                                        <w:div w:id="725108601">
                                                                                                                                          <w:marLeft w:val="0"/>
                                                                                                                                          <w:marRight w:val="0"/>
                                                                                                                                          <w:marTop w:val="0"/>
                                                                                                                                          <w:marBottom w:val="0"/>
                                                                                                                                          <w:divBdr>
                                                                                                                                            <w:top w:val="none" w:sz="0" w:space="0" w:color="auto"/>
                                                                                                                                            <w:left w:val="none" w:sz="0" w:space="0" w:color="auto"/>
                                                                                                                                            <w:bottom w:val="none" w:sz="0" w:space="0" w:color="auto"/>
                                                                                                                                            <w:right w:val="none" w:sz="0" w:space="0" w:color="auto"/>
                                                                                                                                          </w:divBdr>
                                                                                                                                          <w:divsChild>
                                                                                                                                            <w:div w:id="1920745324">
                                                                                                                                              <w:marLeft w:val="0"/>
                                                                                                                                              <w:marRight w:val="0"/>
                                                                                                                                              <w:marTop w:val="0"/>
                                                                                                                                              <w:marBottom w:val="0"/>
                                                                                                                                              <w:divBdr>
                                                                                                                                                <w:top w:val="none" w:sz="0" w:space="0" w:color="auto"/>
                                                                                                                                                <w:left w:val="none" w:sz="0" w:space="0" w:color="auto"/>
                                                                                                                                                <w:bottom w:val="none" w:sz="0" w:space="0" w:color="auto"/>
                                                                                                                                                <w:right w:val="none" w:sz="0" w:space="0" w:color="auto"/>
                                                                                                                                              </w:divBdr>
                                                                                                                                              <w:divsChild>
                                                                                                                                                <w:div w:id="807749346">
                                                                                                                                                  <w:marLeft w:val="0"/>
                                                                                                                                                  <w:marRight w:val="0"/>
                                                                                                                                                  <w:marTop w:val="0"/>
                                                                                                                                                  <w:marBottom w:val="0"/>
                                                                                                                                                  <w:divBdr>
                                                                                                                                                    <w:top w:val="none" w:sz="0" w:space="0" w:color="auto"/>
                                                                                                                                                    <w:left w:val="none" w:sz="0" w:space="0" w:color="auto"/>
                                                                                                                                                    <w:bottom w:val="none" w:sz="0" w:space="0" w:color="auto"/>
                                                                                                                                                    <w:right w:val="none" w:sz="0" w:space="0" w:color="auto"/>
                                                                                                                                                  </w:divBdr>
                                                                                                                                                  <w:divsChild>
                                                                                                                                                    <w:div w:id="685862450">
                                                                                                                                                      <w:marLeft w:val="0"/>
                                                                                                                                                      <w:marRight w:val="0"/>
                                                                                                                                                      <w:marTop w:val="0"/>
                                                                                                                                                      <w:marBottom w:val="0"/>
                                                                                                                                                      <w:divBdr>
                                                                                                                                                        <w:top w:val="none" w:sz="0" w:space="0" w:color="auto"/>
                                                                                                                                                        <w:left w:val="none" w:sz="0" w:space="0" w:color="auto"/>
                                                                                                                                                        <w:bottom w:val="none" w:sz="0" w:space="0" w:color="auto"/>
                                                                                                                                                        <w:right w:val="none" w:sz="0" w:space="0" w:color="auto"/>
                                                                                                                                                      </w:divBdr>
                                                                                                                                                      <w:divsChild>
                                                                                                                                                        <w:div w:id="103691902">
                                                                                                                                                          <w:marLeft w:val="0"/>
                                                                                                                                                          <w:marRight w:val="0"/>
                                                                                                                                                          <w:marTop w:val="0"/>
                                                                                                                                                          <w:marBottom w:val="0"/>
                                                                                                                                                          <w:divBdr>
                                                                                                                                                            <w:top w:val="none" w:sz="0" w:space="0" w:color="auto"/>
                                                                                                                                                            <w:left w:val="none" w:sz="0" w:space="0" w:color="auto"/>
                                                                                                                                                            <w:bottom w:val="none" w:sz="0" w:space="0" w:color="auto"/>
                                                                                                                                                            <w:right w:val="none" w:sz="0" w:space="0" w:color="auto"/>
                                                                                                                                                          </w:divBdr>
                                                                                                                                                          <w:divsChild>
                                                                                                                                                            <w:div w:id="2050296459">
                                                                                                                                                              <w:marLeft w:val="0"/>
                                                                                                                                                              <w:marRight w:val="0"/>
                                                                                                                                                              <w:marTop w:val="0"/>
                                                                                                                                                              <w:marBottom w:val="0"/>
                                                                                                                                                              <w:divBdr>
                                                                                                                                                                <w:top w:val="none" w:sz="0" w:space="0" w:color="auto"/>
                                                                                                                                                                <w:left w:val="none" w:sz="0" w:space="0" w:color="auto"/>
                                                                                                                                                                <w:bottom w:val="none" w:sz="0" w:space="0" w:color="auto"/>
                                                                                                                                                                <w:right w:val="none" w:sz="0" w:space="0" w:color="auto"/>
                                                                                                                                                              </w:divBdr>
                                                                                                                                                              <w:divsChild>
                                                                                                                                                                <w:div w:id="39091752">
                                                                                                                                                                  <w:marLeft w:val="0"/>
                                                                                                                                                                  <w:marRight w:val="0"/>
                                                                                                                                                                  <w:marTop w:val="0"/>
                                                                                                                                                                  <w:marBottom w:val="0"/>
                                                                                                                                                                  <w:divBdr>
                                                                                                                                                                    <w:top w:val="none" w:sz="0" w:space="0" w:color="auto"/>
                                                                                                                                                                    <w:left w:val="none" w:sz="0" w:space="0" w:color="auto"/>
                                                                                                                                                                    <w:bottom w:val="none" w:sz="0" w:space="0" w:color="auto"/>
                                                                                                                                                                    <w:right w:val="none" w:sz="0" w:space="0" w:color="auto"/>
                                                                                                                                                                  </w:divBdr>
                                                                                                                                                                  <w:divsChild>
                                                                                                                                                                    <w:div w:id="432360370">
                                                                                                                                                                      <w:marLeft w:val="0"/>
                                                                                                                                                                      <w:marRight w:val="0"/>
                                                                                                                                                                      <w:marTop w:val="0"/>
                                                                                                                                                                      <w:marBottom w:val="0"/>
                                                                                                                                                                      <w:divBdr>
                                                                                                                                                                        <w:top w:val="none" w:sz="0" w:space="0" w:color="auto"/>
                                                                                                                                                                        <w:left w:val="none" w:sz="0" w:space="0" w:color="auto"/>
                                                                                                                                                                        <w:bottom w:val="none" w:sz="0" w:space="0" w:color="auto"/>
                                                                                                                                                                        <w:right w:val="none" w:sz="0" w:space="0" w:color="auto"/>
                                                                                                                                                                      </w:divBdr>
                                                                                                                                                                      <w:divsChild>
                                                                                                                                                                        <w:div w:id="130485953">
                                                                                                                                                                          <w:marLeft w:val="567"/>
                                                                                                                                                                          <w:marRight w:val="0"/>
                                                                                                                                                                          <w:marTop w:val="0"/>
                                                                                                                                                                          <w:marBottom w:val="0"/>
                                                                                                                                                                          <w:divBdr>
                                                                                                                                                                            <w:top w:val="none" w:sz="0" w:space="0" w:color="auto"/>
                                                                                                                                                                            <w:left w:val="none" w:sz="0" w:space="0" w:color="auto"/>
                                                                                                                                                                            <w:bottom w:val="none" w:sz="0" w:space="0" w:color="auto"/>
                                                                                                                                                                            <w:right w:val="none" w:sz="0" w:space="0" w:color="auto"/>
                                                                                                                                                                          </w:divBdr>
                                                                                                                                                                        </w:div>
                                                                                                                                                                        <w:div w:id="245724213">
                                                                                                                                                                          <w:marLeft w:val="0"/>
                                                                                                                                                                          <w:marRight w:val="0"/>
                                                                                                                                                                          <w:marTop w:val="0"/>
                                                                                                                                                                          <w:marBottom w:val="0"/>
                                                                                                                                                                          <w:divBdr>
                                                                                                                                                                            <w:top w:val="none" w:sz="0" w:space="0" w:color="auto"/>
                                                                                                                                                                            <w:left w:val="none" w:sz="0" w:space="0" w:color="auto"/>
                                                                                                                                                                            <w:bottom w:val="none" w:sz="0" w:space="0" w:color="auto"/>
                                                                                                                                                                            <w:right w:val="none" w:sz="0" w:space="0" w:color="auto"/>
                                                                                                                                                                          </w:divBdr>
                                                                                                                                                                        </w:div>
                                                                                                                                                                        <w:div w:id="308750697">
                                                                                                                                                                          <w:marLeft w:val="567"/>
                                                                                                                                                                          <w:marRight w:val="0"/>
                                                                                                                                                                          <w:marTop w:val="0"/>
                                                                                                                                                                          <w:marBottom w:val="0"/>
                                                                                                                                                                          <w:divBdr>
                                                                                                                                                                            <w:top w:val="none" w:sz="0" w:space="0" w:color="auto"/>
                                                                                                                                                                            <w:left w:val="none" w:sz="0" w:space="0" w:color="auto"/>
                                                                                                                                                                            <w:bottom w:val="none" w:sz="0" w:space="0" w:color="auto"/>
                                                                                                                                                                            <w:right w:val="none" w:sz="0" w:space="0" w:color="auto"/>
                                                                                                                                                                          </w:divBdr>
                                                                                                                                                                        </w:div>
                                                                                                                                                                        <w:div w:id="439033549">
                                                                                                                                                                          <w:marLeft w:val="567"/>
                                                                                                                                                                          <w:marRight w:val="0"/>
                                                                                                                                                                          <w:marTop w:val="0"/>
                                                                                                                                                                          <w:marBottom w:val="0"/>
                                                                                                                                                                          <w:divBdr>
                                                                                                                                                                            <w:top w:val="none" w:sz="0" w:space="0" w:color="auto"/>
                                                                                                                                                                            <w:left w:val="none" w:sz="0" w:space="0" w:color="auto"/>
                                                                                                                                                                            <w:bottom w:val="none" w:sz="0" w:space="0" w:color="auto"/>
                                                                                                                                                                            <w:right w:val="none" w:sz="0" w:space="0" w:color="auto"/>
                                                                                                                                                                          </w:divBdr>
                                                                                                                                                                        </w:div>
                                                                                                                                                                        <w:div w:id="486166411">
                                                                                                                                                                          <w:marLeft w:val="720"/>
                                                                                                                                                                          <w:marRight w:val="0"/>
                                                                                                                                                                          <w:marTop w:val="0"/>
                                                                                                                                                                          <w:marBottom w:val="0"/>
                                                                                                                                                                          <w:divBdr>
                                                                                                                                                                            <w:top w:val="none" w:sz="0" w:space="0" w:color="auto"/>
                                                                                                                                                                            <w:left w:val="none" w:sz="0" w:space="0" w:color="auto"/>
                                                                                                                                                                            <w:bottom w:val="none" w:sz="0" w:space="0" w:color="auto"/>
                                                                                                                                                                            <w:right w:val="none" w:sz="0" w:space="0" w:color="auto"/>
                                                                                                                                                                          </w:divBdr>
                                                                                                                                                                        </w:div>
                                                                                                                                                                        <w:div w:id="576475855">
                                                                                                                                                                          <w:marLeft w:val="567"/>
                                                                                                                                                                          <w:marRight w:val="0"/>
                                                                                                                                                                          <w:marTop w:val="0"/>
                                                                                                                                                                          <w:marBottom w:val="0"/>
                                                                                                                                                                          <w:divBdr>
                                                                                                                                                                            <w:top w:val="none" w:sz="0" w:space="0" w:color="auto"/>
                                                                                                                                                                            <w:left w:val="none" w:sz="0" w:space="0" w:color="auto"/>
                                                                                                                                                                            <w:bottom w:val="none" w:sz="0" w:space="0" w:color="auto"/>
                                                                                                                                                                            <w:right w:val="none" w:sz="0" w:space="0" w:color="auto"/>
                                                                                                                                                                          </w:divBdr>
                                                                                                                                                                        </w:div>
                                                                                                                                                                        <w:div w:id="613750131">
                                                                                                                                                                          <w:marLeft w:val="567"/>
                                                                                                                                                                          <w:marRight w:val="0"/>
                                                                                                                                                                          <w:marTop w:val="0"/>
                                                                                                                                                                          <w:marBottom w:val="0"/>
                                                                                                                                                                          <w:divBdr>
                                                                                                                                                                            <w:top w:val="none" w:sz="0" w:space="0" w:color="auto"/>
                                                                                                                                                                            <w:left w:val="none" w:sz="0" w:space="0" w:color="auto"/>
                                                                                                                                                                            <w:bottom w:val="none" w:sz="0" w:space="0" w:color="auto"/>
                                                                                                                                                                            <w:right w:val="none" w:sz="0" w:space="0" w:color="auto"/>
                                                                                                                                                                          </w:divBdr>
                                                                                                                                                                        </w:div>
                                                                                                                                                                        <w:div w:id="831531223">
                                                                                                                                                                          <w:marLeft w:val="720"/>
                                                                                                                                                                          <w:marRight w:val="0"/>
                                                                                                                                                                          <w:marTop w:val="0"/>
                                                                                                                                                                          <w:marBottom w:val="0"/>
                                                                                                                                                                          <w:divBdr>
                                                                                                                                                                            <w:top w:val="none" w:sz="0" w:space="0" w:color="auto"/>
                                                                                                                                                                            <w:left w:val="none" w:sz="0" w:space="0" w:color="auto"/>
                                                                                                                                                                            <w:bottom w:val="none" w:sz="0" w:space="0" w:color="auto"/>
                                                                                                                                                                            <w:right w:val="none" w:sz="0" w:space="0" w:color="auto"/>
                                                                                                                                                                          </w:divBdr>
                                                                                                                                                                        </w:div>
                                                                                                                                                                        <w:div w:id="1091469180">
                                                                                                                                                                          <w:marLeft w:val="0"/>
                                                                                                                                                                          <w:marRight w:val="0"/>
                                                                                                                                                                          <w:marTop w:val="0"/>
                                                                                                                                                                          <w:marBottom w:val="0"/>
                                                                                                                                                                          <w:divBdr>
                                                                                                                                                                            <w:top w:val="none" w:sz="0" w:space="0" w:color="auto"/>
                                                                                                                                                                            <w:left w:val="none" w:sz="0" w:space="0" w:color="auto"/>
                                                                                                                                                                            <w:bottom w:val="none" w:sz="0" w:space="0" w:color="auto"/>
                                                                                                                                                                            <w:right w:val="none" w:sz="0" w:space="0" w:color="auto"/>
                                                                                                                                                                          </w:divBdr>
                                                                                                                                                                        </w:div>
                                                                                                                                                                        <w:div w:id="1110932392">
                                                                                                                                                                          <w:marLeft w:val="567"/>
                                                                                                                                                                          <w:marRight w:val="0"/>
                                                                                                                                                                          <w:marTop w:val="0"/>
                                                                                                                                                                          <w:marBottom w:val="0"/>
                                                                                                                                                                          <w:divBdr>
                                                                                                                                                                            <w:top w:val="none" w:sz="0" w:space="0" w:color="auto"/>
                                                                                                                                                                            <w:left w:val="none" w:sz="0" w:space="0" w:color="auto"/>
                                                                                                                                                                            <w:bottom w:val="none" w:sz="0" w:space="0" w:color="auto"/>
                                                                                                                                                                            <w:right w:val="none" w:sz="0" w:space="0" w:color="auto"/>
                                                                                                                                                                          </w:divBdr>
                                                                                                                                                                        </w:div>
                                                                                                                                                                        <w:div w:id="1294947871">
                                                                                                                                                                          <w:marLeft w:val="567"/>
                                                                                                                                                                          <w:marRight w:val="0"/>
                                                                                                                                                                          <w:marTop w:val="0"/>
                                                                                                                                                                          <w:marBottom w:val="0"/>
                                                                                                                                                                          <w:divBdr>
                                                                                                                                                                            <w:top w:val="none" w:sz="0" w:space="0" w:color="auto"/>
                                                                                                                                                                            <w:left w:val="none" w:sz="0" w:space="0" w:color="auto"/>
                                                                                                                                                                            <w:bottom w:val="none" w:sz="0" w:space="0" w:color="auto"/>
                                                                                                                                                                            <w:right w:val="none" w:sz="0" w:space="0" w:color="auto"/>
                                                                                                                                                                          </w:divBdr>
                                                                                                                                                                        </w:div>
                                                                                                                                                                        <w:div w:id="1621839111">
                                                                                                                                                                          <w:marLeft w:val="0"/>
                                                                                                                                                                          <w:marRight w:val="0"/>
                                                                                                                                                                          <w:marTop w:val="0"/>
                                                                                                                                                                          <w:marBottom w:val="0"/>
                                                                                                                                                                          <w:divBdr>
                                                                                                                                                                            <w:top w:val="none" w:sz="0" w:space="0" w:color="auto"/>
                                                                                                                                                                            <w:left w:val="none" w:sz="0" w:space="0" w:color="auto"/>
                                                                                                                                                                            <w:bottom w:val="none" w:sz="0" w:space="0" w:color="auto"/>
                                                                                                                                                                            <w:right w:val="none" w:sz="0" w:space="0" w:color="auto"/>
                                                                                                                                                                          </w:divBdr>
                                                                                                                                                                        </w:div>
                                                                                                                                                                        <w:div w:id="1644701322">
                                                                                                                                                                          <w:marLeft w:val="0"/>
                                                                                                                                                                          <w:marRight w:val="0"/>
                                                                                                                                                                          <w:marTop w:val="0"/>
                                                                                                                                                                          <w:marBottom w:val="0"/>
                                                                                                                                                                          <w:divBdr>
                                                                                                                                                                            <w:top w:val="none" w:sz="0" w:space="0" w:color="auto"/>
                                                                                                                                                                            <w:left w:val="none" w:sz="0" w:space="0" w:color="auto"/>
                                                                                                                                                                            <w:bottom w:val="none" w:sz="0" w:space="0" w:color="auto"/>
                                                                                                                                                                            <w:right w:val="none" w:sz="0" w:space="0" w:color="auto"/>
                                                                                                                                                                          </w:divBdr>
                                                                                                                                                                        </w:div>
                                                                                                                                                                        <w:div w:id="1844513028">
                                                                                                                                                                          <w:marLeft w:val="567"/>
                                                                                                                                                                          <w:marRight w:val="0"/>
                                                                                                                                                                          <w:marTop w:val="0"/>
                                                                                                                                                                          <w:marBottom w:val="0"/>
                                                                                                                                                                          <w:divBdr>
                                                                                                                                                                            <w:top w:val="none" w:sz="0" w:space="0" w:color="auto"/>
                                                                                                                                                                            <w:left w:val="none" w:sz="0" w:space="0" w:color="auto"/>
                                                                                                                                                                            <w:bottom w:val="none" w:sz="0" w:space="0" w:color="auto"/>
                                                                                                                                                                            <w:right w:val="none" w:sz="0" w:space="0" w:color="auto"/>
                                                                                                                                                                          </w:divBdr>
                                                                                                                                                                        </w:div>
                                                                                                                                                                        <w:div w:id="1897737359">
                                                                                                                                                                          <w:marLeft w:val="567"/>
                                                                                                                                                                          <w:marRight w:val="0"/>
                                                                                                                                                                          <w:marTop w:val="0"/>
                                                                                                                                                                          <w:marBottom w:val="0"/>
                                                                                                                                                                          <w:divBdr>
                                                                                                                                                                            <w:top w:val="none" w:sz="0" w:space="0" w:color="auto"/>
                                                                                                                                                                            <w:left w:val="none" w:sz="0" w:space="0" w:color="auto"/>
                                                                                                                                                                            <w:bottom w:val="none" w:sz="0" w:space="0" w:color="auto"/>
                                                                                                                                                                            <w:right w:val="none" w:sz="0" w:space="0" w:color="auto"/>
                                                                                                                                                                          </w:divBdr>
                                                                                                                                                                        </w:div>
                                                                                                                                                                        <w:div w:id="2060129783">
                                                                                                                                                                          <w:marLeft w:val="567"/>
                                                                                                                                                                          <w:marRight w:val="0"/>
                                                                                                                                                                          <w:marTop w:val="0"/>
                                                                                                                                                                          <w:marBottom w:val="0"/>
                                                                                                                                                                          <w:divBdr>
                                                                                                                                                                            <w:top w:val="none" w:sz="0" w:space="0" w:color="auto"/>
                                                                                                                                                                            <w:left w:val="none" w:sz="0" w:space="0" w:color="auto"/>
                                                                                                                                                                            <w:bottom w:val="none" w:sz="0" w:space="0" w:color="auto"/>
                                                                                                                                                                            <w:right w:val="none" w:sz="0" w:space="0" w:color="auto"/>
                                                                                                                                                                          </w:divBdr>
                                                                                                                                                                        </w:div>
                                                                                                                                                                        <w:div w:id="2135175755">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1180856">
      <w:bodyDiv w:val="1"/>
      <w:marLeft w:val="0"/>
      <w:marRight w:val="0"/>
      <w:marTop w:val="0"/>
      <w:marBottom w:val="0"/>
      <w:divBdr>
        <w:top w:val="none" w:sz="0" w:space="0" w:color="auto"/>
        <w:left w:val="none" w:sz="0" w:space="0" w:color="auto"/>
        <w:bottom w:val="none" w:sz="0" w:space="0" w:color="auto"/>
        <w:right w:val="none" w:sz="0" w:space="0" w:color="auto"/>
      </w:divBdr>
    </w:div>
    <w:div w:id="2003578676">
      <w:bodyDiv w:val="1"/>
      <w:marLeft w:val="0"/>
      <w:marRight w:val="0"/>
      <w:marTop w:val="0"/>
      <w:marBottom w:val="0"/>
      <w:divBdr>
        <w:top w:val="none" w:sz="0" w:space="0" w:color="auto"/>
        <w:left w:val="none" w:sz="0" w:space="0" w:color="auto"/>
        <w:bottom w:val="none" w:sz="0" w:space="0" w:color="auto"/>
        <w:right w:val="none" w:sz="0" w:space="0" w:color="auto"/>
      </w:divBdr>
    </w:div>
    <w:div w:id="20421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E0FDA-F828-49A2-8CA9-254CFABA9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11</Pages>
  <Words>3650</Words>
  <Characters>19195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2014-06-20T13:53:00Z</cp:lastPrinted>
  <dcterms:created xsi:type="dcterms:W3CDTF">2014-06-25T20:54:00Z</dcterms:created>
  <dcterms:modified xsi:type="dcterms:W3CDTF">2014-06-25T20:54:00Z</dcterms:modified>
</cp:coreProperties>
</file>