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D2" w:rsidRDefault="00045CBD" w:rsidP="00367F69">
      <w:pPr>
        <w:pStyle w:val="Encabezado"/>
        <w:tabs>
          <w:tab w:val="clear" w:pos="8504"/>
          <w:tab w:val="left" w:pos="0"/>
          <w:tab w:val="right" w:pos="9356"/>
        </w:tabs>
        <w:spacing w:before="120" w:after="120"/>
        <w:jc w:val="center"/>
        <w:rPr>
          <w:rFonts w:ascii="Bookman Old Style" w:hAnsi="Bookman Old Style"/>
          <w:b/>
          <w:bCs/>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55.15pt;width:52.5pt;height:48.75pt;z-index:251662848" fillcolor="#0c9">
            <v:imagedata r:id="rId9" o:title=""/>
          </v:shape>
          <o:OLEObject Type="Embed" ProgID="PBrush" ShapeID="_x0000_s1027" DrawAspect="Content" ObjectID="_1498654625" r:id="rId10"/>
        </w:pict>
      </w:r>
      <w:r w:rsidR="00E03BD2">
        <w:rPr>
          <w:rFonts w:ascii="Bookman Old Style" w:hAnsi="Bookman Old Style"/>
          <w:bCs/>
          <w:szCs w:val="24"/>
        </w:rPr>
        <w:t>Ministerio de Minas y Energía</w:t>
      </w:r>
    </w:p>
    <w:p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rsidR="009E1157" w:rsidRPr="009E1157" w:rsidRDefault="009E1157" w:rsidP="009E1157">
      <w:pPr>
        <w:rPr>
          <w:lang w:val="es-ES_tradnl"/>
        </w:rPr>
      </w:pPr>
    </w:p>
    <w:p w:rsidR="00E03BD2" w:rsidRDefault="00E03BD2" w:rsidP="00E03BD2">
      <w:pPr>
        <w:pStyle w:val="Ttulo5"/>
        <w:tabs>
          <w:tab w:val="left" w:pos="0"/>
          <w:tab w:val="right" w:pos="9356"/>
        </w:tabs>
        <w:rPr>
          <w:rFonts w:ascii="Bookman Old Style" w:hAnsi="Bookman Old Style"/>
          <w:sz w:val="24"/>
          <w:szCs w:val="24"/>
        </w:rPr>
      </w:pPr>
      <w:r>
        <w:rPr>
          <w:rFonts w:ascii="Bookman Old Style" w:hAnsi="Bookman Old Style"/>
          <w:sz w:val="24"/>
          <w:szCs w:val="24"/>
        </w:rPr>
        <w:t>RESOLUCIÓN No.                   DE 201</w:t>
      </w:r>
      <w:r w:rsidR="00367F69">
        <w:rPr>
          <w:rFonts w:ascii="Bookman Old Style" w:hAnsi="Bookman Old Style"/>
          <w:sz w:val="24"/>
          <w:szCs w:val="24"/>
        </w:rPr>
        <w:t>5</w:t>
      </w:r>
    </w:p>
    <w:p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rsidR="00CE51FF" w:rsidRPr="00CE51FF" w:rsidRDefault="00CE51FF" w:rsidP="00CE51FF">
      <w:pPr>
        <w:rPr>
          <w:lang w:val="es-ES_tradnl"/>
        </w:rPr>
      </w:pPr>
    </w:p>
    <w:p w:rsidR="00367F69" w:rsidRDefault="00367F69" w:rsidP="00CF0B66">
      <w:pPr>
        <w:pStyle w:val="Textonotapie"/>
        <w:jc w:val="center"/>
        <w:rPr>
          <w:rFonts w:ascii="Bookman Old Style" w:hAnsi="Bookman Old Style" w:cs="Arial"/>
          <w:sz w:val="24"/>
          <w:szCs w:val="24"/>
        </w:rPr>
      </w:pPr>
    </w:p>
    <w:p w:rsidR="00E03BD2" w:rsidRDefault="00CF0B66" w:rsidP="00CF0B66">
      <w:pPr>
        <w:pStyle w:val="Textonotapie"/>
        <w:jc w:val="center"/>
        <w:rPr>
          <w:rFonts w:ascii="Bookman Old Style" w:hAnsi="Bookman Old Style" w:cs="Arial"/>
        </w:rPr>
      </w:pPr>
      <w:r w:rsidRPr="00ED56A2">
        <w:rPr>
          <w:rFonts w:ascii="Bookman Old Style" w:hAnsi="Bookman Old Style" w:cs="Arial"/>
          <w:sz w:val="24"/>
          <w:szCs w:val="24"/>
        </w:rPr>
        <w:t xml:space="preserve">Por la cual se actualiza </w:t>
      </w:r>
      <w:r>
        <w:rPr>
          <w:rFonts w:ascii="Bookman Old Style" w:hAnsi="Bookman Old Style" w:cs="Arial"/>
          <w:sz w:val="24"/>
          <w:szCs w:val="24"/>
        </w:rPr>
        <w:t xml:space="preserve">el </w:t>
      </w:r>
      <w:r w:rsidR="008C274B" w:rsidRPr="00DF08CA">
        <w:rPr>
          <w:rFonts w:ascii="Bookman Old Style" w:hAnsi="Bookman Old Style" w:cs="Arial"/>
          <w:sz w:val="24"/>
          <w:szCs w:val="24"/>
        </w:rPr>
        <w:t xml:space="preserve">costo anual por el uso de los activos del nivel de </w:t>
      </w:r>
      <w:r w:rsidR="008C274B" w:rsidRPr="00196076">
        <w:rPr>
          <w:rFonts w:ascii="Bookman Old Style" w:hAnsi="Bookman Old Style" w:cs="Arial"/>
          <w:sz w:val="24"/>
          <w:szCs w:val="24"/>
        </w:rPr>
        <w:t xml:space="preserve">tensión 4 </w:t>
      </w:r>
      <w:r w:rsidR="008C274B" w:rsidRPr="00DF08CA">
        <w:rPr>
          <w:rFonts w:ascii="Bookman Old Style" w:hAnsi="Bookman Old Style" w:cs="Arial"/>
          <w:sz w:val="24"/>
          <w:szCs w:val="24"/>
        </w:rPr>
        <w:t xml:space="preserve">de </w:t>
      </w:r>
      <w:r w:rsidR="008C274B">
        <w:rPr>
          <w:rFonts w:ascii="Bookman Old Style" w:hAnsi="Bookman Old Style" w:cs="Arial"/>
          <w:sz w:val="24"/>
          <w:szCs w:val="24"/>
        </w:rPr>
        <w:t xml:space="preserve">la Central Hidroeléctrica de Caldas S.A. </w:t>
      </w:r>
      <w:r w:rsidRPr="00DF08CA">
        <w:rPr>
          <w:rFonts w:ascii="Bookman Old Style" w:hAnsi="Bookman Old Style" w:cs="Arial"/>
          <w:sz w:val="24"/>
          <w:szCs w:val="24"/>
        </w:rPr>
        <w:t xml:space="preserve">E.S.P. </w:t>
      </w:r>
    </w:p>
    <w:p w:rsidR="00DB043F" w:rsidRDefault="00DB043F" w:rsidP="00E03BD2">
      <w:pPr>
        <w:jc w:val="center"/>
        <w:rPr>
          <w:b/>
        </w:rPr>
      </w:pPr>
    </w:p>
    <w:p w:rsidR="00E03BD2" w:rsidRDefault="00E03BD2" w:rsidP="00E03BD2">
      <w:pPr>
        <w:jc w:val="center"/>
        <w:rPr>
          <w:b/>
        </w:rPr>
      </w:pPr>
      <w:r>
        <w:rPr>
          <w:b/>
        </w:rPr>
        <w:t>LA COMISIÓN DE REGULACIÓN DE ENERGÍA Y GAS</w:t>
      </w:r>
    </w:p>
    <w:p w:rsidR="00E03BD2" w:rsidRDefault="00E03BD2" w:rsidP="00E03BD2">
      <w:pPr>
        <w:rPr>
          <w:rFonts w:cs="Arial"/>
        </w:rPr>
      </w:pPr>
    </w:p>
    <w:p w:rsidR="00E03BD2" w:rsidRDefault="00E03BD2" w:rsidP="00E03BD2">
      <w:pPr>
        <w:rPr>
          <w:rFonts w:cs="Arial"/>
        </w:rPr>
      </w:pPr>
      <w:r>
        <w:rPr>
          <w:rFonts w:cs="Arial"/>
        </w:rPr>
        <w:t>En ejercicio de las atribuciones legales, en especial las conferidas por las Leyes 142 y 143 de 1994, y los decretos 1524 y 2253 de 1994.</w:t>
      </w:r>
    </w:p>
    <w:p w:rsidR="00367F69" w:rsidRDefault="00367F69" w:rsidP="00367F69">
      <w:pPr>
        <w:pStyle w:val="Anexo"/>
        <w:spacing w:before="0" w:after="0"/>
        <w:ind w:left="0" w:firstLine="0"/>
        <w:jc w:val="center"/>
      </w:pPr>
    </w:p>
    <w:p w:rsidR="00E03BD2" w:rsidRDefault="00367F69" w:rsidP="00367F69">
      <w:pPr>
        <w:pStyle w:val="Anexo"/>
        <w:spacing w:before="0" w:after="0"/>
        <w:ind w:left="0" w:firstLine="0"/>
        <w:jc w:val="center"/>
      </w:pPr>
      <w:r>
        <w:t>CONSID</w:t>
      </w:r>
      <w:r w:rsidR="00E03BD2" w:rsidRPr="00367F69">
        <w:t>ERANDO</w:t>
      </w:r>
      <w:r w:rsidR="006B5E80" w:rsidRPr="00367F69">
        <w:t xml:space="preserve"> QUE</w:t>
      </w:r>
      <w:r w:rsidR="00E03BD2">
        <w:t>:</w:t>
      </w:r>
    </w:p>
    <w:p w:rsidR="00367F69" w:rsidRDefault="00367F69" w:rsidP="00DB043F"/>
    <w:p w:rsidR="00CF0B66" w:rsidRPr="00CF0B66" w:rsidRDefault="006B5E80" w:rsidP="00DB043F">
      <w:r>
        <w:t>D</w:t>
      </w:r>
      <w:r w:rsidR="00CF0B66" w:rsidRPr="00CF0B66">
        <w:t>e acuerdo con lo previsto en el Artículo 23, literal d), y 41 de la Ley 143 de 1994, es función de la Comisión de Regulación de Energía y Gas fijar las tarifas por el acceso y uso de las redes eléctricas</w:t>
      </w:r>
      <w:r w:rsidR="00367F69">
        <w:t>.</w:t>
      </w:r>
    </w:p>
    <w:p w:rsidR="00CF0B66" w:rsidRPr="00CF0B66" w:rsidRDefault="006B5E80" w:rsidP="00DB043F">
      <w:r>
        <w:t>M</w:t>
      </w:r>
      <w:r w:rsidR="00CF0B66" w:rsidRPr="00CF0B66">
        <w:t xml:space="preserve">ediante la Resolución CREG 097 de 2008 modificada por las </w:t>
      </w:r>
      <w:r w:rsidR="008C274B">
        <w:t>r</w:t>
      </w:r>
      <w:r w:rsidR="00CF0B66" w:rsidRPr="00CF0B66">
        <w:t xml:space="preserve">esoluciones CREG 133, 135 y 166 de 2008, la Comisión aprobó los principios generales y la metodología para el establecimiento de los </w:t>
      </w:r>
      <w:r w:rsidR="008C274B" w:rsidRPr="00CF0B66">
        <w:t xml:space="preserve">cargos por uso de los sistemas </w:t>
      </w:r>
      <w:r w:rsidR="00CF0B66" w:rsidRPr="00CF0B66">
        <w:t xml:space="preserve">de </w:t>
      </w:r>
      <w:r w:rsidR="008C274B" w:rsidRPr="00CF0B66">
        <w:t>transmisión regional</w:t>
      </w:r>
      <w:r w:rsidR="00FF3C2F">
        <w:t>,</w:t>
      </w:r>
      <w:r w:rsidR="00CF0B66" w:rsidRPr="00CF0B66">
        <w:t xml:space="preserve"> STR</w:t>
      </w:r>
      <w:r w:rsidR="00FF3C2F">
        <w:t>,</w:t>
      </w:r>
      <w:r w:rsidR="00CF0B66" w:rsidRPr="00CF0B66">
        <w:t xml:space="preserve"> y de </w:t>
      </w:r>
      <w:r w:rsidR="008C274B" w:rsidRPr="00CF0B66">
        <w:t>distribución local</w:t>
      </w:r>
      <w:r w:rsidR="00FF3C2F">
        <w:t xml:space="preserve">, </w:t>
      </w:r>
      <w:r w:rsidR="00CF0B66" w:rsidRPr="00CF0B66">
        <w:t>SDL</w:t>
      </w:r>
      <w:r w:rsidR="00367F69">
        <w:t>.</w:t>
      </w:r>
    </w:p>
    <w:p w:rsidR="00CF0B66" w:rsidRPr="00CF0B66" w:rsidRDefault="006B5E80" w:rsidP="00DB043F">
      <w:r>
        <w:t>L</w:t>
      </w:r>
      <w:r w:rsidR="00CF0B66" w:rsidRPr="00CF0B66">
        <w:t>a Comisión de Regulación de Energía y Gas, expidió la Resolución CREG 10</w:t>
      </w:r>
      <w:r w:rsidR="008C274B">
        <w:t>9</w:t>
      </w:r>
      <w:r w:rsidR="00CF0B66" w:rsidRPr="00CF0B66">
        <w:t xml:space="preserve"> de 2009, </w:t>
      </w:r>
      <w:r w:rsidR="008C274B">
        <w:t xml:space="preserve">en la cual aprobó </w:t>
      </w:r>
      <w:r w:rsidR="008C274B" w:rsidRPr="008C274B">
        <w:t>el costo anual por el uso de los activos del nivel de tensión 4 y los cargos máximos de los niveles de tensión 3, 2 y 1 de la Central Hidroeléctrica de Caldas S.A. E.S.P.</w:t>
      </w:r>
      <w:r w:rsidR="008C274B">
        <w:t>, CHEC,</w:t>
      </w:r>
      <w:r w:rsidR="008C274B" w:rsidRPr="008C274B">
        <w:t xml:space="preserve"> en el </w:t>
      </w:r>
      <w:r w:rsidR="008C274B">
        <w:t>STR y SDL</w:t>
      </w:r>
      <w:r w:rsidR="00367F69">
        <w:t>.</w:t>
      </w:r>
    </w:p>
    <w:p w:rsidR="009E1157" w:rsidRDefault="000A34B0" w:rsidP="00DB043F">
      <w:r>
        <w:t>M</w:t>
      </w:r>
      <w:r w:rsidR="00683629">
        <w:t>e</w:t>
      </w:r>
      <w:r w:rsidR="007D5750">
        <w:t xml:space="preserve">diante las resoluciones </w:t>
      </w:r>
      <w:r w:rsidR="00397B9A">
        <w:t xml:space="preserve">CREG </w:t>
      </w:r>
      <w:r w:rsidR="008C274B">
        <w:t xml:space="preserve">170 </w:t>
      </w:r>
      <w:r w:rsidR="007D5750">
        <w:t>de 20</w:t>
      </w:r>
      <w:r w:rsidR="008C274B">
        <w:t xml:space="preserve">09 y 035 de 2011 </w:t>
      </w:r>
      <w:r>
        <w:t xml:space="preserve">se </w:t>
      </w:r>
      <w:r w:rsidR="008C274B">
        <w:t xml:space="preserve">ajustó y </w:t>
      </w:r>
      <w:r w:rsidR="00397B9A" w:rsidRPr="00397B9A">
        <w:t>actualiz</w:t>
      </w:r>
      <w:r w:rsidR="00397B9A">
        <w:t>ó</w:t>
      </w:r>
      <w:r w:rsidR="008C274B">
        <w:t xml:space="preserve"> </w:t>
      </w:r>
      <w:r w:rsidR="008C274B" w:rsidRPr="008C274B">
        <w:t>el costo anual por el uso de los activos del nivel de tensión 4 y los cargos máximos de los niveles de tensión 3, 2 y 1</w:t>
      </w:r>
      <w:r w:rsidR="008C274B">
        <w:t xml:space="preserve"> de la CHEC</w:t>
      </w:r>
      <w:r w:rsidR="00367F69">
        <w:t>.</w:t>
      </w:r>
    </w:p>
    <w:p w:rsidR="00392A0B" w:rsidRDefault="00B0723B" w:rsidP="00DB043F">
      <w:r>
        <w:t>A</w:t>
      </w:r>
      <w:r w:rsidR="00392A0B" w:rsidRPr="00392A0B">
        <w:t xml:space="preserve"> través de la comunicación radicada en la CREG bajo el número </w:t>
      </w:r>
      <w:r w:rsidR="00BE1CED" w:rsidRPr="00C35A85">
        <w:rPr>
          <w:rFonts w:cs="Arial"/>
        </w:rPr>
        <w:t>E</w:t>
      </w:r>
      <w:r w:rsidR="00BE1CED">
        <w:rPr>
          <w:rFonts w:cs="Arial"/>
        </w:rPr>
        <w:noBreakHyphen/>
      </w:r>
      <w:r w:rsidR="00BE1CED" w:rsidRPr="00C35A85">
        <w:rPr>
          <w:rFonts w:cs="Arial"/>
        </w:rPr>
        <w:t>201</w:t>
      </w:r>
      <w:r w:rsidR="00BE1CED">
        <w:rPr>
          <w:rFonts w:cs="Arial"/>
        </w:rPr>
        <w:t>5</w:t>
      </w:r>
      <w:r w:rsidR="00BE1CED">
        <w:rPr>
          <w:rFonts w:cs="Arial"/>
        </w:rPr>
        <w:noBreakHyphen/>
      </w:r>
      <w:r w:rsidR="00BE1CED" w:rsidRPr="00C35A85">
        <w:rPr>
          <w:rFonts w:cs="Arial"/>
        </w:rPr>
        <w:t>00</w:t>
      </w:r>
      <w:r w:rsidR="00BE1CED">
        <w:rPr>
          <w:rFonts w:cs="Arial"/>
        </w:rPr>
        <w:t>2495</w:t>
      </w:r>
      <w:r w:rsidR="00BE1CED" w:rsidRPr="00C35A85">
        <w:rPr>
          <w:rFonts w:cs="Arial"/>
        </w:rPr>
        <w:t xml:space="preserve"> del </w:t>
      </w:r>
      <w:r w:rsidR="00BE1CED">
        <w:rPr>
          <w:rFonts w:cs="Arial"/>
        </w:rPr>
        <w:t>10</w:t>
      </w:r>
      <w:r w:rsidR="00BE1CED" w:rsidRPr="00C35A85">
        <w:rPr>
          <w:rFonts w:cs="Arial"/>
        </w:rPr>
        <w:t xml:space="preserve"> de </w:t>
      </w:r>
      <w:r w:rsidR="00BE1CED">
        <w:rPr>
          <w:rFonts w:cs="Arial"/>
        </w:rPr>
        <w:t xml:space="preserve">marzo </w:t>
      </w:r>
      <w:r w:rsidR="00BE1CED" w:rsidRPr="00C35A85">
        <w:rPr>
          <w:rFonts w:cs="Arial"/>
        </w:rPr>
        <w:t>de 201</w:t>
      </w:r>
      <w:r w:rsidR="00BE1CED">
        <w:rPr>
          <w:rFonts w:cs="Arial"/>
        </w:rPr>
        <w:t xml:space="preserve">5 y </w:t>
      </w:r>
      <w:r w:rsidR="00BE1CED" w:rsidRPr="00392A0B">
        <w:t>con base en lo establecido en el artículo 9 de la Resolución CREG 097 de 2008</w:t>
      </w:r>
      <w:r w:rsidR="00392A0B" w:rsidRPr="00392A0B">
        <w:t xml:space="preserve">, </w:t>
      </w:r>
      <w:r w:rsidR="00BE1CED">
        <w:t xml:space="preserve">la CHEC </w:t>
      </w:r>
      <w:r w:rsidR="00BE1CED" w:rsidRPr="00BE1CED">
        <w:t xml:space="preserve">solicitó la actualización del costo anual por el uso de los activos de nivel de tensión 4 por la  entrada en operación de la subestación </w:t>
      </w:r>
      <w:proofErr w:type="spellStart"/>
      <w:r w:rsidR="00BE1CED" w:rsidRPr="00BE1CED">
        <w:t>Purnio</w:t>
      </w:r>
      <w:proofErr w:type="spellEnd"/>
      <w:r w:rsidR="00BE1CED" w:rsidRPr="00BE1CED">
        <w:t xml:space="preserve"> 115 </w:t>
      </w:r>
      <w:proofErr w:type="spellStart"/>
      <w:r w:rsidR="00BE1CED" w:rsidRPr="00BE1CED">
        <w:t>kV</w:t>
      </w:r>
      <w:proofErr w:type="spellEnd"/>
      <w:r w:rsidR="00BE1CED" w:rsidRPr="00BE1CED">
        <w:t xml:space="preserve"> y la línea </w:t>
      </w:r>
      <w:proofErr w:type="spellStart"/>
      <w:r w:rsidR="00BE1CED" w:rsidRPr="00BE1CED">
        <w:t>Purnio</w:t>
      </w:r>
      <w:proofErr w:type="spellEnd"/>
      <w:r w:rsidR="00BE1CED" w:rsidRPr="00BE1CED">
        <w:t xml:space="preserve"> - Dorada 115 </w:t>
      </w:r>
      <w:proofErr w:type="spellStart"/>
      <w:r w:rsidR="00BE1CED" w:rsidRPr="00BE1CED">
        <w:t>kV</w:t>
      </w:r>
      <w:proofErr w:type="spellEnd"/>
      <w:r w:rsidR="00367F69">
        <w:t>.</w:t>
      </w:r>
    </w:p>
    <w:p w:rsidR="00CF0B66" w:rsidRPr="00CF0B66" w:rsidRDefault="00A40710" w:rsidP="00367F69">
      <w:pPr>
        <w:spacing w:before="0"/>
      </w:pPr>
      <w:r>
        <w:lastRenderedPageBreak/>
        <w:t>M</w:t>
      </w:r>
      <w:r w:rsidR="00CF0B66" w:rsidRPr="004222A7">
        <w:t>ediante Auto</w:t>
      </w:r>
      <w:r w:rsidR="00250C72" w:rsidRPr="004222A7">
        <w:t xml:space="preserve"> con radicado CREG I-201</w:t>
      </w:r>
      <w:r w:rsidR="00BE1CED">
        <w:t>5</w:t>
      </w:r>
      <w:r w:rsidR="00250C72" w:rsidRPr="004222A7">
        <w:t>-00</w:t>
      </w:r>
      <w:r w:rsidR="007D5750">
        <w:t>1</w:t>
      </w:r>
      <w:r w:rsidR="00BE1CED">
        <w:t>512</w:t>
      </w:r>
      <w:r w:rsidR="007D5750">
        <w:t xml:space="preserve"> </w:t>
      </w:r>
      <w:r w:rsidR="00CF0B66" w:rsidRPr="004222A7">
        <w:t xml:space="preserve">la CREG inició la </w:t>
      </w:r>
      <w:r w:rsidR="00B0723B">
        <w:t>a</w:t>
      </w:r>
      <w:r w:rsidR="00CF0B66" w:rsidRPr="004222A7">
        <w:t xml:space="preserve">ctuación </w:t>
      </w:r>
      <w:r w:rsidR="00B0723B">
        <w:t>a</w:t>
      </w:r>
      <w:r w:rsidR="00CF0B66" w:rsidRPr="004222A7">
        <w:t xml:space="preserve">dministrativa con el objeto de decidir la solicitud de </w:t>
      </w:r>
      <w:r w:rsidR="00BE1CED">
        <w:t xml:space="preserve">actualización </w:t>
      </w:r>
      <w:r w:rsidR="00CF0B66" w:rsidRPr="00CF0B66">
        <w:t xml:space="preserve">del </w:t>
      </w:r>
      <w:r w:rsidR="00BE1CED" w:rsidRPr="00CF0B66">
        <w:t xml:space="preserve">costo anual por uso de los activos de nivel de tensión 4 </w:t>
      </w:r>
      <w:r w:rsidR="00BE1CED" w:rsidRPr="00392A0B">
        <w:t xml:space="preserve">por </w:t>
      </w:r>
      <w:r w:rsidR="00BE1CED" w:rsidRPr="00BE1CED">
        <w:t xml:space="preserve">la  entrada en operación de la subestación </w:t>
      </w:r>
      <w:proofErr w:type="spellStart"/>
      <w:r w:rsidR="00BE1CED" w:rsidRPr="00BE1CED">
        <w:t>Purnio</w:t>
      </w:r>
      <w:proofErr w:type="spellEnd"/>
      <w:r w:rsidR="00BE1CED" w:rsidRPr="00BE1CED">
        <w:t xml:space="preserve"> 115 </w:t>
      </w:r>
      <w:proofErr w:type="spellStart"/>
      <w:r w:rsidR="00BE1CED" w:rsidRPr="00BE1CED">
        <w:t>kV</w:t>
      </w:r>
      <w:proofErr w:type="spellEnd"/>
      <w:r w:rsidR="00BE1CED" w:rsidRPr="00BE1CED">
        <w:t xml:space="preserve"> y la línea </w:t>
      </w:r>
      <w:proofErr w:type="spellStart"/>
      <w:r w:rsidR="00BE1CED" w:rsidRPr="00BE1CED">
        <w:t>Purnio</w:t>
      </w:r>
      <w:proofErr w:type="spellEnd"/>
      <w:r w:rsidR="00BE1CED" w:rsidRPr="00BE1CED">
        <w:t xml:space="preserve"> - Dorada 115 </w:t>
      </w:r>
      <w:proofErr w:type="spellStart"/>
      <w:r w:rsidR="00BE1CED" w:rsidRPr="00BE1CED">
        <w:t>kV</w:t>
      </w:r>
      <w:proofErr w:type="spellEnd"/>
      <w:r w:rsidR="00367F69">
        <w:t>.</w:t>
      </w:r>
    </w:p>
    <w:p w:rsidR="00CF0B66" w:rsidRPr="00CF0B66" w:rsidRDefault="00B0723B" w:rsidP="00DB043F">
      <w:r w:rsidRPr="003D7383">
        <w:t xml:space="preserve">La Comisión publicó en su página web y en el </w:t>
      </w:r>
      <w:r w:rsidR="00BE1CED" w:rsidRPr="00111422">
        <w:rPr>
          <w:i/>
        </w:rPr>
        <w:t>Diario Oficial</w:t>
      </w:r>
      <w:r w:rsidR="00BE1CED" w:rsidRPr="003D7383">
        <w:t xml:space="preserve"> </w:t>
      </w:r>
      <w:r w:rsidRPr="003D7383">
        <w:t>No.49.</w:t>
      </w:r>
      <w:r w:rsidR="00820344">
        <w:t>481</w:t>
      </w:r>
      <w:r w:rsidRPr="003D7383">
        <w:t xml:space="preserve"> del </w:t>
      </w:r>
      <w:r w:rsidR="00820344">
        <w:t>13</w:t>
      </w:r>
      <w:r w:rsidRPr="003D7383">
        <w:t xml:space="preserve"> de </w:t>
      </w:r>
      <w:r w:rsidR="00820344">
        <w:t>abril de 2015</w:t>
      </w:r>
      <w:r w:rsidRPr="003D7383">
        <w:t xml:space="preserve"> un extracto informativo so</w:t>
      </w:r>
      <w:r w:rsidR="00367F69">
        <w:t>bre la actuación administrativa.</w:t>
      </w:r>
    </w:p>
    <w:p w:rsidR="00CD6DDF" w:rsidRDefault="00B0723B" w:rsidP="00DB043F">
      <w:r>
        <w:t>M</w:t>
      </w:r>
      <w:r w:rsidRPr="00CF0B66">
        <w:t xml:space="preserve">ediante la comunicación </w:t>
      </w:r>
      <w:r w:rsidRPr="00E07C66">
        <w:t>CREG S-201</w:t>
      </w:r>
      <w:r w:rsidR="00BE1CED">
        <w:t>5</w:t>
      </w:r>
      <w:r w:rsidRPr="00E07C66">
        <w:t>-00</w:t>
      </w:r>
      <w:r w:rsidR="00BE1CED">
        <w:t>1633</w:t>
      </w:r>
      <w:r w:rsidRPr="00CF0B66">
        <w:t xml:space="preserve"> se </w:t>
      </w:r>
      <w:r>
        <w:t xml:space="preserve">informó </w:t>
      </w:r>
      <w:r w:rsidRPr="00CF0B66">
        <w:t xml:space="preserve">a </w:t>
      </w:r>
      <w:r w:rsidR="00111422">
        <w:t>la CHEC</w:t>
      </w:r>
      <w:r w:rsidRPr="00CF0B66">
        <w:t xml:space="preserve"> </w:t>
      </w:r>
      <w:r>
        <w:t>sobre la formación del expediente administrativo</w:t>
      </w:r>
      <w:r w:rsidR="00367F69">
        <w:t>.</w:t>
      </w:r>
    </w:p>
    <w:p w:rsidR="00A40710" w:rsidRDefault="006238DF" w:rsidP="00DB043F">
      <w:r w:rsidRPr="003D7383">
        <w:t>E</w:t>
      </w:r>
      <w:r w:rsidR="00CF4245" w:rsidRPr="003D7383">
        <w:t>l 2</w:t>
      </w:r>
      <w:r w:rsidR="00BE1CED" w:rsidRPr="003D7383">
        <w:t>3</w:t>
      </w:r>
      <w:r w:rsidR="00CF4245" w:rsidRPr="003D7383">
        <w:t xml:space="preserve"> de </w:t>
      </w:r>
      <w:r w:rsidR="00BE1CED" w:rsidRPr="003D7383">
        <w:t xml:space="preserve">abril </w:t>
      </w:r>
      <w:r w:rsidR="00CF4245" w:rsidRPr="003D7383">
        <w:t>de 201</w:t>
      </w:r>
      <w:r w:rsidR="00BE1CED" w:rsidRPr="003D7383">
        <w:t>5</w:t>
      </w:r>
      <w:r w:rsidR="00CF4245">
        <w:t xml:space="preserve"> l</w:t>
      </w:r>
      <w:r w:rsidR="00A40710">
        <w:t xml:space="preserve">a Comisión </w:t>
      </w:r>
      <w:r w:rsidR="00CF4245">
        <w:t xml:space="preserve">realizó una verificación de </w:t>
      </w:r>
      <w:r>
        <w:t xml:space="preserve">los </w:t>
      </w:r>
      <w:r w:rsidR="00CF4245">
        <w:t xml:space="preserve">activos </w:t>
      </w:r>
      <w:r w:rsidR="00BE1CED">
        <w:t xml:space="preserve">de la </w:t>
      </w:r>
      <w:r w:rsidR="00BE1CED" w:rsidRPr="00BE1CED">
        <w:t xml:space="preserve">subestación </w:t>
      </w:r>
      <w:proofErr w:type="spellStart"/>
      <w:r w:rsidR="00BE1CED" w:rsidRPr="00BE1CED">
        <w:t>Purnio</w:t>
      </w:r>
      <w:proofErr w:type="spellEnd"/>
      <w:r w:rsidR="00BE1CED" w:rsidRPr="00BE1CED">
        <w:t xml:space="preserve"> 115 </w:t>
      </w:r>
      <w:proofErr w:type="spellStart"/>
      <w:r w:rsidR="00BE1CED" w:rsidRPr="00BE1CED">
        <w:t>kV</w:t>
      </w:r>
      <w:proofErr w:type="spellEnd"/>
      <w:r w:rsidR="00BE1CED" w:rsidRPr="00BE1CED">
        <w:t xml:space="preserve"> y la línea </w:t>
      </w:r>
      <w:proofErr w:type="spellStart"/>
      <w:r w:rsidR="00BE1CED" w:rsidRPr="00BE1CED">
        <w:t>Purnio</w:t>
      </w:r>
      <w:proofErr w:type="spellEnd"/>
      <w:r w:rsidR="00BE1CED" w:rsidRPr="00BE1CED">
        <w:t xml:space="preserve"> - Dorada 115 </w:t>
      </w:r>
      <w:proofErr w:type="spellStart"/>
      <w:r w:rsidR="00BE1CED" w:rsidRPr="00BE1CED">
        <w:t>kV</w:t>
      </w:r>
      <w:proofErr w:type="spellEnd"/>
      <w:r w:rsidR="00367F69">
        <w:t>.</w:t>
      </w:r>
    </w:p>
    <w:p w:rsidR="00C202BD" w:rsidRDefault="00C202BD" w:rsidP="00DB043F">
      <w:r>
        <w:t>Teniendo en cuenta que</w:t>
      </w:r>
      <w:r w:rsidR="00631142">
        <w:t>: i)</w:t>
      </w:r>
      <w:r>
        <w:t xml:space="preserve"> la subestación </w:t>
      </w:r>
      <w:proofErr w:type="spellStart"/>
      <w:r>
        <w:t>Purnio</w:t>
      </w:r>
      <w:proofErr w:type="spellEnd"/>
      <w:r>
        <w:t xml:space="preserve"> es una subestación de conexión al STN</w:t>
      </w:r>
      <w:r w:rsidR="005826B4">
        <w:t xml:space="preserve"> y </w:t>
      </w:r>
      <w:r w:rsidR="00631142">
        <w:t xml:space="preserve">ii) </w:t>
      </w:r>
      <w:r w:rsidR="005826B4">
        <w:t xml:space="preserve">que la </w:t>
      </w:r>
      <w:r>
        <w:t xml:space="preserve">UC N4S45 </w:t>
      </w:r>
      <w:r w:rsidRPr="00C202BD">
        <w:rPr>
          <w:i/>
        </w:rPr>
        <w:t>sistema de control de la subestación (S</w:t>
      </w:r>
      <w:r w:rsidR="007610A8">
        <w:rPr>
          <w:i/>
        </w:rPr>
        <w:t>/</w:t>
      </w:r>
      <w:r w:rsidRPr="00C202BD">
        <w:rPr>
          <w:i/>
        </w:rPr>
        <w:t xml:space="preserve">E 115/34,5 </w:t>
      </w:r>
      <w:proofErr w:type="spellStart"/>
      <w:r w:rsidRPr="00C202BD">
        <w:rPr>
          <w:i/>
        </w:rPr>
        <w:t>kV</w:t>
      </w:r>
      <w:proofErr w:type="spellEnd"/>
      <w:r w:rsidRPr="00C202BD">
        <w:rPr>
          <w:i/>
        </w:rPr>
        <w:t xml:space="preserve">) o (S/E 115/13.8 </w:t>
      </w:r>
      <w:proofErr w:type="spellStart"/>
      <w:r w:rsidRPr="00C202BD">
        <w:rPr>
          <w:i/>
        </w:rPr>
        <w:t>kV</w:t>
      </w:r>
      <w:proofErr w:type="spellEnd"/>
      <w:r w:rsidRPr="00C202BD">
        <w:rPr>
          <w:i/>
        </w:rPr>
        <w:t>)</w:t>
      </w:r>
      <w:r w:rsidR="005826B4">
        <w:t xml:space="preserve">, </w:t>
      </w:r>
      <w:r>
        <w:t>solicitada por la CHEC</w:t>
      </w:r>
      <w:r w:rsidR="005826B4">
        <w:t xml:space="preserve">, </w:t>
      </w:r>
      <w:r w:rsidR="007610A8">
        <w:t xml:space="preserve">aplica para </w:t>
      </w:r>
      <w:r w:rsidR="005826B4">
        <w:t xml:space="preserve">subestaciones con nivel de alta tensión de 115 </w:t>
      </w:r>
      <w:proofErr w:type="spellStart"/>
      <w:r w:rsidR="005826B4">
        <w:t>kV</w:t>
      </w:r>
      <w:proofErr w:type="spellEnd"/>
      <w:r w:rsidR="00631142">
        <w:t xml:space="preserve">, se </w:t>
      </w:r>
      <w:r w:rsidR="007610A8">
        <w:t xml:space="preserve">considera </w:t>
      </w:r>
      <w:proofErr w:type="spellStart"/>
      <w:r w:rsidR="00111422">
        <w:t>reconcer</w:t>
      </w:r>
      <w:proofErr w:type="spellEnd"/>
      <w:r w:rsidR="00631142">
        <w:t xml:space="preserve"> la </w:t>
      </w:r>
      <w:r w:rsidR="005826B4">
        <w:t xml:space="preserve">UC </w:t>
      </w:r>
      <w:r>
        <w:t xml:space="preserve">N5S8 </w:t>
      </w:r>
      <w:r w:rsidRPr="00C202BD">
        <w:rPr>
          <w:i/>
        </w:rPr>
        <w:t>Centro de supervisión y control para activos de conexión al STN</w:t>
      </w:r>
      <w:r w:rsidR="00111422">
        <w:t>, en lugar de la UC solicitada.</w:t>
      </w:r>
    </w:p>
    <w:p w:rsidR="00C202BD" w:rsidRDefault="00C202BD" w:rsidP="00DB043F">
      <w:r>
        <w:t>Dentro de los componentes de la UC N5S8 se encuentra</w:t>
      </w:r>
      <w:r w:rsidR="00AB14C3">
        <w:t>n</w:t>
      </w:r>
      <w:r>
        <w:t xml:space="preserve"> la interface de usuario, IHM y el Gateway de comunicaciones, por lo </w:t>
      </w:r>
      <w:r w:rsidR="005826B4">
        <w:t>tanto</w:t>
      </w:r>
      <w:r w:rsidR="00AB14C3">
        <w:t xml:space="preserve">, se considera no incluir en la base de activos </w:t>
      </w:r>
      <w:r>
        <w:t>las UC N4EQ10, Interface de usuario (IHM) y N4EQ12 Gateway de comunica</w:t>
      </w:r>
      <w:r w:rsidR="00367F69">
        <w:t>ciones, solicitadas por la CHEC.</w:t>
      </w:r>
    </w:p>
    <w:p w:rsidR="00C53FEA" w:rsidRDefault="00C53FEA" w:rsidP="00DB043F">
      <w:r>
        <w:t>Mediante comunicación con radicado CREG E-2015-004529 la CHEC solicitó ajustar el valor catastral del terreno reportado inicialme</w:t>
      </w:r>
      <w:r w:rsidR="00367F69">
        <w:t xml:space="preserve">nte para la subestación </w:t>
      </w:r>
      <w:proofErr w:type="spellStart"/>
      <w:r w:rsidR="00367F69">
        <w:t>Purnio</w:t>
      </w:r>
      <w:proofErr w:type="spellEnd"/>
      <w:r w:rsidR="00367F69">
        <w:t>.</w:t>
      </w:r>
    </w:p>
    <w:p w:rsidR="00E75640" w:rsidRDefault="00E75640" w:rsidP="00DB043F">
      <w:r>
        <w:t xml:space="preserve">El valor catastral de la subestación </w:t>
      </w:r>
      <w:proofErr w:type="spellStart"/>
      <w:r>
        <w:t>Purnio</w:t>
      </w:r>
      <w:proofErr w:type="spellEnd"/>
      <w:r>
        <w:t xml:space="preserve"> </w:t>
      </w:r>
      <w:r w:rsidR="00217BBC">
        <w:t xml:space="preserve">utilizado </w:t>
      </w:r>
      <w:r>
        <w:t xml:space="preserve">corresponde al reportado por la empresa y el valor </w:t>
      </w:r>
      <w:r w:rsidR="00C53FEA">
        <w:t xml:space="preserve">catastral </w:t>
      </w:r>
      <w:r>
        <w:t>de la subestación La Dorada corresponde al utilizado en el cálculo de los cargos vigentes</w:t>
      </w:r>
      <w:r w:rsidR="00367F69">
        <w:t>.</w:t>
      </w:r>
    </w:p>
    <w:p w:rsidR="006E657F" w:rsidRDefault="00C202BD" w:rsidP="00DB043F">
      <w:r>
        <w:t>C</w:t>
      </w:r>
      <w:r w:rsidR="006E657F" w:rsidRPr="006E657F">
        <w:t xml:space="preserve">on base en los análisis efectuados </w:t>
      </w:r>
      <w:r w:rsidR="00CF4245">
        <w:t xml:space="preserve">y la </w:t>
      </w:r>
      <w:r w:rsidR="006238DF">
        <w:t xml:space="preserve">verificación </w:t>
      </w:r>
      <w:r w:rsidR="00CF4245">
        <w:t xml:space="preserve">realizada </w:t>
      </w:r>
      <w:r w:rsidR="00B0723B" w:rsidRPr="006E657F">
        <w:t xml:space="preserve">se </w:t>
      </w:r>
      <w:r w:rsidR="00B0723B">
        <w:t xml:space="preserve">considera pertinente </w:t>
      </w:r>
      <w:r w:rsidR="00B0723B" w:rsidRPr="006E657F">
        <w:t>inclu</w:t>
      </w:r>
      <w:r w:rsidR="00B0723B">
        <w:t xml:space="preserve">ir </w:t>
      </w:r>
      <w:r w:rsidR="00B0723B" w:rsidRPr="006E657F">
        <w:t xml:space="preserve">las siguientes </w:t>
      </w:r>
      <w:r w:rsidR="00BE1CED" w:rsidRPr="006E657F">
        <w:t xml:space="preserve">unidades </w:t>
      </w:r>
      <w:r w:rsidR="00BE1CED">
        <w:t>c</w:t>
      </w:r>
      <w:r w:rsidR="00BE1CED" w:rsidRPr="006E657F">
        <w:t>onstructivas</w:t>
      </w:r>
      <w:r w:rsidR="00BE1CED">
        <w:t xml:space="preserve"> </w:t>
      </w:r>
      <w:r w:rsidR="00217BBC">
        <w:t xml:space="preserve">asociadas a la </w:t>
      </w:r>
      <w:r w:rsidR="00BE1CED" w:rsidRPr="00BE1CED">
        <w:t xml:space="preserve">subestación </w:t>
      </w:r>
      <w:proofErr w:type="spellStart"/>
      <w:r w:rsidR="00BE1CED" w:rsidRPr="00BE1CED">
        <w:t>Purnio</w:t>
      </w:r>
      <w:proofErr w:type="spellEnd"/>
      <w:r w:rsidR="00BE1CED" w:rsidRPr="00BE1CED">
        <w:t xml:space="preserve"> 115 </w:t>
      </w:r>
      <w:proofErr w:type="spellStart"/>
      <w:r w:rsidR="00BE1CED" w:rsidRPr="00BE1CED">
        <w:t>kV</w:t>
      </w:r>
      <w:proofErr w:type="spellEnd"/>
      <w:r w:rsidR="00BE1CED" w:rsidRPr="00BE1CED">
        <w:t xml:space="preserve"> y la línea </w:t>
      </w:r>
      <w:proofErr w:type="spellStart"/>
      <w:r w:rsidR="00BE1CED" w:rsidRPr="00BE1CED">
        <w:t>Purnio</w:t>
      </w:r>
      <w:proofErr w:type="spellEnd"/>
      <w:r w:rsidR="00BE1CED" w:rsidRPr="00BE1CED">
        <w:t xml:space="preserve"> - Dorada 115 </w:t>
      </w:r>
      <w:proofErr w:type="spellStart"/>
      <w:r w:rsidR="00BE1CED" w:rsidRPr="00BE1CED">
        <w:t>kV</w:t>
      </w:r>
      <w:proofErr w:type="spellEnd"/>
      <w:r w:rsidR="00BE1CED" w:rsidRPr="006E657F">
        <w:t xml:space="preserve"> </w:t>
      </w:r>
      <w:r w:rsidR="00B0723B" w:rsidRPr="006E657F">
        <w:t xml:space="preserve">en el inventario de activos de </w:t>
      </w:r>
      <w:r w:rsidR="00BE1CED" w:rsidRPr="006E657F">
        <w:t xml:space="preserve">nivel de tensión </w:t>
      </w:r>
      <w:r w:rsidR="00B0723B" w:rsidRPr="006E657F">
        <w:t xml:space="preserve">4 de </w:t>
      </w:r>
      <w:r w:rsidR="00BE1CED">
        <w:t>la CHEC</w:t>
      </w:r>
      <w:r w:rsidR="00B0723B">
        <w:t>:</w:t>
      </w:r>
    </w:p>
    <w:p w:rsidR="00217BBC" w:rsidRPr="003D7383" w:rsidRDefault="00217BBC" w:rsidP="003D7383">
      <w:pPr>
        <w:jc w:val="center"/>
        <w:rPr>
          <w:b/>
        </w:rPr>
      </w:pPr>
      <w:r w:rsidRPr="003D7383">
        <w:rPr>
          <w:b/>
        </w:rPr>
        <w:t>Unidades constructivas de subestación</w:t>
      </w:r>
    </w:p>
    <w:tbl>
      <w:tblPr>
        <w:tblW w:w="9253" w:type="dxa"/>
        <w:jc w:val="center"/>
        <w:tblInd w:w="79" w:type="dxa"/>
        <w:tblCellMar>
          <w:left w:w="70" w:type="dxa"/>
          <w:right w:w="70" w:type="dxa"/>
        </w:tblCellMar>
        <w:tblLook w:val="04A0" w:firstRow="1" w:lastRow="0" w:firstColumn="1" w:lastColumn="0" w:noHBand="0" w:noVBand="1"/>
      </w:tblPr>
      <w:tblGrid>
        <w:gridCol w:w="852"/>
        <w:gridCol w:w="1188"/>
        <w:gridCol w:w="6221"/>
        <w:gridCol w:w="992"/>
      </w:tblGrid>
      <w:tr w:rsidR="00F40B8A" w:rsidRPr="00F40B8A" w:rsidTr="00260E7E">
        <w:trPr>
          <w:trHeight w:val="600"/>
          <w:tblHeader/>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UC 097</w:t>
            </w:r>
          </w:p>
        </w:tc>
        <w:tc>
          <w:tcPr>
            <w:tcW w:w="1188" w:type="dxa"/>
            <w:tcBorders>
              <w:top w:val="single" w:sz="4" w:space="0" w:color="auto"/>
              <w:left w:val="nil"/>
              <w:bottom w:val="single" w:sz="4" w:space="0" w:color="auto"/>
              <w:right w:val="single" w:sz="4" w:space="0" w:color="auto"/>
            </w:tcBorders>
            <w:shd w:val="clear" w:color="000000" w:fill="FFFFFF"/>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Código Subestación</w:t>
            </w:r>
          </w:p>
        </w:tc>
        <w:tc>
          <w:tcPr>
            <w:tcW w:w="6221" w:type="dxa"/>
            <w:tcBorders>
              <w:top w:val="single" w:sz="4" w:space="0" w:color="auto"/>
              <w:left w:val="nil"/>
              <w:bottom w:val="single" w:sz="4" w:space="0" w:color="auto"/>
              <w:right w:val="single" w:sz="4" w:space="0" w:color="auto"/>
            </w:tcBorders>
            <w:shd w:val="clear" w:color="000000" w:fill="FFFFFF"/>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Descripción UC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Cantidad</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N4S7</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DOR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Bahía de línea - configuración barra principal y transferencia</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N4EQ2</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DOR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Transformador de tensión nivel 4</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3</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N4S1</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Bahía de línea - configuración barra sencilla - tipo convencional</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N5S5</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817130" w:rsidP="00817130">
            <w:pPr>
              <w:spacing w:before="0" w:after="0"/>
              <w:jc w:val="left"/>
              <w:rPr>
                <w:i/>
                <w:iCs/>
                <w:color w:val="000000"/>
                <w:sz w:val="18"/>
                <w:szCs w:val="18"/>
                <w:lang w:val="es-CO" w:eastAsia="es-CO"/>
              </w:rPr>
            </w:pPr>
            <w:r w:rsidRPr="00F40B8A">
              <w:rPr>
                <w:i/>
                <w:iCs/>
                <w:color w:val="000000"/>
                <w:sz w:val="18"/>
                <w:szCs w:val="18"/>
                <w:lang w:val="es-CO" w:eastAsia="es-CO"/>
              </w:rPr>
              <w:t>Bahía</w:t>
            </w:r>
            <w:r w:rsidR="00F40B8A" w:rsidRPr="00F40B8A">
              <w:rPr>
                <w:i/>
                <w:iCs/>
                <w:color w:val="000000"/>
                <w:sz w:val="18"/>
                <w:szCs w:val="18"/>
                <w:lang w:val="es-CO" w:eastAsia="es-CO"/>
              </w:rPr>
              <w:t xml:space="preserve"> de transformador, doble barra m</w:t>
            </w:r>
            <w:r>
              <w:rPr>
                <w:i/>
                <w:iCs/>
                <w:color w:val="000000"/>
                <w:sz w:val="18"/>
                <w:szCs w:val="18"/>
                <w:lang w:val="es-CO" w:eastAsia="es-CO"/>
              </w:rPr>
              <w:t>á</w:t>
            </w:r>
            <w:r w:rsidR="00F40B8A" w:rsidRPr="00F40B8A">
              <w:rPr>
                <w:i/>
                <w:iCs/>
                <w:color w:val="000000"/>
                <w:sz w:val="18"/>
                <w:szCs w:val="18"/>
                <w:lang w:val="es-CO" w:eastAsia="es-CO"/>
              </w:rPr>
              <w:t xml:space="preserve">s transferencia, 230 </w:t>
            </w:r>
            <w:proofErr w:type="spellStart"/>
            <w:r w:rsidR="00F40B8A" w:rsidRPr="00F40B8A">
              <w:rPr>
                <w:i/>
                <w:iCs/>
                <w:color w:val="000000"/>
                <w:sz w:val="18"/>
                <w:szCs w:val="18"/>
                <w:lang w:val="es-CO" w:eastAsia="es-CO"/>
              </w:rPr>
              <w:t>kV</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N4EQ2</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Transformador de tensión nivel 4</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4</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N4EQ3</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Armario concentrador (</w:t>
            </w:r>
            <w:r w:rsidR="00AC69D8" w:rsidRPr="00F40B8A">
              <w:rPr>
                <w:i/>
                <w:iCs/>
                <w:color w:val="000000"/>
                <w:sz w:val="18"/>
                <w:szCs w:val="18"/>
                <w:lang w:val="es-CO" w:eastAsia="es-CO"/>
              </w:rPr>
              <w:t>Marshall</w:t>
            </w:r>
            <w:r w:rsidRPr="00F40B8A">
              <w:rPr>
                <w:i/>
                <w:iCs/>
                <w:color w:val="000000"/>
                <w:sz w:val="18"/>
                <w:szCs w:val="18"/>
                <w:lang w:val="es-CO" w:eastAsia="es-CO"/>
              </w:rPr>
              <w:t xml:space="preserve"> in </w:t>
            </w:r>
            <w:proofErr w:type="spellStart"/>
            <w:r w:rsidRPr="00F40B8A">
              <w:rPr>
                <w:i/>
                <w:iCs/>
                <w:color w:val="000000"/>
                <w:sz w:val="18"/>
                <w:szCs w:val="18"/>
                <w:lang w:val="es-CO" w:eastAsia="es-CO"/>
              </w:rPr>
              <w:t>kiosk</w:t>
            </w:r>
            <w:proofErr w:type="spellEnd"/>
            <w:r w:rsidRPr="00F40B8A">
              <w:rPr>
                <w:i/>
                <w:iCs/>
                <w:color w:val="000000"/>
                <w:sz w:val="18"/>
                <w:szCs w:val="18"/>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2</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N4S41</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260E7E">
            <w:pPr>
              <w:spacing w:before="0" w:after="0"/>
              <w:jc w:val="left"/>
              <w:rPr>
                <w:i/>
                <w:iCs/>
                <w:color w:val="000000"/>
                <w:sz w:val="18"/>
                <w:szCs w:val="18"/>
                <w:lang w:val="es-CO" w:eastAsia="es-CO"/>
              </w:rPr>
            </w:pPr>
            <w:r w:rsidRPr="00F40B8A">
              <w:rPr>
                <w:i/>
                <w:iCs/>
                <w:color w:val="000000"/>
                <w:sz w:val="18"/>
                <w:szCs w:val="18"/>
                <w:lang w:val="es-CO" w:eastAsia="es-CO"/>
              </w:rPr>
              <w:t>Módulo común tipo 1 (1 a 3 bahías) - convencional o encapsulada</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N5S8</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Centro de supervisión y control para activos de conexión STN</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lastRenderedPageBreak/>
              <w:t>N4S48</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Casa de control nivel de tensión 4 ($/m</w:t>
            </w:r>
            <w:r w:rsidRPr="00F40B8A">
              <w:rPr>
                <w:i/>
                <w:iCs/>
                <w:color w:val="000000"/>
                <w:sz w:val="18"/>
                <w:szCs w:val="18"/>
                <w:vertAlign w:val="superscript"/>
                <w:lang w:val="es-CO" w:eastAsia="es-CO"/>
              </w:rPr>
              <w:t>2</w:t>
            </w:r>
            <w:r w:rsidRPr="00F40B8A">
              <w:rPr>
                <w:i/>
                <w:iCs/>
                <w:color w:val="000000"/>
                <w:sz w:val="18"/>
                <w:szCs w:val="18"/>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 (180m</w:t>
            </w:r>
            <w:r w:rsidRPr="00F40B8A">
              <w:rPr>
                <w:i/>
                <w:iCs/>
                <w:color w:val="000000"/>
                <w:sz w:val="18"/>
                <w:szCs w:val="18"/>
                <w:vertAlign w:val="superscript"/>
                <w:lang w:val="es-CO" w:eastAsia="es-CO"/>
              </w:rPr>
              <w:t>2</w:t>
            </w:r>
            <w:r w:rsidRPr="00F40B8A">
              <w:rPr>
                <w:i/>
                <w:iCs/>
                <w:color w:val="000000"/>
                <w:sz w:val="18"/>
                <w:szCs w:val="18"/>
                <w:lang w:val="es-CO" w:eastAsia="es-CO"/>
              </w:rPr>
              <w:t>)</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N4EQ4</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Unidad de calidad de potencia (PQ)</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N4EQ7</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Enlace de fibra óptica</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N4EQ9</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left"/>
              <w:rPr>
                <w:i/>
                <w:iCs/>
                <w:color w:val="000000"/>
                <w:sz w:val="18"/>
                <w:szCs w:val="18"/>
                <w:lang w:val="es-CO" w:eastAsia="es-CO"/>
              </w:rPr>
            </w:pPr>
            <w:r w:rsidRPr="00F40B8A">
              <w:rPr>
                <w:i/>
                <w:iCs/>
                <w:color w:val="000000"/>
                <w:sz w:val="18"/>
                <w:szCs w:val="18"/>
                <w:lang w:val="es-CO" w:eastAsia="es-CO"/>
              </w:rPr>
              <w:t xml:space="preserve">Sistema de </w:t>
            </w:r>
            <w:r w:rsidR="00AC69D8" w:rsidRPr="00F40B8A">
              <w:rPr>
                <w:i/>
                <w:iCs/>
                <w:color w:val="000000"/>
                <w:sz w:val="18"/>
                <w:szCs w:val="18"/>
                <w:lang w:val="es-CO" w:eastAsia="es-CO"/>
              </w:rPr>
              <w:t>tele protección</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1</w:t>
            </w:r>
          </w:p>
        </w:tc>
      </w:tr>
      <w:tr w:rsidR="00F40B8A" w:rsidRPr="00F40B8A" w:rsidTr="00260E7E">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N5T13</w:t>
            </w:r>
          </w:p>
        </w:tc>
        <w:tc>
          <w:tcPr>
            <w:tcW w:w="1188"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PUR</w:t>
            </w:r>
          </w:p>
        </w:tc>
        <w:tc>
          <w:tcPr>
            <w:tcW w:w="6221"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B11890">
            <w:pPr>
              <w:spacing w:before="0" w:after="0"/>
              <w:jc w:val="left"/>
              <w:rPr>
                <w:i/>
                <w:iCs/>
                <w:color w:val="000000"/>
                <w:sz w:val="18"/>
                <w:szCs w:val="18"/>
                <w:lang w:val="es-CO" w:eastAsia="es-CO"/>
              </w:rPr>
            </w:pPr>
            <w:r w:rsidRPr="00F40B8A">
              <w:rPr>
                <w:i/>
                <w:iCs/>
                <w:color w:val="000000"/>
                <w:sz w:val="18"/>
                <w:szCs w:val="18"/>
                <w:lang w:val="es-CO" w:eastAsia="es-CO"/>
              </w:rPr>
              <w:t xml:space="preserve">Autotransformador monofásico (OLTC) - conexión al STN </w:t>
            </w:r>
            <w:r w:rsidR="00B11890">
              <w:rPr>
                <w:i/>
                <w:iCs/>
                <w:color w:val="000000"/>
                <w:sz w:val="18"/>
                <w:szCs w:val="18"/>
                <w:lang w:val="es-CO" w:eastAsia="es-CO"/>
              </w:rPr>
              <w:t>–</w:t>
            </w:r>
            <w:r w:rsidRPr="00F40B8A">
              <w:rPr>
                <w:i/>
                <w:iCs/>
                <w:color w:val="000000"/>
                <w:sz w:val="18"/>
                <w:szCs w:val="18"/>
                <w:lang w:val="es-CO" w:eastAsia="es-CO"/>
              </w:rPr>
              <w:t xml:space="preserve"> 41</w:t>
            </w:r>
            <w:r w:rsidR="00B11890">
              <w:rPr>
                <w:i/>
                <w:iCs/>
                <w:color w:val="000000"/>
                <w:sz w:val="18"/>
                <w:szCs w:val="18"/>
                <w:lang w:val="es-CO" w:eastAsia="es-CO"/>
              </w:rPr>
              <w:t>-</w:t>
            </w:r>
            <w:r w:rsidRPr="00F40B8A">
              <w:rPr>
                <w:i/>
                <w:iCs/>
                <w:color w:val="000000"/>
                <w:sz w:val="18"/>
                <w:szCs w:val="18"/>
                <w:lang w:val="es-CO" w:eastAsia="es-CO"/>
              </w:rPr>
              <w:t>50 MVA</w:t>
            </w:r>
          </w:p>
        </w:tc>
        <w:tc>
          <w:tcPr>
            <w:tcW w:w="992" w:type="dxa"/>
            <w:tcBorders>
              <w:top w:val="nil"/>
              <w:left w:val="nil"/>
              <w:bottom w:val="single" w:sz="4" w:space="0" w:color="auto"/>
              <w:right w:val="single" w:sz="4" w:space="0" w:color="auto"/>
            </w:tcBorders>
            <w:shd w:val="clear" w:color="auto" w:fill="auto"/>
            <w:noWrap/>
            <w:vAlign w:val="center"/>
            <w:hideMark/>
          </w:tcPr>
          <w:p w:rsidR="00F40B8A" w:rsidRPr="00F40B8A" w:rsidRDefault="00F40B8A" w:rsidP="00817130">
            <w:pPr>
              <w:spacing w:before="0" w:after="0"/>
              <w:jc w:val="center"/>
              <w:rPr>
                <w:i/>
                <w:iCs/>
                <w:color w:val="000000"/>
                <w:sz w:val="18"/>
                <w:szCs w:val="18"/>
                <w:lang w:val="es-CO" w:eastAsia="es-CO"/>
              </w:rPr>
            </w:pPr>
            <w:r w:rsidRPr="00F40B8A">
              <w:rPr>
                <w:i/>
                <w:iCs/>
                <w:color w:val="000000"/>
                <w:sz w:val="18"/>
                <w:szCs w:val="18"/>
                <w:lang w:val="es-CO" w:eastAsia="es-CO"/>
              </w:rPr>
              <w:t>4</w:t>
            </w:r>
          </w:p>
        </w:tc>
      </w:tr>
    </w:tbl>
    <w:p w:rsidR="00217BBC" w:rsidRPr="003D7383" w:rsidRDefault="00217BBC" w:rsidP="003D7383">
      <w:pPr>
        <w:spacing w:before="120" w:after="120"/>
        <w:jc w:val="center"/>
        <w:rPr>
          <w:b/>
        </w:rPr>
      </w:pPr>
      <w:r w:rsidRPr="003D7383">
        <w:rPr>
          <w:b/>
        </w:rPr>
        <w:t>Unidades constructivas de línea</w:t>
      </w:r>
    </w:p>
    <w:tbl>
      <w:tblPr>
        <w:tblW w:w="9267" w:type="dxa"/>
        <w:jc w:val="center"/>
        <w:tblInd w:w="161" w:type="dxa"/>
        <w:tblCellMar>
          <w:left w:w="70" w:type="dxa"/>
          <w:right w:w="70" w:type="dxa"/>
        </w:tblCellMar>
        <w:tblLook w:val="04A0" w:firstRow="1" w:lastRow="0" w:firstColumn="1" w:lastColumn="0" w:noHBand="0" w:noVBand="1"/>
      </w:tblPr>
      <w:tblGrid>
        <w:gridCol w:w="884"/>
        <w:gridCol w:w="1276"/>
        <w:gridCol w:w="6115"/>
        <w:gridCol w:w="992"/>
      </w:tblGrid>
      <w:tr w:rsidR="00217BBC" w:rsidRPr="00217BBC" w:rsidTr="00B11890">
        <w:trPr>
          <w:trHeight w:val="300"/>
          <w:jc w:val="center"/>
        </w:trPr>
        <w:tc>
          <w:tcPr>
            <w:tcW w:w="8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UC 097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Código línea</w:t>
            </w:r>
          </w:p>
        </w:tc>
        <w:tc>
          <w:tcPr>
            <w:tcW w:w="6115" w:type="dxa"/>
            <w:tcBorders>
              <w:top w:val="single" w:sz="4" w:space="0" w:color="auto"/>
              <w:left w:val="nil"/>
              <w:bottom w:val="single" w:sz="4" w:space="0" w:color="auto"/>
              <w:right w:val="single" w:sz="4" w:space="0" w:color="auto"/>
            </w:tcBorders>
            <w:shd w:val="clear" w:color="000000" w:fill="FFFFFF"/>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Descripción UC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Cantidad</w:t>
            </w:r>
          </w:p>
        </w:tc>
      </w:tr>
      <w:tr w:rsidR="00217BBC" w:rsidRPr="00217BBC" w:rsidTr="00B11890">
        <w:trPr>
          <w:trHeight w:val="300"/>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N4L36</w:t>
            </w:r>
          </w:p>
        </w:tc>
        <w:tc>
          <w:tcPr>
            <w:tcW w:w="1276"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DOR-PUR</w:t>
            </w:r>
          </w:p>
        </w:tc>
        <w:tc>
          <w:tcPr>
            <w:tcW w:w="6115"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left"/>
              <w:rPr>
                <w:i/>
                <w:iCs/>
                <w:color w:val="000000"/>
                <w:sz w:val="18"/>
                <w:szCs w:val="18"/>
                <w:lang w:val="es-CO" w:eastAsia="es-CO"/>
              </w:rPr>
            </w:pPr>
            <w:r w:rsidRPr="00217BBC">
              <w:rPr>
                <w:i/>
                <w:iCs/>
                <w:color w:val="000000"/>
                <w:sz w:val="18"/>
                <w:szCs w:val="18"/>
                <w:lang w:val="es-CO" w:eastAsia="es-CO"/>
              </w:rPr>
              <w:t>km línea urbana - circuito sencillo  - torre metálica - conductor D-N4-4</w:t>
            </w:r>
          </w:p>
        </w:tc>
        <w:tc>
          <w:tcPr>
            <w:tcW w:w="992"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0,89</w:t>
            </w:r>
          </w:p>
        </w:tc>
      </w:tr>
      <w:tr w:rsidR="00217BBC" w:rsidRPr="00217BBC" w:rsidTr="00B11890">
        <w:trPr>
          <w:trHeight w:val="300"/>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N4L40</w:t>
            </w:r>
          </w:p>
        </w:tc>
        <w:tc>
          <w:tcPr>
            <w:tcW w:w="1276"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DOR-PUR</w:t>
            </w:r>
          </w:p>
        </w:tc>
        <w:tc>
          <w:tcPr>
            <w:tcW w:w="6115"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left"/>
              <w:rPr>
                <w:i/>
                <w:iCs/>
                <w:color w:val="000000"/>
                <w:sz w:val="18"/>
                <w:szCs w:val="18"/>
                <w:lang w:val="es-CO" w:eastAsia="es-CO"/>
              </w:rPr>
            </w:pPr>
            <w:r w:rsidRPr="00217BBC">
              <w:rPr>
                <w:i/>
                <w:iCs/>
                <w:color w:val="000000"/>
                <w:sz w:val="18"/>
                <w:szCs w:val="18"/>
                <w:lang w:val="es-CO" w:eastAsia="es-CO"/>
              </w:rPr>
              <w:t>km línea rural - circuito sencillo  - torre metálica - conductor D-N4-4</w:t>
            </w:r>
          </w:p>
        </w:tc>
        <w:tc>
          <w:tcPr>
            <w:tcW w:w="992"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4,90</w:t>
            </w:r>
          </w:p>
        </w:tc>
      </w:tr>
      <w:tr w:rsidR="00217BBC" w:rsidRPr="00217BBC" w:rsidTr="00B11890">
        <w:trPr>
          <w:trHeight w:val="300"/>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N4L52</w:t>
            </w:r>
          </w:p>
        </w:tc>
        <w:tc>
          <w:tcPr>
            <w:tcW w:w="1276"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DOR-PUR</w:t>
            </w:r>
          </w:p>
        </w:tc>
        <w:tc>
          <w:tcPr>
            <w:tcW w:w="6115"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left"/>
              <w:rPr>
                <w:i/>
                <w:iCs/>
                <w:color w:val="000000"/>
                <w:sz w:val="18"/>
                <w:szCs w:val="18"/>
                <w:lang w:val="es-CO" w:eastAsia="es-CO"/>
              </w:rPr>
            </w:pPr>
            <w:r w:rsidRPr="00217BBC">
              <w:rPr>
                <w:i/>
                <w:iCs/>
                <w:color w:val="000000"/>
                <w:sz w:val="18"/>
                <w:szCs w:val="18"/>
                <w:lang w:val="es-CO" w:eastAsia="es-CO"/>
              </w:rPr>
              <w:t xml:space="preserve">km de fibra óptica </w:t>
            </w:r>
            <w:proofErr w:type="spellStart"/>
            <w:r w:rsidRPr="00217BBC">
              <w:rPr>
                <w:i/>
                <w:iCs/>
                <w:color w:val="000000"/>
                <w:sz w:val="18"/>
                <w:szCs w:val="18"/>
                <w:lang w:val="es-CO" w:eastAsia="es-CO"/>
              </w:rPr>
              <w:t>adss</w:t>
            </w:r>
            <w:proofErr w:type="spellEnd"/>
            <w:r w:rsidRPr="00217BBC">
              <w:rPr>
                <w:i/>
                <w:iCs/>
                <w:color w:val="000000"/>
                <w:sz w:val="18"/>
                <w:szCs w:val="18"/>
                <w:lang w:val="es-CO" w:eastAsia="es-CO"/>
              </w:rPr>
              <w:t>/</w:t>
            </w:r>
            <w:proofErr w:type="spellStart"/>
            <w:r w:rsidRPr="00217BBC">
              <w:rPr>
                <w:i/>
                <w:iCs/>
                <w:color w:val="000000"/>
                <w:sz w:val="18"/>
                <w:szCs w:val="18"/>
                <w:lang w:val="es-CO" w:eastAsia="es-CO"/>
              </w:rPr>
              <w:t>opgw</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217BBC" w:rsidRPr="00217BBC" w:rsidRDefault="00217BBC" w:rsidP="00217BBC">
            <w:pPr>
              <w:spacing w:before="0" w:after="0"/>
              <w:jc w:val="center"/>
              <w:rPr>
                <w:i/>
                <w:iCs/>
                <w:color w:val="000000"/>
                <w:sz w:val="18"/>
                <w:szCs w:val="18"/>
                <w:lang w:val="es-CO" w:eastAsia="es-CO"/>
              </w:rPr>
            </w:pPr>
            <w:r w:rsidRPr="00217BBC">
              <w:rPr>
                <w:i/>
                <w:iCs/>
                <w:color w:val="000000"/>
                <w:sz w:val="18"/>
                <w:szCs w:val="18"/>
                <w:lang w:val="es-CO" w:eastAsia="es-CO"/>
              </w:rPr>
              <w:t>11,59</w:t>
            </w:r>
          </w:p>
        </w:tc>
      </w:tr>
    </w:tbl>
    <w:p w:rsidR="00B0723B" w:rsidRDefault="00B0723B" w:rsidP="005D103F">
      <w:r>
        <w:t>A</w:t>
      </w:r>
      <w:r w:rsidRPr="00CF0B66">
        <w:t xml:space="preserve">l modificarse la base de activos reconocidos en </w:t>
      </w:r>
      <w:r>
        <w:t>este n</w:t>
      </w:r>
      <w:r w:rsidRPr="00CF0B66">
        <w:t xml:space="preserve">ivel de </w:t>
      </w:r>
      <w:r>
        <w:t>t</w:t>
      </w:r>
      <w:r w:rsidRPr="00CF0B66">
        <w:t>ensión</w:t>
      </w:r>
      <w:r>
        <w:t>,</w:t>
      </w:r>
      <w:r w:rsidRPr="00CF0B66">
        <w:t xml:space="preserve"> se modifica el </w:t>
      </w:r>
      <w:r w:rsidR="00BE1CED">
        <w:t>c</w:t>
      </w:r>
      <w:r w:rsidR="00BE1CED" w:rsidRPr="00CF0B66">
        <w:t xml:space="preserve">osto </w:t>
      </w:r>
      <w:r w:rsidR="00BE1CED">
        <w:t>a</w:t>
      </w:r>
      <w:r w:rsidR="00BE1CED" w:rsidRPr="00CF0B66">
        <w:t xml:space="preserve">nual por </w:t>
      </w:r>
      <w:r w:rsidR="00BE1CED">
        <w:t>u</w:t>
      </w:r>
      <w:r w:rsidR="00BE1CED" w:rsidRPr="00CF0B66">
        <w:t xml:space="preserve">so de los </w:t>
      </w:r>
      <w:r w:rsidR="00BE1CED">
        <w:t>a</w:t>
      </w:r>
      <w:r w:rsidR="00BE1CED" w:rsidRPr="00CF0B66">
        <w:t>ctivos de nivel de tensión 4</w:t>
      </w:r>
      <w:r w:rsidR="00BE1CED">
        <w:t xml:space="preserve"> </w:t>
      </w:r>
      <w:r w:rsidR="00BE1CED" w:rsidRPr="00CF0B66">
        <w:t xml:space="preserve">y el costo de reposición de la inversión de nivel de tensión </w:t>
      </w:r>
      <w:r w:rsidRPr="00CF0B66">
        <w:t>4</w:t>
      </w:r>
      <w:r w:rsidR="00BE1CED">
        <w:t xml:space="preserve"> de la CHEC</w:t>
      </w:r>
      <w:r>
        <w:t>.</w:t>
      </w:r>
    </w:p>
    <w:p w:rsidR="00E03BD2" w:rsidRDefault="00E03BD2" w:rsidP="005D103F">
      <w:r>
        <w:t xml:space="preserve">Que la Comisión de Regulación de Energía y Gas, en su sesión </w:t>
      </w:r>
      <w:r w:rsidR="00C850D9">
        <w:t>No.</w:t>
      </w:r>
      <w:r w:rsidR="005A200A">
        <w:t xml:space="preserve"> </w:t>
      </w:r>
      <w:r w:rsidR="00367F69">
        <w:t>665</w:t>
      </w:r>
      <w:r>
        <w:t xml:space="preserve"> de</w:t>
      </w:r>
      <w:r w:rsidR="00C850D9">
        <w:t xml:space="preserve">l </w:t>
      </w:r>
      <w:r w:rsidR="00367F69">
        <w:t>3</w:t>
      </w:r>
      <w:r w:rsidR="00C850D9">
        <w:t xml:space="preserve"> de </w:t>
      </w:r>
      <w:r w:rsidR="00367F69">
        <w:t>julio</w:t>
      </w:r>
      <w:r w:rsidR="00C53FEA">
        <w:t xml:space="preserve"> </w:t>
      </w:r>
      <w:r>
        <w:t>de 201</w:t>
      </w:r>
      <w:r w:rsidR="00BE1CED">
        <w:t>5</w:t>
      </w:r>
      <w:r>
        <w:t>, acordó expedir la presente resolución;</w:t>
      </w:r>
    </w:p>
    <w:p w:rsidR="00C34FB8" w:rsidRDefault="00C34FB8" w:rsidP="00C34FB8">
      <w:pPr>
        <w:keepNext/>
        <w:spacing w:before="0" w:after="0"/>
        <w:jc w:val="center"/>
        <w:rPr>
          <w:b/>
        </w:rPr>
      </w:pPr>
    </w:p>
    <w:p w:rsidR="00E03BD2" w:rsidRDefault="00E03BD2" w:rsidP="00C34FB8">
      <w:pPr>
        <w:keepNext/>
        <w:spacing w:before="0" w:after="0"/>
        <w:jc w:val="center"/>
        <w:rPr>
          <w:b/>
          <w:spacing w:val="40"/>
        </w:rPr>
      </w:pPr>
      <w:r>
        <w:rPr>
          <w:b/>
        </w:rPr>
        <w:t>RESUELV</w:t>
      </w:r>
      <w:r>
        <w:rPr>
          <w:b/>
          <w:spacing w:val="40"/>
        </w:rPr>
        <w:t>E:</w:t>
      </w:r>
    </w:p>
    <w:p w:rsidR="00C34FB8" w:rsidRDefault="00C34FB8" w:rsidP="00C34FB8">
      <w:pPr>
        <w:pStyle w:val="Artculo"/>
      </w:pPr>
      <w:bookmarkStart w:id="1" w:name="_Toc259626851"/>
    </w:p>
    <w:p w:rsidR="00C34FB8" w:rsidRDefault="00C34FB8" w:rsidP="00C34FB8">
      <w:pPr>
        <w:pStyle w:val="Artculo"/>
      </w:pPr>
    </w:p>
    <w:p w:rsidR="008E6072" w:rsidRDefault="00DB043F" w:rsidP="00C34FB8">
      <w:pPr>
        <w:pStyle w:val="Artculo"/>
      </w:pPr>
      <w:r w:rsidRPr="00DB043F">
        <w:rPr>
          <w:b/>
        </w:rPr>
        <w:t>Artículo 1</w:t>
      </w:r>
      <w:r>
        <w:t xml:space="preserve">. </w:t>
      </w:r>
      <w:r w:rsidR="00CF0B66" w:rsidRPr="004549AD">
        <w:t>Modificar el Artículo 1 de la Resolución CREG 10</w:t>
      </w:r>
      <w:r w:rsidR="00BE1CED">
        <w:t>9</w:t>
      </w:r>
      <w:r w:rsidR="00CF0B66" w:rsidRPr="004549AD">
        <w:t xml:space="preserve"> de 2009, el cual queda así:</w:t>
      </w:r>
    </w:p>
    <w:p w:rsidR="00C34FB8" w:rsidRPr="00CF0B66" w:rsidRDefault="00C34FB8" w:rsidP="00C34FB8">
      <w:pPr>
        <w:pStyle w:val="Artculo"/>
      </w:pPr>
    </w:p>
    <w:p w:rsidR="00CF0B66" w:rsidRDefault="00CF0B66" w:rsidP="00C34FB8">
      <w:pPr>
        <w:spacing w:before="0" w:after="0"/>
        <w:ind w:left="284" w:right="193"/>
        <w:rPr>
          <w:i/>
          <w:sz w:val="22"/>
        </w:rPr>
      </w:pPr>
      <w:r w:rsidRPr="00DB043F">
        <w:rPr>
          <w:b/>
          <w:i/>
          <w:spacing w:val="-3"/>
          <w:sz w:val="22"/>
        </w:rPr>
        <w:t>Artículo 1.</w:t>
      </w:r>
      <w:r w:rsidRPr="00DB043F">
        <w:rPr>
          <w:b/>
          <w:i/>
          <w:spacing w:val="-3"/>
          <w:sz w:val="22"/>
        </w:rPr>
        <w:tab/>
      </w:r>
      <w:r w:rsidRPr="00DB043F">
        <w:rPr>
          <w:b/>
          <w:i/>
          <w:sz w:val="22"/>
        </w:rPr>
        <w:t>Costo Anual por el uso de los activos del Nivel de Tensión 4.</w:t>
      </w:r>
      <w:r w:rsidRPr="00DB043F">
        <w:rPr>
          <w:i/>
          <w:sz w:val="22"/>
        </w:rPr>
        <w:t xml:space="preserve"> </w:t>
      </w:r>
      <w:r w:rsidR="001875CE" w:rsidRPr="001875CE">
        <w:rPr>
          <w:i/>
          <w:sz w:val="22"/>
        </w:rPr>
        <w:t>El Costo Anual por el Uso de los Activos del Nivel de Tensión 4 operados por la empresa Central Hidroeléctrica de Caldas S.A. E.S.P., calculado en la forma establecida en la Resolución CREG 097 de 2008, es el siguiente</w:t>
      </w:r>
      <w:r w:rsidRPr="00DB043F">
        <w:rPr>
          <w:i/>
          <w:sz w:val="22"/>
        </w:rPr>
        <w:t>:</w:t>
      </w:r>
    </w:p>
    <w:p w:rsidR="00C34FB8" w:rsidRPr="00C34FB8" w:rsidRDefault="00C34FB8" w:rsidP="00C34FB8">
      <w:pPr>
        <w:spacing w:before="0" w:after="0"/>
        <w:ind w:left="284" w:right="193"/>
        <w:rPr>
          <w:i/>
          <w:sz w:val="28"/>
        </w:rPr>
      </w:pPr>
    </w:p>
    <w:tbl>
      <w:tblPr>
        <w:tblW w:w="6660" w:type="dxa"/>
        <w:jc w:val="center"/>
        <w:tblInd w:w="60" w:type="dxa"/>
        <w:tblCellMar>
          <w:left w:w="70" w:type="dxa"/>
          <w:right w:w="70" w:type="dxa"/>
        </w:tblCellMar>
        <w:tblLook w:val="04A0" w:firstRow="1" w:lastRow="0" w:firstColumn="1" w:lastColumn="0" w:noHBand="0" w:noVBand="1"/>
      </w:tblPr>
      <w:tblGrid>
        <w:gridCol w:w="3780"/>
        <w:gridCol w:w="2880"/>
      </w:tblGrid>
      <w:tr w:rsidR="00CF0B66" w:rsidRPr="001875CE" w:rsidTr="000C7B41">
        <w:trPr>
          <w:trHeight w:val="615"/>
          <w:jc w:val="center"/>
        </w:trPr>
        <w:tc>
          <w:tcPr>
            <w:tcW w:w="3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0B66" w:rsidRPr="001875CE" w:rsidRDefault="00CF0B66" w:rsidP="00DB043F">
            <w:pPr>
              <w:spacing w:before="0" w:after="0"/>
              <w:jc w:val="center"/>
              <w:rPr>
                <w:rFonts w:cs="Calibri"/>
                <w:b/>
                <w:bCs/>
                <w:i/>
                <w:color w:val="000000"/>
                <w:sz w:val="22"/>
                <w:szCs w:val="22"/>
                <w:lang w:val="es-CO" w:eastAsia="es-CO"/>
              </w:rPr>
            </w:pPr>
            <w:r w:rsidRPr="001875CE">
              <w:rPr>
                <w:rFonts w:cs="Calibri"/>
                <w:b/>
                <w:bCs/>
                <w:i/>
                <w:color w:val="000000"/>
                <w:sz w:val="22"/>
                <w:szCs w:val="22"/>
                <w:lang w:val="es-CO" w:eastAsia="es-CO"/>
              </w:rPr>
              <w:t xml:space="preserve">Costo Anual por el Uso de los Activos </w:t>
            </w:r>
          </w:p>
        </w:tc>
        <w:tc>
          <w:tcPr>
            <w:tcW w:w="2880" w:type="dxa"/>
            <w:tcBorders>
              <w:top w:val="single" w:sz="8" w:space="0" w:color="000000"/>
              <w:left w:val="nil"/>
              <w:bottom w:val="single" w:sz="8" w:space="0" w:color="000000"/>
              <w:right w:val="single" w:sz="8" w:space="0" w:color="000000"/>
            </w:tcBorders>
            <w:shd w:val="clear" w:color="auto" w:fill="auto"/>
            <w:vAlign w:val="center"/>
            <w:hideMark/>
          </w:tcPr>
          <w:p w:rsidR="00CF0B66" w:rsidRPr="001875CE" w:rsidRDefault="00CF0B66" w:rsidP="00DB043F">
            <w:pPr>
              <w:spacing w:before="0" w:after="0"/>
              <w:jc w:val="center"/>
              <w:rPr>
                <w:rFonts w:cs="Calibri"/>
                <w:b/>
                <w:bCs/>
                <w:i/>
                <w:color w:val="000000"/>
                <w:sz w:val="22"/>
                <w:szCs w:val="22"/>
                <w:lang w:val="es-CO" w:eastAsia="es-CO"/>
              </w:rPr>
            </w:pPr>
            <w:r w:rsidRPr="001875CE">
              <w:rPr>
                <w:rFonts w:cs="Calibri"/>
                <w:b/>
                <w:bCs/>
                <w:i/>
                <w:color w:val="000000"/>
                <w:sz w:val="22"/>
                <w:szCs w:val="22"/>
                <w:lang w:val="es-CO" w:eastAsia="es-CO"/>
              </w:rPr>
              <w:t>Pesos de diciembre de 2007</w:t>
            </w:r>
          </w:p>
        </w:tc>
      </w:tr>
      <w:tr w:rsidR="00CF0B66" w:rsidRPr="001875CE" w:rsidTr="000C7B41">
        <w:trPr>
          <w:trHeight w:val="379"/>
          <w:jc w:val="center"/>
        </w:trPr>
        <w:tc>
          <w:tcPr>
            <w:tcW w:w="3780" w:type="dxa"/>
            <w:tcBorders>
              <w:top w:val="nil"/>
              <w:left w:val="single" w:sz="8" w:space="0" w:color="000000"/>
              <w:bottom w:val="single" w:sz="8" w:space="0" w:color="000000"/>
              <w:right w:val="single" w:sz="8" w:space="0" w:color="000000"/>
            </w:tcBorders>
            <w:shd w:val="clear" w:color="auto" w:fill="auto"/>
            <w:vAlign w:val="center"/>
            <w:hideMark/>
          </w:tcPr>
          <w:p w:rsidR="00CF0B66" w:rsidRPr="001875CE" w:rsidRDefault="00CF0B66" w:rsidP="00DB043F">
            <w:pPr>
              <w:spacing w:before="0" w:after="0"/>
              <w:rPr>
                <w:rFonts w:cs="Calibri"/>
                <w:i/>
                <w:color w:val="000000"/>
                <w:sz w:val="22"/>
                <w:szCs w:val="22"/>
                <w:lang w:val="es-CO" w:eastAsia="es-CO"/>
              </w:rPr>
            </w:pPr>
            <w:r w:rsidRPr="001875CE">
              <w:rPr>
                <w:rFonts w:cs="Calibri"/>
                <w:i/>
                <w:color w:val="000000"/>
                <w:sz w:val="22"/>
                <w:szCs w:val="22"/>
                <w:lang w:val="es-CO" w:eastAsia="es-CO"/>
              </w:rPr>
              <w:t>Nivel de Tensión 4</w:t>
            </w:r>
            <w:r w:rsidRPr="001875CE">
              <w:rPr>
                <w:rFonts w:cs="Calibri"/>
                <w:b/>
                <w:bCs/>
                <w:i/>
                <w:iCs/>
                <w:color w:val="000000"/>
                <w:sz w:val="22"/>
                <w:szCs w:val="22"/>
                <w:lang w:val="es-CO" w:eastAsia="es-CO"/>
              </w:rPr>
              <w:t xml:space="preserve"> (CA</w:t>
            </w:r>
            <w:r w:rsidRPr="001875CE">
              <w:rPr>
                <w:rFonts w:cs="Calibri"/>
                <w:b/>
                <w:bCs/>
                <w:i/>
                <w:iCs/>
                <w:color w:val="000000"/>
                <w:sz w:val="22"/>
                <w:szCs w:val="22"/>
                <w:vertAlign w:val="subscript"/>
                <w:lang w:val="es-CO" w:eastAsia="es-CO"/>
              </w:rPr>
              <w:t>j,4</w:t>
            </w:r>
            <w:r w:rsidRPr="001875CE">
              <w:rPr>
                <w:rFonts w:cs="Calibri"/>
                <w:b/>
                <w:bCs/>
                <w:i/>
                <w:iCs/>
                <w:color w:val="000000"/>
                <w:sz w:val="22"/>
                <w:szCs w:val="22"/>
                <w:lang w:val="es-CO" w:eastAsia="es-CO"/>
              </w:rPr>
              <w:t>)</w:t>
            </w:r>
          </w:p>
        </w:tc>
        <w:tc>
          <w:tcPr>
            <w:tcW w:w="2880" w:type="dxa"/>
            <w:tcBorders>
              <w:top w:val="nil"/>
              <w:left w:val="nil"/>
              <w:bottom w:val="single" w:sz="8" w:space="0" w:color="000000"/>
              <w:right w:val="single" w:sz="8" w:space="0" w:color="000000"/>
            </w:tcBorders>
            <w:shd w:val="clear" w:color="auto" w:fill="auto"/>
            <w:vAlign w:val="center"/>
            <w:hideMark/>
          </w:tcPr>
          <w:p w:rsidR="00CF0B66" w:rsidRPr="001875CE" w:rsidRDefault="001875CE" w:rsidP="00C53FEA">
            <w:pPr>
              <w:ind w:firstLineChars="200" w:firstLine="440"/>
              <w:contextualSpacing/>
              <w:jc w:val="right"/>
              <w:rPr>
                <w:i/>
                <w:color w:val="000000"/>
                <w:sz w:val="22"/>
                <w:szCs w:val="22"/>
                <w:lang w:eastAsia="es-CO"/>
              </w:rPr>
            </w:pPr>
            <w:r>
              <w:rPr>
                <w:i/>
                <w:color w:val="000000"/>
                <w:sz w:val="22"/>
                <w:szCs w:val="22"/>
                <w:lang w:eastAsia="es-CO"/>
              </w:rPr>
              <w:t>40,</w:t>
            </w:r>
            <w:r w:rsidR="005D103F">
              <w:rPr>
                <w:i/>
                <w:color w:val="000000"/>
                <w:sz w:val="22"/>
                <w:szCs w:val="22"/>
                <w:lang w:eastAsia="es-CO"/>
              </w:rPr>
              <w:t>29</w:t>
            </w:r>
            <w:r w:rsidR="00C53FEA">
              <w:rPr>
                <w:i/>
                <w:color w:val="000000"/>
                <w:sz w:val="22"/>
                <w:szCs w:val="22"/>
                <w:lang w:eastAsia="es-CO"/>
              </w:rPr>
              <w:t>3</w:t>
            </w:r>
            <w:r>
              <w:rPr>
                <w:i/>
                <w:color w:val="000000"/>
                <w:sz w:val="22"/>
                <w:szCs w:val="22"/>
                <w:lang w:eastAsia="es-CO"/>
              </w:rPr>
              <w:t>,</w:t>
            </w:r>
            <w:r w:rsidR="00C53FEA">
              <w:rPr>
                <w:i/>
                <w:color w:val="000000"/>
                <w:sz w:val="22"/>
                <w:szCs w:val="22"/>
                <w:lang w:eastAsia="es-CO"/>
              </w:rPr>
              <w:t>071</w:t>
            </w:r>
            <w:r>
              <w:rPr>
                <w:i/>
                <w:color w:val="000000"/>
                <w:sz w:val="22"/>
                <w:szCs w:val="22"/>
                <w:lang w:eastAsia="es-CO"/>
              </w:rPr>
              <w:t>,</w:t>
            </w:r>
            <w:r w:rsidR="00C53FEA">
              <w:rPr>
                <w:i/>
                <w:color w:val="000000"/>
                <w:sz w:val="22"/>
                <w:szCs w:val="22"/>
                <w:lang w:eastAsia="es-CO"/>
              </w:rPr>
              <w:t>954</w:t>
            </w:r>
          </w:p>
        </w:tc>
      </w:tr>
      <w:bookmarkEnd w:id="1"/>
    </w:tbl>
    <w:p w:rsidR="00C34FB8" w:rsidRDefault="00C34FB8" w:rsidP="00C34FB8">
      <w:pPr>
        <w:pStyle w:val="Artculo"/>
      </w:pPr>
    </w:p>
    <w:p w:rsidR="00C34FB8" w:rsidRDefault="00C34FB8" w:rsidP="00C34FB8">
      <w:pPr>
        <w:pStyle w:val="Artculo"/>
      </w:pPr>
    </w:p>
    <w:p w:rsidR="00743283" w:rsidRDefault="00DB043F" w:rsidP="00C34FB8">
      <w:pPr>
        <w:pStyle w:val="Artculo"/>
      </w:pPr>
      <w:r w:rsidRPr="00DB043F">
        <w:rPr>
          <w:b/>
        </w:rPr>
        <w:t>Artículo 2.</w:t>
      </w:r>
      <w:r>
        <w:t xml:space="preserve"> </w:t>
      </w:r>
      <w:r w:rsidR="00CF0B66" w:rsidRPr="00CF0B66">
        <w:t>Modificar el Artículo 5 de la Resolución CREG 10</w:t>
      </w:r>
      <w:r w:rsidR="00816A39">
        <w:t>9</w:t>
      </w:r>
      <w:r w:rsidR="00CF0B66" w:rsidRPr="00CF0B66">
        <w:t xml:space="preserve"> de 2009, el cual queda así:</w:t>
      </w:r>
    </w:p>
    <w:p w:rsidR="00CF0B66" w:rsidRDefault="00CF0B66" w:rsidP="006140E4">
      <w:pPr>
        <w:ind w:left="284" w:right="193"/>
        <w:rPr>
          <w:i/>
          <w:sz w:val="22"/>
        </w:rPr>
      </w:pPr>
      <w:r w:rsidRPr="00DB043F">
        <w:rPr>
          <w:b/>
          <w:i/>
          <w:sz w:val="22"/>
        </w:rPr>
        <w:t xml:space="preserve">Artículo 5. Costos de reposición de la inversión. </w:t>
      </w:r>
      <w:r w:rsidR="001875CE" w:rsidRPr="001875CE">
        <w:rPr>
          <w:i/>
          <w:sz w:val="22"/>
        </w:rPr>
        <w:t>Los costos de reposición de la inversión del OR Central Hidroeléctrica de Caldas S.A. E.S.P. para cada nivel de tensión, calculados en la forma establecida en la Resolución CREG 097 de 2008, son los siguientes:</w:t>
      </w:r>
    </w:p>
    <w:p w:rsidR="00C34FB8" w:rsidRDefault="00C34FB8" w:rsidP="006140E4">
      <w:pPr>
        <w:ind w:left="284" w:right="193"/>
        <w:rPr>
          <w:i/>
          <w:sz w:val="22"/>
        </w:rPr>
      </w:pPr>
    </w:p>
    <w:tbl>
      <w:tblPr>
        <w:tblW w:w="6663" w:type="dxa"/>
        <w:jc w:val="center"/>
        <w:tblInd w:w="630" w:type="dxa"/>
        <w:tblCellMar>
          <w:left w:w="70" w:type="dxa"/>
          <w:right w:w="70" w:type="dxa"/>
        </w:tblCellMar>
        <w:tblLook w:val="04A0" w:firstRow="1" w:lastRow="0" w:firstColumn="1" w:lastColumn="0" w:noHBand="0" w:noVBand="1"/>
      </w:tblPr>
      <w:tblGrid>
        <w:gridCol w:w="4230"/>
        <w:gridCol w:w="2433"/>
      </w:tblGrid>
      <w:tr w:rsidR="001875CE" w:rsidRPr="001875CE" w:rsidTr="00367F69">
        <w:trPr>
          <w:trHeight w:val="315"/>
          <w:jc w:val="center"/>
        </w:trPr>
        <w:tc>
          <w:tcPr>
            <w:tcW w:w="42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875CE" w:rsidRPr="001875CE" w:rsidRDefault="001875CE" w:rsidP="00C53FEA">
            <w:pPr>
              <w:keepNext/>
              <w:contextualSpacing/>
              <w:jc w:val="center"/>
              <w:rPr>
                <w:b/>
                <w:bCs/>
                <w:i/>
                <w:color w:val="000000"/>
                <w:sz w:val="22"/>
                <w:szCs w:val="22"/>
                <w:lang w:val="es-CO" w:eastAsia="es-CO"/>
              </w:rPr>
            </w:pPr>
            <w:r w:rsidRPr="001875CE">
              <w:rPr>
                <w:b/>
                <w:bCs/>
                <w:i/>
                <w:color w:val="000000"/>
                <w:sz w:val="22"/>
                <w:szCs w:val="22"/>
                <w:lang w:eastAsia="es-CO"/>
              </w:rPr>
              <w:lastRenderedPageBreak/>
              <w:t>Costo de Reposición de Inversión</w:t>
            </w:r>
          </w:p>
        </w:tc>
        <w:tc>
          <w:tcPr>
            <w:tcW w:w="2433" w:type="dxa"/>
            <w:tcBorders>
              <w:top w:val="single" w:sz="8" w:space="0" w:color="auto"/>
              <w:left w:val="nil"/>
              <w:bottom w:val="single" w:sz="8" w:space="0" w:color="auto"/>
              <w:right w:val="single" w:sz="8" w:space="0" w:color="auto"/>
            </w:tcBorders>
            <w:shd w:val="clear" w:color="auto" w:fill="auto"/>
            <w:vAlign w:val="center"/>
            <w:hideMark/>
          </w:tcPr>
          <w:p w:rsidR="001875CE" w:rsidRPr="001875CE" w:rsidRDefault="001875CE" w:rsidP="00C53FEA">
            <w:pPr>
              <w:keepNext/>
              <w:contextualSpacing/>
              <w:jc w:val="center"/>
              <w:rPr>
                <w:b/>
                <w:bCs/>
                <w:i/>
                <w:color w:val="000000"/>
                <w:sz w:val="22"/>
                <w:szCs w:val="22"/>
                <w:lang w:val="es-CO" w:eastAsia="es-CO"/>
              </w:rPr>
            </w:pPr>
            <w:r w:rsidRPr="001875CE">
              <w:rPr>
                <w:b/>
                <w:bCs/>
                <w:i/>
                <w:color w:val="000000"/>
                <w:sz w:val="22"/>
                <w:szCs w:val="22"/>
                <w:lang w:eastAsia="es-CO"/>
              </w:rPr>
              <w:t>Pesos de diciembre de 2007</w:t>
            </w:r>
          </w:p>
        </w:tc>
      </w:tr>
      <w:tr w:rsidR="001875CE" w:rsidRPr="001875CE" w:rsidTr="00367F69">
        <w:trPr>
          <w:trHeight w:val="390"/>
          <w:jc w:val="center"/>
        </w:trPr>
        <w:tc>
          <w:tcPr>
            <w:tcW w:w="4230" w:type="dxa"/>
            <w:tcBorders>
              <w:top w:val="nil"/>
              <w:left w:val="single" w:sz="8" w:space="0" w:color="000000"/>
              <w:bottom w:val="single" w:sz="8" w:space="0" w:color="000000"/>
              <w:right w:val="nil"/>
            </w:tcBorders>
            <w:shd w:val="clear" w:color="auto" w:fill="auto"/>
            <w:vAlign w:val="bottom"/>
            <w:hideMark/>
          </w:tcPr>
          <w:p w:rsidR="001875CE" w:rsidRPr="001875CE" w:rsidRDefault="001875CE" w:rsidP="00C53FEA">
            <w:pPr>
              <w:keepNext/>
              <w:contextualSpacing/>
              <w:jc w:val="left"/>
              <w:rPr>
                <w:i/>
                <w:color w:val="000000"/>
                <w:sz w:val="22"/>
                <w:szCs w:val="22"/>
                <w:lang w:val="es-CO" w:eastAsia="es-CO"/>
              </w:rPr>
            </w:pPr>
            <w:r w:rsidRPr="001875CE">
              <w:rPr>
                <w:i/>
                <w:color w:val="000000"/>
                <w:sz w:val="22"/>
                <w:szCs w:val="22"/>
                <w:lang w:eastAsia="es-CO"/>
              </w:rPr>
              <w:t xml:space="preserve">Para el Nivel de Tensión 4 </w:t>
            </w:r>
            <w:r w:rsidRPr="001875CE">
              <w:rPr>
                <w:b/>
                <w:bCs/>
                <w:i/>
                <w:iCs/>
                <w:color w:val="000000"/>
                <w:sz w:val="22"/>
                <w:szCs w:val="22"/>
                <w:lang w:eastAsia="es-CO"/>
              </w:rPr>
              <w:t>(CRI</w:t>
            </w:r>
            <w:r w:rsidRPr="001875CE">
              <w:rPr>
                <w:b/>
                <w:bCs/>
                <w:i/>
                <w:iCs/>
                <w:color w:val="000000"/>
                <w:sz w:val="22"/>
                <w:szCs w:val="22"/>
                <w:vertAlign w:val="subscript"/>
                <w:lang w:eastAsia="es-CO"/>
              </w:rPr>
              <w:t>j,4</w:t>
            </w:r>
            <w:r w:rsidRPr="001875CE">
              <w:rPr>
                <w:b/>
                <w:bCs/>
                <w:i/>
                <w:iCs/>
                <w:color w:val="000000"/>
                <w:sz w:val="22"/>
                <w:szCs w:val="22"/>
                <w:lang w:eastAsia="es-CO"/>
              </w:rPr>
              <w:t>)</w:t>
            </w:r>
          </w:p>
        </w:tc>
        <w:tc>
          <w:tcPr>
            <w:tcW w:w="2433" w:type="dxa"/>
            <w:tcBorders>
              <w:top w:val="nil"/>
              <w:left w:val="single" w:sz="8" w:space="0" w:color="auto"/>
              <w:bottom w:val="single" w:sz="8" w:space="0" w:color="auto"/>
              <w:right w:val="single" w:sz="8" w:space="0" w:color="auto"/>
            </w:tcBorders>
            <w:shd w:val="clear" w:color="auto" w:fill="auto"/>
            <w:vAlign w:val="bottom"/>
            <w:hideMark/>
          </w:tcPr>
          <w:p w:rsidR="001875CE" w:rsidRPr="001875CE" w:rsidRDefault="001875CE" w:rsidP="00C53FEA">
            <w:pPr>
              <w:keepNext/>
              <w:ind w:firstLineChars="200" w:firstLine="440"/>
              <w:contextualSpacing/>
              <w:jc w:val="right"/>
              <w:rPr>
                <w:i/>
                <w:color w:val="000000"/>
                <w:sz w:val="22"/>
                <w:szCs w:val="22"/>
                <w:lang w:val="es-CO" w:eastAsia="es-CO"/>
              </w:rPr>
            </w:pPr>
            <w:r w:rsidRPr="001875CE">
              <w:rPr>
                <w:i/>
                <w:color w:val="000000"/>
                <w:sz w:val="22"/>
                <w:szCs w:val="22"/>
                <w:lang w:eastAsia="es-CO"/>
              </w:rPr>
              <w:t>227</w:t>
            </w:r>
            <w:r>
              <w:rPr>
                <w:i/>
                <w:color w:val="000000"/>
                <w:sz w:val="22"/>
                <w:szCs w:val="22"/>
                <w:lang w:eastAsia="es-CO"/>
              </w:rPr>
              <w:t>,</w:t>
            </w:r>
            <w:r w:rsidRPr="001875CE">
              <w:rPr>
                <w:i/>
                <w:color w:val="000000"/>
                <w:sz w:val="22"/>
                <w:szCs w:val="22"/>
                <w:lang w:eastAsia="es-CO"/>
              </w:rPr>
              <w:t>4</w:t>
            </w:r>
            <w:r w:rsidR="005D103F">
              <w:rPr>
                <w:i/>
                <w:color w:val="000000"/>
                <w:sz w:val="22"/>
                <w:szCs w:val="22"/>
                <w:lang w:eastAsia="es-CO"/>
              </w:rPr>
              <w:t>26</w:t>
            </w:r>
            <w:r>
              <w:rPr>
                <w:i/>
                <w:color w:val="000000"/>
                <w:sz w:val="22"/>
                <w:szCs w:val="22"/>
                <w:lang w:eastAsia="es-CO"/>
              </w:rPr>
              <w:t>,</w:t>
            </w:r>
            <w:r w:rsidR="005D103F">
              <w:rPr>
                <w:i/>
                <w:color w:val="000000"/>
                <w:sz w:val="22"/>
                <w:szCs w:val="22"/>
                <w:lang w:eastAsia="es-CO"/>
              </w:rPr>
              <w:t>261</w:t>
            </w:r>
            <w:r>
              <w:rPr>
                <w:i/>
                <w:color w:val="000000"/>
                <w:sz w:val="22"/>
                <w:szCs w:val="22"/>
                <w:lang w:eastAsia="es-CO"/>
              </w:rPr>
              <w:t>,</w:t>
            </w:r>
            <w:r w:rsidR="005D103F">
              <w:rPr>
                <w:i/>
                <w:color w:val="000000"/>
                <w:sz w:val="22"/>
                <w:szCs w:val="22"/>
                <w:lang w:eastAsia="es-CO"/>
              </w:rPr>
              <w:t>213</w:t>
            </w:r>
          </w:p>
        </w:tc>
      </w:tr>
      <w:tr w:rsidR="001875CE" w:rsidRPr="001875CE" w:rsidTr="00367F69">
        <w:trPr>
          <w:trHeight w:val="390"/>
          <w:jc w:val="center"/>
        </w:trPr>
        <w:tc>
          <w:tcPr>
            <w:tcW w:w="4230" w:type="dxa"/>
            <w:tcBorders>
              <w:top w:val="nil"/>
              <w:left w:val="single" w:sz="8" w:space="0" w:color="000000"/>
              <w:bottom w:val="single" w:sz="8" w:space="0" w:color="000000"/>
              <w:right w:val="nil"/>
            </w:tcBorders>
            <w:shd w:val="clear" w:color="auto" w:fill="auto"/>
            <w:vAlign w:val="bottom"/>
            <w:hideMark/>
          </w:tcPr>
          <w:p w:rsidR="001875CE" w:rsidRPr="001875CE" w:rsidRDefault="001875CE" w:rsidP="00C53FEA">
            <w:pPr>
              <w:keepNext/>
              <w:contextualSpacing/>
              <w:jc w:val="left"/>
              <w:rPr>
                <w:i/>
                <w:color w:val="000000"/>
                <w:sz w:val="22"/>
                <w:szCs w:val="22"/>
                <w:lang w:val="es-CO" w:eastAsia="es-CO"/>
              </w:rPr>
            </w:pPr>
            <w:r w:rsidRPr="001875CE">
              <w:rPr>
                <w:i/>
                <w:color w:val="000000"/>
                <w:sz w:val="22"/>
                <w:szCs w:val="22"/>
                <w:lang w:eastAsia="es-CO"/>
              </w:rPr>
              <w:t xml:space="preserve">Para el Nivel de Tensión 3 </w:t>
            </w:r>
            <w:r w:rsidRPr="001875CE">
              <w:rPr>
                <w:b/>
                <w:bCs/>
                <w:i/>
                <w:iCs/>
                <w:color w:val="000000"/>
                <w:sz w:val="22"/>
                <w:szCs w:val="22"/>
                <w:lang w:eastAsia="es-CO"/>
              </w:rPr>
              <w:t>(CRI</w:t>
            </w:r>
            <w:r w:rsidRPr="001875CE">
              <w:rPr>
                <w:b/>
                <w:bCs/>
                <w:i/>
                <w:iCs/>
                <w:color w:val="000000"/>
                <w:sz w:val="22"/>
                <w:szCs w:val="22"/>
                <w:vertAlign w:val="subscript"/>
                <w:lang w:eastAsia="es-CO"/>
              </w:rPr>
              <w:t>j,3</w:t>
            </w:r>
            <w:r w:rsidRPr="001875CE">
              <w:rPr>
                <w:b/>
                <w:bCs/>
                <w:i/>
                <w:iCs/>
                <w:color w:val="000000"/>
                <w:sz w:val="22"/>
                <w:szCs w:val="22"/>
                <w:lang w:eastAsia="es-CO"/>
              </w:rPr>
              <w:t>)</w:t>
            </w:r>
          </w:p>
        </w:tc>
        <w:tc>
          <w:tcPr>
            <w:tcW w:w="2433" w:type="dxa"/>
            <w:tcBorders>
              <w:top w:val="nil"/>
              <w:left w:val="single" w:sz="8" w:space="0" w:color="auto"/>
              <w:bottom w:val="single" w:sz="8" w:space="0" w:color="auto"/>
              <w:right w:val="single" w:sz="8" w:space="0" w:color="auto"/>
            </w:tcBorders>
            <w:shd w:val="clear" w:color="auto" w:fill="auto"/>
            <w:vAlign w:val="bottom"/>
            <w:hideMark/>
          </w:tcPr>
          <w:p w:rsidR="001875CE" w:rsidRPr="001875CE" w:rsidRDefault="001875CE" w:rsidP="00C53FEA">
            <w:pPr>
              <w:keepNext/>
              <w:ind w:firstLineChars="200" w:firstLine="440"/>
              <w:contextualSpacing/>
              <w:jc w:val="right"/>
              <w:rPr>
                <w:i/>
                <w:color w:val="000000"/>
                <w:sz w:val="22"/>
                <w:szCs w:val="22"/>
                <w:lang w:val="es-CO" w:eastAsia="es-CO"/>
              </w:rPr>
            </w:pPr>
            <w:r w:rsidRPr="001875CE">
              <w:rPr>
                <w:i/>
                <w:color w:val="000000"/>
                <w:sz w:val="22"/>
                <w:szCs w:val="22"/>
                <w:lang w:eastAsia="es-CO"/>
              </w:rPr>
              <w:t>134,176,537,949</w:t>
            </w:r>
          </w:p>
        </w:tc>
      </w:tr>
      <w:tr w:rsidR="001875CE" w:rsidRPr="001875CE" w:rsidTr="00367F69">
        <w:trPr>
          <w:trHeight w:val="390"/>
          <w:jc w:val="center"/>
        </w:trPr>
        <w:tc>
          <w:tcPr>
            <w:tcW w:w="4230" w:type="dxa"/>
            <w:tcBorders>
              <w:top w:val="nil"/>
              <w:left w:val="single" w:sz="8" w:space="0" w:color="000000"/>
              <w:bottom w:val="single" w:sz="8" w:space="0" w:color="000000"/>
              <w:right w:val="nil"/>
            </w:tcBorders>
            <w:shd w:val="clear" w:color="auto" w:fill="auto"/>
            <w:vAlign w:val="bottom"/>
            <w:hideMark/>
          </w:tcPr>
          <w:p w:rsidR="001875CE" w:rsidRPr="001875CE" w:rsidRDefault="001875CE" w:rsidP="00C53FEA">
            <w:pPr>
              <w:keepNext/>
              <w:contextualSpacing/>
              <w:jc w:val="left"/>
              <w:rPr>
                <w:i/>
                <w:color w:val="000000"/>
                <w:sz w:val="22"/>
                <w:szCs w:val="22"/>
                <w:lang w:val="es-CO" w:eastAsia="es-CO"/>
              </w:rPr>
            </w:pPr>
            <w:r w:rsidRPr="001875CE">
              <w:rPr>
                <w:i/>
                <w:color w:val="000000"/>
                <w:sz w:val="22"/>
                <w:szCs w:val="22"/>
                <w:lang w:eastAsia="es-CO"/>
              </w:rPr>
              <w:t xml:space="preserve">Para el Nivel de Tensión 2 </w:t>
            </w:r>
            <w:r w:rsidRPr="001875CE">
              <w:rPr>
                <w:b/>
                <w:bCs/>
                <w:i/>
                <w:iCs/>
                <w:color w:val="000000"/>
                <w:sz w:val="22"/>
                <w:szCs w:val="22"/>
                <w:lang w:eastAsia="es-CO"/>
              </w:rPr>
              <w:t>(CRI</w:t>
            </w:r>
            <w:r w:rsidRPr="001875CE">
              <w:rPr>
                <w:b/>
                <w:bCs/>
                <w:i/>
                <w:iCs/>
                <w:color w:val="000000"/>
                <w:sz w:val="22"/>
                <w:szCs w:val="22"/>
                <w:vertAlign w:val="subscript"/>
                <w:lang w:eastAsia="es-CO"/>
              </w:rPr>
              <w:t>j,2</w:t>
            </w:r>
            <w:r w:rsidRPr="001875CE">
              <w:rPr>
                <w:b/>
                <w:bCs/>
                <w:i/>
                <w:iCs/>
                <w:color w:val="000000"/>
                <w:sz w:val="22"/>
                <w:szCs w:val="22"/>
                <w:lang w:eastAsia="es-CO"/>
              </w:rPr>
              <w:t>)</w:t>
            </w:r>
          </w:p>
        </w:tc>
        <w:tc>
          <w:tcPr>
            <w:tcW w:w="2433" w:type="dxa"/>
            <w:tcBorders>
              <w:top w:val="nil"/>
              <w:left w:val="single" w:sz="8" w:space="0" w:color="auto"/>
              <w:bottom w:val="single" w:sz="8" w:space="0" w:color="auto"/>
              <w:right w:val="single" w:sz="8" w:space="0" w:color="auto"/>
            </w:tcBorders>
            <w:shd w:val="clear" w:color="auto" w:fill="auto"/>
            <w:vAlign w:val="bottom"/>
            <w:hideMark/>
          </w:tcPr>
          <w:p w:rsidR="001875CE" w:rsidRPr="001875CE" w:rsidRDefault="001875CE" w:rsidP="00C53FEA">
            <w:pPr>
              <w:keepNext/>
              <w:ind w:firstLineChars="200" w:firstLine="440"/>
              <w:contextualSpacing/>
              <w:jc w:val="right"/>
              <w:rPr>
                <w:i/>
                <w:color w:val="000000"/>
                <w:sz w:val="22"/>
                <w:szCs w:val="22"/>
                <w:lang w:val="es-CO" w:eastAsia="es-CO"/>
              </w:rPr>
            </w:pPr>
            <w:r w:rsidRPr="001875CE">
              <w:rPr>
                <w:i/>
                <w:color w:val="000000"/>
                <w:sz w:val="22"/>
                <w:szCs w:val="22"/>
                <w:lang w:eastAsia="es-CO"/>
              </w:rPr>
              <w:t>323,197,942,202</w:t>
            </w:r>
          </w:p>
        </w:tc>
      </w:tr>
      <w:tr w:rsidR="001875CE" w:rsidRPr="001875CE" w:rsidTr="00367F69">
        <w:trPr>
          <w:trHeight w:val="390"/>
          <w:jc w:val="center"/>
        </w:trPr>
        <w:tc>
          <w:tcPr>
            <w:tcW w:w="4230" w:type="dxa"/>
            <w:tcBorders>
              <w:top w:val="nil"/>
              <w:left w:val="single" w:sz="8" w:space="0" w:color="000000"/>
              <w:bottom w:val="single" w:sz="8" w:space="0" w:color="000000"/>
              <w:right w:val="nil"/>
            </w:tcBorders>
            <w:shd w:val="clear" w:color="auto" w:fill="auto"/>
            <w:vAlign w:val="bottom"/>
            <w:hideMark/>
          </w:tcPr>
          <w:p w:rsidR="001875CE" w:rsidRPr="001875CE" w:rsidRDefault="001875CE" w:rsidP="001875CE">
            <w:pPr>
              <w:contextualSpacing/>
              <w:jc w:val="left"/>
              <w:rPr>
                <w:i/>
                <w:color w:val="000000"/>
                <w:sz w:val="22"/>
                <w:szCs w:val="22"/>
                <w:lang w:val="es-CO" w:eastAsia="es-CO"/>
              </w:rPr>
            </w:pPr>
            <w:r w:rsidRPr="001875CE">
              <w:rPr>
                <w:i/>
                <w:color w:val="000000"/>
                <w:sz w:val="22"/>
                <w:szCs w:val="22"/>
                <w:lang w:eastAsia="es-CO"/>
              </w:rPr>
              <w:t xml:space="preserve">Para el Nivel de Tensión 1 </w:t>
            </w:r>
            <w:r w:rsidRPr="001875CE">
              <w:rPr>
                <w:b/>
                <w:bCs/>
                <w:i/>
                <w:iCs/>
                <w:color w:val="000000"/>
                <w:sz w:val="22"/>
                <w:szCs w:val="22"/>
                <w:lang w:eastAsia="es-CO"/>
              </w:rPr>
              <w:t>(CRI</w:t>
            </w:r>
            <w:r w:rsidRPr="001875CE">
              <w:rPr>
                <w:b/>
                <w:bCs/>
                <w:i/>
                <w:iCs/>
                <w:color w:val="000000"/>
                <w:sz w:val="22"/>
                <w:szCs w:val="22"/>
                <w:vertAlign w:val="subscript"/>
                <w:lang w:eastAsia="es-CO"/>
              </w:rPr>
              <w:t>j,1</w:t>
            </w:r>
            <w:r w:rsidRPr="001875CE">
              <w:rPr>
                <w:b/>
                <w:bCs/>
                <w:i/>
                <w:iCs/>
                <w:color w:val="000000"/>
                <w:sz w:val="22"/>
                <w:szCs w:val="22"/>
                <w:lang w:eastAsia="es-CO"/>
              </w:rPr>
              <w:t>)</w:t>
            </w:r>
          </w:p>
        </w:tc>
        <w:tc>
          <w:tcPr>
            <w:tcW w:w="2433" w:type="dxa"/>
            <w:tcBorders>
              <w:top w:val="nil"/>
              <w:left w:val="single" w:sz="8" w:space="0" w:color="auto"/>
              <w:bottom w:val="single" w:sz="8" w:space="0" w:color="auto"/>
              <w:right w:val="single" w:sz="8" w:space="0" w:color="auto"/>
            </w:tcBorders>
            <w:shd w:val="clear" w:color="auto" w:fill="auto"/>
            <w:vAlign w:val="bottom"/>
            <w:hideMark/>
          </w:tcPr>
          <w:p w:rsidR="001875CE" w:rsidRPr="001875CE" w:rsidRDefault="001875CE" w:rsidP="001875CE">
            <w:pPr>
              <w:ind w:firstLineChars="200" w:firstLine="440"/>
              <w:contextualSpacing/>
              <w:jc w:val="right"/>
              <w:rPr>
                <w:i/>
                <w:color w:val="000000"/>
                <w:sz w:val="22"/>
                <w:szCs w:val="22"/>
                <w:lang w:val="es-CO" w:eastAsia="es-CO"/>
              </w:rPr>
            </w:pPr>
            <w:r w:rsidRPr="001875CE">
              <w:rPr>
                <w:i/>
                <w:color w:val="000000"/>
                <w:sz w:val="22"/>
                <w:szCs w:val="22"/>
                <w:lang w:eastAsia="es-CO"/>
              </w:rPr>
              <w:t>492,750,542,395</w:t>
            </w:r>
          </w:p>
        </w:tc>
      </w:tr>
    </w:tbl>
    <w:p w:rsidR="00C34FB8" w:rsidRDefault="00C34FB8" w:rsidP="00C34FB8">
      <w:pPr>
        <w:pStyle w:val="Artculo"/>
      </w:pPr>
    </w:p>
    <w:p w:rsidR="00F373C5" w:rsidRDefault="00CF0B66" w:rsidP="00C34FB8">
      <w:pPr>
        <w:pStyle w:val="Artculo"/>
      </w:pPr>
      <w:r w:rsidRPr="00140AA7">
        <w:rPr>
          <w:b/>
        </w:rPr>
        <w:t>Recursos.</w:t>
      </w:r>
      <w:r w:rsidRPr="00140AA7">
        <w:t xml:space="preserve"> </w:t>
      </w:r>
      <w:r w:rsidR="001875CE" w:rsidRPr="001875CE">
        <w:t xml:space="preserve">La presente </w:t>
      </w:r>
      <w:r w:rsidR="001D0E7B">
        <w:t>r</w:t>
      </w:r>
      <w:r w:rsidR="001875CE" w:rsidRPr="001875CE">
        <w:t>esolución deberá notificarse a la Central Hidroeléctrica de Caldas S.A. E.S.P.</w:t>
      </w:r>
      <w:r w:rsidR="00143102">
        <w:t>, c</w:t>
      </w:r>
      <w:r w:rsidR="001875CE" w:rsidRPr="001875CE">
        <w:t>ontra lo dispuesto en este acto procede el recurso de reposición, el cual se podrá interponer ante la Dirección Ejecutiva de la CREG dentro de los cinco (5) días hábiles siguientes a la fecha de su notificación.</w:t>
      </w:r>
    </w:p>
    <w:p w:rsidR="00C34FB8" w:rsidRDefault="00C34FB8" w:rsidP="00A97CC0">
      <w:pPr>
        <w:spacing w:before="0" w:after="0"/>
        <w:jc w:val="center"/>
        <w:rPr>
          <w:b/>
        </w:rPr>
      </w:pPr>
    </w:p>
    <w:p w:rsidR="00A97CC0" w:rsidRDefault="00A97CC0" w:rsidP="00A97CC0">
      <w:pPr>
        <w:spacing w:before="0" w:after="0"/>
        <w:jc w:val="center"/>
        <w:rPr>
          <w:b/>
        </w:rPr>
      </w:pPr>
    </w:p>
    <w:p w:rsidR="00EF6D78" w:rsidRPr="005F46C2" w:rsidRDefault="00EF6D78" w:rsidP="00C34FB8">
      <w:pPr>
        <w:spacing w:before="0"/>
        <w:jc w:val="center"/>
        <w:rPr>
          <w:b/>
        </w:rPr>
      </w:pPr>
      <w:r w:rsidRPr="005F46C2">
        <w:rPr>
          <w:b/>
        </w:rPr>
        <w:t>PUBLÍQUESE Y CÚMPLASE</w:t>
      </w:r>
    </w:p>
    <w:p w:rsidR="00EF6D78" w:rsidRPr="005F46C2" w:rsidRDefault="00EF6D78" w:rsidP="00A97CC0">
      <w:pPr>
        <w:spacing w:before="0" w:after="0"/>
      </w:pPr>
    </w:p>
    <w:p w:rsidR="00EF6D78" w:rsidRPr="005F46C2" w:rsidRDefault="00EF6D78" w:rsidP="00A97CC0">
      <w:pPr>
        <w:spacing w:before="0" w:after="0"/>
      </w:pPr>
      <w:r w:rsidRPr="005F46C2">
        <w:t>Dado en Bogotá, D. C.</w:t>
      </w:r>
      <w:r w:rsidR="00C34FB8">
        <w:t xml:space="preserve"> a</w:t>
      </w:r>
    </w:p>
    <w:p w:rsidR="00EF6D78" w:rsidRDefault="00EF6D78" w:rsidP="00EF6D78"/>
    <w:p w:rsidR="00C666F5" w:rsidRPr="005F46C2" w:rsidRDefault="00C666F5" w:rsidP="00EF6D78"/>
    <w:tbl>
      <w:tblPr>
        <w:tblW w:w="0" w:type="auto"/>
        <w:jc w:val="center"/>
        <w:tblInd w:w="-293" w:type="dxa"/>
        <w:tblLayout w:type="fixed"/>
        <w:tblCellMar>
          <w:left w:w="70" w:type="dxa"/>
          <w:right w:w="70" w:type="dxa"/>
        </w:tblCellMar>
        <w:tblLook w:val="04A0" w:firstRow="1" w:lastRow="0" w:firstColumn="1" w:lastColumn="0" w:noHBand="0" w:noVBand="1"/>
      </w:tblPr>
      <w:tblGrid>
        <w:gridCol w:w="5164"/>
        <w:gridCol w:w="4374"/>
      </w:tblGrid>
      <w:tr w:rsidR="00350D9E" w:rsidTr="00C34FB8">
        <w:trPr>
          <w:trHeight w:val="329"/>
          <w:jc w:val="center"/>
        </w:trPr>
        <w:tc>
          <w:tcPr>
            <w:tcW w:w="5164" w:type="dxa"/>
            <w:vAlign w:val="center"/>
            <w:hideMark/>
          </w:tcPr>
          <w:p w:rsidR="00350D9E" w:rsidRDefault="001875CE" w:rsidP="00DB043F">
            <w:pPr>
              <w:suppressAutoHyphens/>
              <w:spacing w:before="0" w:after="0" w:line="216" w:lineRule="auto"/>
              <w:jc w:val="center"/>
              <w:rPr>
                <w:rFonts w:cs="Arial"/>
                <w:b/>
                <w:spacing w:val="-3"/>
              </w:rPr>
            </w:pPr>
            <w:r>
              <w:rPr>
                <w:rFonts w:cs="Arial"/>
                <w:b/>
                <w:bCs/>
              </w:rPr>
              <w:t>CARLOS FERNANDO ERASO</w:t>
            </w:r>
            <w:r w:rsidR="00C34FB8">
              <w:rPr>
                <w:rFonts w:cs="Arial"/>
                <w:b/>
                <w:bCs/>
              </w:rPr>
              <w:t xml:space="preserve"> CALERO</w:t>
            </w:r>
          </w:p>
        </w:tc>
        <w:tc>
          <w:tcPr>
            <w:tcW w:w="4374" w:type="dxa"/>
            <w:vAlign w:val="center"/>
            <w:hideMark/>
          </w:tcPr>
          <w:p w:rsidR="00350D9E" w:rsidRDefault="001875CE" w:rsidP="00DB043F">
            <w:pPr>
              <w:suppressAutoHyphens/>
              <w:spacing w:before="0" w:after="0" w:line="216" w:lineRule="auto"/>
              <w:ind w:left="-9"/>
              <w:jc w:val="center"/>
              <w:rPr>
                <w:rFonts w:cs="Arial"/>
                <w:b/>
                <w:spacing w:val="-3"/>
              </w:rPr>
            </w:pPr>
            <w:r>
              <w:rPr>
                <w:rFonts w:cs="Arial"/>
                <w:b/>
                <w:spacing w:val="-3"/>
              </w:rPr>
              <w:t>JORGE PINTO NOLLA</w:t>
            </w:r>
          </w:p>
        </w:tc>
      </w:tr>
      <w:tr w:rsidR="00350D9E" w:rsidTr="00C34FB8">
        <w:trPr>
          <w:trHeight w:val="329"/>
          <w:jc w:val="center"/>
        </w:trPr>
        <w:tc>
          <w:tcPr>
            <w:tcW w:w="5164" w:type="dxa"/>
            <w:vAlign w:val="center"/>
            <w:hideMark/>
          </w:tcPr>
          <w:p w:rsidR="00350D9E" w:rsidRDefault="00350D9E" w:rsidP="00DB043F">
            <w:pPr>
              <w:suppressAutoHyphens/>
              <w:spacing w:before="0" w:after="0" w:line="216" w:lineRule="auto"/>
              <w:jc w:val="center"/>
              <w:rPr>
                <w:rFonts w:cs="Arial"/>
                <w:spacing w:val="-3"/>
              </w:rPr>
            </w:pPr>
            <w:r>
              <w:rPr>
                <w:rFonts w:cs="Arial"/>
                <w:spacing w:val="-3"/>
              </w:rPr>
              <w:t>Viceministro de Energía</w:t>
            </w:r>
          </w:p>
        </w:tc>
        <w:tc>
          <w:tcPr>
            <w:tcW w:w="4374" w:type="dxa"/>
            <w:vAlign w:val="center"/>
            <w:hideMark/>
          </w:tcPr>
          <w:p w:rsidR="00350D9E" w:rsidRDefault="00350D9E" w:rsidP="00DB043F">
            <w:pPr>
              <w:suppressAutoHyphens/>
              <w:spacing w:before="0" w:after="0" w:line="216" w:lineRule="auto"/>
              <w:ind w:left="-9"/>
              <w:jc w:val="center"/>
              <w:rPr>
                <w:rFonts w:cs="Arial"/>
                <w:spacing w:val="-3"/>
              </w:rPr>
            </w:pPr>
            <w:r>
              <w:rPr>
                <w:rFonts w:cs="Arial"/>
                <w:spacing w:val="-3"/>
              </w:rPr>
              <w:t>Director Ejecutivo</w:t>
            </w:r>
          </w:p>
        </w:tc>
      </w:tr>
      <w:tr w:rsidR="00350D9E" w:rsidTr="00C34FB8">
        <w:trPr>
          <w:trHeight w:val="329"/>
          <w:jc w:val="center"/>
        </w:trPr>
        <w:tc>
          <w:tcPr>
            <w:tcW w:w="5164" w:type="dxa"/>
            <w:vAlign w:val="center"/>
            <w:hideMark/>
          </w:tcPr>
          <w:p w:rsidR="00350D9E" w:rsidRDefault="00350D9E" w:rsidP="00DB043F">
            <w:pPr>
              <w:suppressAutoHyphens/>
              <w:spacing w:before="0" w:after="0" w:line="216" w:lineRule="auto"/>
              <w:jc w:val="center"/>
              <w:rPr>
                <w:rFonts w:cs="Arial"/>
                <w:spacing w:val="-3"/>
              </w:rPr>
            </w:pPr>
            <w:r>
              <w:rPr>
                <w:rFonts w:cs="Arial"/>
                <w:spacing w:val="-3"/>
              </w:rPr>
              <w:t>Delegado del Ministro de Minas y Energía</w:t>
            </w:r>
          </w:p>
          <w:p w:rsidR="00350D9E" w:rsidRDefault="00350D9E" w:rsidP="00DB043F">
            <w:pPr>
              <w:suppressAutoHyphens/>
              <w:spacing w:before="0" w:after="0" w:line="216" w:lineRule="auto"/>
              <w:jc w:val="center"/>
              <w:rPr>
                <w:rFonts w:cs="Arial"/>
                <w:spacing w:val="-3"/>
              </w:rPr>
            </w:pPr>
            <w:r>
              <w:rPr>
                <w:rFonts w:cs="Arial"/>
                <w:spacing w:val="-3"/>
              </w:rPr>
              <w:t>Presidente</w:t>
            </w:r>
          </w:p>
        </w:tc>
        <w:tc>
          <w:tcPr>
            <w:tcW w:w="4374" w:type="dxa"/>
            <w:vAlign w:val="center"/>
          </w:tcPr>
          <w:p w:rsidR="00350D9E" w:rsidRDefault="00350D9E" w:rsidP="00DB043F">
            <w:pPr>
              <w:tabs>
                <w:tab w:val="left" w:pos="-720"/>
              </w:tabs>
              <w:suppressAutoHyphens/>
              <w:spacing w:before="0" w:after="0" w:line="216" w:lineRule="auto"/>
              <w:rPr>
                <w:rFonts w:cs="Arial"/>
                <w:b/>
                <w:spacing w:val="-3"/>
              </w:rPr>
            </w:pPr>
          </w:p>
        </w:tc>
      </w:tr>
    </w:tbl>
    <w:p w:rsidR="00350D9E" w:rsidRDefault="00350D9E" w:rsidP="009E1157"/>
    <w:sectPr w:rsidR="00350D9E" w:rsidSect="00CD665F">
      <w:headerReference w:type="default" r:id="rId11"/>
      <w:headerReference w:type="first" r:id="rId12"/>
      <w:type w:val="continuous"/>
      <w:pgSz w:w="12242" w:h="18722" w:code="123"/>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69" w:rsidRDefault="00367F69">
      <w:r>
        <w:separator/>
      </w:r>
    </w:p>
  </w:endnote>
  <w:endnote w:type="continuationSeparator" w:id="0">
    <w:p w:rsidR="00367F69" w:rsidRDefault="0036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69" w:rsidRDefault="00367F69">
      <w:r>
        <w:separator/>
      </w:r>
    </w:p>
  </w:footnote>
  <w:footnote w:type="continuationSeparator" w:id="0">
    <w:p w:rsidR="00367F69" w:rsidRDefault="0036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69" w:rsidRDefault="00367F69" w:rsidP="00951F79">
    <w:pPr>
      <w:pStyle w:val="Ttulo1"/>
      <w:ind w:right="6"/>
      <w:jc w:val="left"/>
      <w:rPr>
        <w:rFonts w:ascii="Bookman Old Style" w:hAnsi="Bookman Old Style" w:cs="Arial"/>
        <w:b w:val="0"/>
        <w:sz w:val="22"/>
        <w:szCs w:val="22"/>
      </w:rPr>
    </w:pPr>
  </w:p>
  <w:p w:rsidR="00367F69" w:rsidRPr="00951F79" w:rsidRDefault="00367F69"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45CBD">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45CBD">
      <w:fldChar w:fldCharType="begin"/>
    </w:r>
    <w:r w:rsidR="00045CBD">
      <w:instrText xml:space="preserve"> NUMPAGES  \* MERGEFORMAT </w:instrText>
    </w:r>
    <w:r w:rsidR="00045CBD">
      <w:fldChar w:fldCharType="separate"/>
    </w:r>
    <w:r w:rsidR="00045CBD" w:rsidRPr="00045CBD">
      <w:rPr>
        <w:rFonts w:ascii="Bookman Old Style" w:hAnsi="Bookman Old Style" w:cs="Arial"/>
        <w:b w:val="0"/>
        <w:noProof/>
        <w:sz w:val="22"/>
        <w:szCs w:val="22"/>
      </w:rPr>
      <w:t>4</w:t>
    </w:r>
    <w:r w:rsidR="00045CBD">
      <w:rPr>
        <w:rFonts w:ascii="Bookman Old Style" w:hAnsi="Bookman Old Style" w:cs="Arial"/>
        <w:b w:val="0"/>
        <w:noProof/>
        <w:sz w:val="22"/>
        <w:szCs w:val="22"/>
      </w:rPr>
      <w:fldChar w:fldCharType="end"/>
    </w:r>
  </w:p>
  <w:p w:rsidR="00367F69" w:rsidRDefault="00367F69"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45D79FD1" wp14:editId="7C1AEB04">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rsidR="00367F69" w:rsidRDefault="00367F69" w:rsidP="00367F69">
    <w:pPr>
      <w:spacing w:before="0" w:after="0"/>
      <w:ind w:right="148"/>
      <w:rPr>
        <w:rFonts w:cs="Arial"/>
        <w:sz w:val="22"/>
        <w:szCs w:val="22"/>
      </w:rPr>
    </w:pPr>
    <w:r>
      <w:rPr>
        <w:rFonts w:cs="Arial"/>
        <w:b/>
        <w:noProof/>
        <w:sz w:val="22"/>
        <w:szCs w:val="22"/>
        <w:lang w:val="es-CO" w:eastAsia="es-CO"/>
      </w:rPr>
      <mc:AlternateContent>
        <mc:Choice Requires="wps">
          <w:drawing>
            <wp:anchor distT="0" distB="0" distL="114300" distR="114300" simplePos="0" relativeHeight="251659264" behindDoc="0" locked="0" layoutInCell="1" allowOverlap="1" wp14:anchorId="2FB6ED58" wp14:editId="17BC0A3C">
              <wp:simplePos x="0" y="0"/>
              <wp:positionH relativeFrom="column">
                <wp:posOffset>-28575</wp:posOffset>
              </wp:positionH>
              <wp:positionV relativeFrom="paragraph">
                <wp:posOffset>534035</wp:posOffset>
              </wp:positionV>
              <wp:extent cx="5972175" cy="0"/>
              <wp:effectExtent l="0" t="0" r="9525"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2.25pt;margin-top:42.05pt;width:4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"/>
          </w:pict>
        </mc:Fallback>
      </mc:AlternateContent>
    </w:r>
    <w:r w:rsidRPr="00983822">
      <w:rPr>
        <w:rFonts w:cs="Arial"/>
        <w:sz w:val="22"/>
        <w:szCs w:val="22"/>
      </w:rPr>
      <w:t xml:space="preserve">Por la cual se actualiza el costo anual por el uso de los activos del nivel de tensión 4 de </w:t>
    </w:r>
    <w:r>
      <w:rPr>
        <w:rFonts w:cs="Arial"/>
        <w:sz w:val="22"/>
        <w:szCs w:val="22"/>
      </w:rPr>
      <w:t xml:space="preserve">la </w:t>
    </w:r>
    <w:r w:rsidRPr="00BE1CED">
      <w:rPr>
        <w:rFonts w:cs="Arial"/>
        <w:sz w:val="22"/>
        <w:szCs w:val="22"/>
      </w:rPr>
      <w:t>Central Hidroeléctrica de Caldas S.A. E.S.P.</w:t>
    </w:r>
  </w:p>
  <w:p w:rsidR="00A97CC0" w:rsidRDefault="00A97CC0" w:rsidP="00367F69">
    <w:pPr>
      <w:spacing w:before="0" w:after="0"/>
      <w:ind w:right="148"/>
      <w:rPr>
        <w:rFonts w:cs="Arial"/>
        <w:sz w:val="22"/>
        <w:szCs w:val="22"/>
      </w:rPr>
    </w:pPr>
  </w:p>
  <w:p w:rsidR="00367F69" w:rsidRPr="00DB043F" w:rsidRDefault="00367F69" w:rsidP="00367F69">
    <w:pPr>
      <w:spacing w:before="0" w:after="0"/>
      <w:ind w:left="142" w:right="148"/>
      <w:rPr>
        <w:rFonts w:cs="Arial"/>
        <w:sz w:val="20"/>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69" w:rsidRDefault="00367F69" w:rsidP="00025383">
    <w:pPr>
      <w:pStyle w:val="Encabezado"/>
      <w:rPr>
        <w:rFonts w:ascii="Arial" w:hAnsi="Arial" w:cs="Arial"/>
        <w:spacing w:val="20"/>
        <w:sz w:val="20"/>
      </w:rPr>
    </w:pPr>
    <w:r>
      <w:rPr>
        <w:rFonts w:ascii="Arial" w:hAnsi="Arial" w:cs="Arial"/>
        <w:spacing w:val="20"/>
        <w:sz w:val="20"/>
      </w:rPr>
      <w:t xml:space="preserve">                                           República de Colombia</w:t>
    </w:r>
  </w:p>
  <w:p w:rsidR="00367F69" w:rsidRDefault="00367F69">
    <w:pPr>
      <w:pStyle w:val="Encabezado"/>
      <w:jc w:val="center"/>
      <w:rPr>
        <w:rFonts w:ascii="Arial" w:hAnsi="Arial" w:cs="Arial"/>
        <w:spacing w:val="20"/>
        <w:sz w:val="20"/>
      </w:rPr>
    </w:pPr>
  </w:p>
  <w:p w:rsidR="00367F69" w:rsidRDefault="00367F6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FCB60D9" wp14:editId="584F19F4">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7">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4"/>
  </w:num>
  <w:num w:numId="6">
    <w:abstractNumId w:val="5"/>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0373"/>
    <w:rsid w:val="00011A72"/>
    <w:rsid w:val="00012259"/>
    <w:rsid w:val="00025383"/>
    <w:rsid w:val="00025F3B"/>
    <w:rsid w:val="00036985"/>
    <w:rsid w:val="00041B54"/>
    <w:rsid w:val="00045CBD"/>
    <w:rsid w:val="00045D3D"/>
    <w:rsid w:val="000525F6"/>
    <w:rsid w:val="00055691"/>
    <w:rsid w:val="000577E1"/>
    <w:rsid w:val="0006350C"/>
    <w:rsid w:val="00063657"/>
    <w:rsid w:val="0006600D"/>
    <w:rsid w:val="00066500"/>
    <w:rsid w:val="00066E71"/>
    <w:rsid w:val="00074C28"/>
    <w:rsid w:val="00076680"/>
    <w:rsid w:val="00076A1D"/>
    <w:rsid w:val="00077527"/>
    <w:rsid w:val="0008073E"/>
    <w:rsid w:val="00081416"/>
    <w:rsid w:val="00086BC3"/>
    <w:rsid w:val="00091012"/>
    <w:rsid w:val="00091CDB"/>
    <w:rsid w:val="00092426"/>
    <w:rsid w:val="00094219"/>
    <w:rsid w:val="00094FC1"/>
    <w:rsid w:val="000A1503"/>
    <w:rsid w:val="000A19AC"/>
    <w:rsid w:val="000A2414"/>
    <w:rsid w:val="000A34B0"/>
    <w:rsid w:val="000A4B57"/>
    <w:rsid w:val="000B1944"/>
    <w:rsid w:val="000B2EC9"/>
    <w:rsid w:val="000B4E51"/>
    <w:rsid w:val="000B6433"/>
    <w:rsid w:val="000C1B79"/>
    <w:rsid w:val="000C7B41"/>
    <w:rsid w:val="000D17BD"/>
    <w:rsid w:val="000D2239"/>
    <w:rsid w:val="000D26F8"/>
    <w:rsid w:val="000D39CF"/>
    <w:rsid w:val="000E26E9"/>
    <w:rsid w:val="000F038B"/>
    <w:rsid w:val="000F39A1"/>
    <w:rsid w:val="001006BB"/>
    <w:rsid w:val="00100739"/>
    <w:rsid w:val="0010293A"/>
    <w:rsid w:val="0010689B"/>
    <w:rsid w:val="00111422"/>
    <w:rsid w:val="00114D4A"/>
    <w:rsid w:val="001159F3"/>
    <w:rsid w:val="00126A60"/>
    <w:rsid w:val="00127CE6"/>
    <w:rsid w:val="0013442B"/>
    <w:rsid w:val="0013526C"/>
    <w:rsid w:val="00136FDF"/>
    <w:rsid w:val="001405C6"/>
    <w:rsid w:val="00141013"/>
    <w:rsid w:val="00142A34"/>
    <w:rsid w:val="00143102"/>
    <w:rsid w:val="00150339"/>
    <w:rsid w:val="00156DB2"/>
    <w:rsid w:val="00157FD9"/>
    <w:rsid w:val="0017291B"/>
    <w:rsid w:val="00183ECF"/>
    <w:rsid w:val="001875CE"/>
    <w:rsid w:val="001921CF"/>
    <w:rsid w:val="00192CBF"/>
    <w:rsid w:val="00192FF1"/>
    <w:rsid w:val="001A5F1B"/>
    <w:rsid w:val="001B1C22"/>
    <w:rsid w:val="001B34C6"/>
    <w:rsid w:val="001D0E7B"/>
    <w:rsid w:val="001D7832"/>
    <w:rsid w:val="001D7EFA"/>
    <w:rsid w:val="001E0C6B"/>
    <w:rsid w:val="001E392A"/>
    <w:rsid w:val="001E5E65"/>
    <w:rsid w:val="001F6E1B"/>
    <w:rsid w:val="0020105F"/>
    <w:rsid w:val="00204D40"/>
    <w:rsid w:val="002066BA"/>
    <w:rsid w:val="002067EF"/>
    <w:rsid w:val="00210DC1"/>
    <w:rsid w:val="00211D34"/>
    <w:rsid w:val="00214F04"/>
    <w:rsid w:val="00217BBC"/>
    <w:rsid w:val="00222F95"/>
    <w:rsid w:val="00250C72"/>
    <w:rsid w:val="00260E7E"/>
    <w:rsid w:val="0026111F"/>
    <w:rsid w:val="0026368E"/>
    <w:rsid w:val="002646F1"/>
    <w:rsid w:val="00266CD6"/>
    <w:rsid w:val="00275DAB"/>
    <w:rsid w:val="00292249"/>
    <w:rsid w:val="0029253B"/>
    <w:rsid w:val="002A782A"/>
    <w:rsid w:val="002B0C17"/>
    <w:rsid w:val="002B11E2"/>
    <w:rsid w:val="002B24B8"/>
    <w:rsid w:val="002B3288"/>
    <w:rsid w:val="002D3AE9"/>
    <w:rsid w:val="002D4510"/>
    <w:rsid w:val="002F0734"/>
    <w:rsid w:val="002F1F62"/>
    <w:rsid w:val="002F2BDE"/>
    <w:rsid w:val="002F46E7"/>
    <w:rsid w:val="00301B84"/>
    <w:rsid w:val="003023AC"/>
    <w:rsid w:val="00305842"/>
    <w:rsid w:val="003101DA"/>
    <w:rsid w:val="003111CA"/>
    <w:rsid w:val="00313EDE"/>
    <w:rsid w:val="00314715"/>
    <w:rsid w:val="00314757"/>
    <w:rsid w:val="003163BC"/>
    <w:rsid w:val="003211CE"/>
    <w:rsid w:val="003248F9"/>
    <w:rsid w:val="00325E06"/>
    <w:rsid w:val="003271B2"/>
    <w:rsid w:val="00333A36"/>
    <w:rsid w:val="00334221"/>
    <w:rsid w:val="00350D9E"/>
    <w:rsid w:val="0035403A"/>
    <w:rsid w:val="0035627D"/>
    <w:rsid w:val="00360FA9"/>
    <w:rsid w:val="003635CB"/>
    <w:rsid w:val="0036394B"/>
    <w:rsid w:val="00366DB6"/>
    <w:rsid w:val="00367F69"/>
    <w:rsid w:val="003709B5"/>
    <w:rsid w:val="003759C2"/>
    <w:rsid w:val="003764CC"/>
    <w:rsid w:val="00380888"/>
    <w:rsid w:val="00380962"/>
    <w:rsid w:val="003857DE"/>
    <w:rsid w:val="003867C2"/>
    <w:rsid w:val="00392A0B"/>
    <w:rsid w:val="00397365"/>
    <w:rsid w:val="00397B9A"/>
    <w:rsid w:val="003A31F6"/>
    <w:rsid w:val="003A3455"/>
    <w:rsid w:val="003A40A8"/>
    <w:rsid w:val="003A496E"/>
    <w:rsid w:val="003B54EA"/>
    <w:rsid w:val="003C0750"/>
    <w:rsid w:val="003C2B93"/>
    <w:rsid w:val="003C3447"/>
    <w:rsid w:val="003D076C"/>
    <w:rsid w:val="003D7383"/>
    <w:rsid w:val="003E2CE0"/>
    <w:rsid w:val="003E78B5"/>
    <w:rsid w:val="003F0DF9"/>
    <w:rsid w:val="003F24DF"/>
    <w:rsid w:val="003F2829"/>
    <w:rsid w:val="003F5A6C"/>
    <w:rsid w:val="00414C52"/>
    <w:rsid w:val="0041585A"/>
    <w:rsid w:val="00415BAB"/>
    <w:rsid w:val="00415ED2"/>
    <w:rsid w:val="004165DF"/>
    <w:rsid w:val="0042068C"/>
    <w:rsid w:val="004219A9"/>
    <w:rsid w:val="004222A7"/>
    <w:rsid w:val="004228CD"/>
    <w:rsid w:val="00422D86"/>
    <w:rsid w:val="004232E6"/>
    <w:rsid w:val="00436F01"/>
    <w:rsid w:val="0044318E"/>
    <w:rsid w:val="00443B35"/>
    <w:rsid w:val="0045414E"/>
    <w:rsid w:val="00455259"/>
    <w:rsid w:val="00462AB7"/>
    <w:rsid w:val="00466740"/>
    <w:rsid w:val="004706E5"/>
    <w:rsid w:val="0047122B"/>
    <w:rsid w:val="0047244E"/>
    <w:rsid w:val="00472E1D"/>
    <w:rsid w:val="00473B7A"/>
    <w:rsid w:val="004762CE"/>
    <w:rsid w:val="00482E08"/>
    <w:rsid w:val="004861AB"/>
    <w:rsid w:val="00491BAF"/>
    <w:rsid w:val="004960E9"/>
    <w:rsid w:val="00496F84"/>
    <w:rsid w:val="004A2E88"/>
    <w:rsid w:val="004A2F7E"/>
    <w:rsid w:val="004A372F"/>
    <w:rsid w:val="004A3D15"/>
    <w:rsid w:val="004A40CF"/>
    <w:rsid w:val="004A4FF1"/>
    <w:rsid w:val="004A5305"/>
    <w:rsid w:val="004B7AB9"/>
    <w:rsid w:val="004C0F9C"/>
    <w:rsid w:val="004D0991"/>
    <w:rsid w:val="004D5EAB"/>
    <w:rsid w:val="004D6A05"/>
    <w:rsid w:val="004D7634"/>
    <w:rsid w:val="004E3F58"/>
    <w:rsid w:val="004E611A"/>
    <w:rsid w:val="005003EF"/>
    <w:rsid w:val="00501843"/>
    <w:rsid w:val="00504C02"/>
    <w:rsid w:val="0052323C"/>
    <w:rsid w:val="00525E8D"/>
    <w:rsid w:val="0052779D"/>
    <w:rsid w:val="005300D3"/>
    <w:rsid w:val="00530D22"/>
    <w:rsid w:val="005331DF"/>
    <w:rsid w:val="00541E5B"/>
    <w:rsid w:val="00542821"/>
    <w:rsid w:val="00544F82"/>
    <w:rsid w:val="00545E52"/>
    <w:rsid w:val="00546F21"/>
    <w:rsid w:val="00547E7A"/>
    <w:rsid w:val="005509D2"/>
    <w:rsid w:val="005519A7"/>
    <w:rsid w:val="005562EC"/>
    <w:rsid w:val="0056519A"/>
    <w:rsid w:val="0057076D"/>
    <w:rsid w:val="005734BF"/>
    <w:rsid w:val="0057636B"/>
    <w:rsid w:val="005826B4"/>
    <w:rsid w:val="005908FE"/>
    <w:rsid w:val="00593076"/>
    <w:rsid w:val="00593C4F"/>
    <w:rsid w:val="005946A8"/>
    <w:rsid w:val="00594DF0"/>
    <w:rsid w:val="005A200A"/>
    <w:rsid w:val="005A4407"/>
    <w:rsid w:val="005A59EF"/>
    <w:rsid w:val="005A5BFB"/>
    <w:rsid w:val="005B1231"/>
    <w:rsid w:val="005B1C7E"/>
    <w:rsid w:val="005B4088"/>
    <w:rsid w:val="005C284B"/>
    <w:rsid w:val="005C6976"/>
    <w:rsid w:val="005D103F"/>
    <w:rsid w:val="005E2F54"/>
    <w:rsid w:val="005F3414"/>
    <w:rsid w:val="005F46C2"/>
    <w:rsid w:val="005F60BD"/>
    <w:rsid w:val="005F6F41"/>
    <w:rsid w:val="00604C10"/>
    <w:rsid w:val="00613841"/>
    <w:rsid w:val="006140E4"/>
    <w:rsid w:val="0062037A"/>
    <w:rsid w:val="00621968"/>
    <w:rsid w:val="0062370D"/>
    <w:rsid w:val="006238DF"/>
    <w:rsid w:val="00625DC6"/>
    <w:rsid w:val="00631142"/>
    <w:rsid w:val="006325C5"/>
    <w:rsid w:val="0063658B"/>
    <w:rsid w:val="00640DA9"/>
    <w:rsid w:val="0064391D"/>
    <w:rsid w:val="006456F9"/>
    <w:rsid w:val="00651821"/>
    <w:rsid w:val="00652988"/>
    <w:rsid w:val="006535AD"/>
    <w:rsid w:val="00654384"/>
    <w:rsid w:val="0065562B"/>
    <w:rsid w:val="006651B4"/>
    <w:rsid w:val="00666233"/>
    <w:rsid w:val="006675CD"/>
    <w:rsid w:val="006708E8"/>
    <w:rsid w:val="00670B37"/>
    <w:rsid w:val="006712CA"/>
    <w:rsid w:val="00676C0B"/>
    <w:rsid w:val="00683629"/>
    <w:rsid w:val="00684D9B"/>
    <w:rsid w:val="00697556"/>
    <w:rsid w:val="006A597A"/>
    <w:rsid w:val="006B0313"/>
    <w:rsid w:val="006B4647"/>
    <w:rsid w:val="006B4C2B"/>
    <w:rsid w:val="006B5E80"/>
    <w:rsid w:val="006B6194"/>
    <w:rsid w:val="006B6D47"/>
    <w:rsid w:val="006C5473"/>
    <w:rsid w:val="006C5AFE"/>
    <w:rsid w:val="006D0604"/>
    <w:rsid w:val="006D067E"/>
    <w:rsid w:val="006D0EB2"/>
    <w:rsid w:val="006D1138"/>
    <w:rsid w:val="006D3CA0"/>
    <w:rsid w:val="006E3A5B"/>
    <w:rsid w:val="006E403F"/>
    <w:rsid w:val="006E50BB"/>
    <w:rsid w:val="006E657F"/>
    <w:rsid w:val="006E792E"/>
    <w:rsid w:val="006F6D95"/>
    <w:rsid w:val="006F7DCF"/>
    <w:rsid w:val="007013EB"/>
    <w:rsid w:val="00706F13"/>
    <w:rsid w:val="007072E8"/>
    <w:rsid w:val="00710A3E"/>
    <w:rsid w:val="00714C78"/>
    <w:rsid w:val="00715994"/>
    <w:rsid w:val="0071618D"/>
    <w:rsid w:val="00725FA4"/>
    <w:rsid w:val="00732476"/>
    <w:rsid w:val="00733627"/>
    <w:rsid w:val="00740446"/>
    <w:rsid w:val="00743283"/>
    <w:rsid w:val="007438A9"/>
    <w:rsid w:val="0074491E"/>
    <w:rsid w:val="007610A8"/>
    <w:rsid w:val="00761E79"/>
    <w:rsid w:val="0076247A"/>
    <w:rsid w:val="00775964"/>
    <w:rsid w:val="007765FE"/>
    <w:rsid w:val="00777738"/>
    <w:rsid w:val="007843AE"/>
    <w:rsid w:val="00785932"/>
    <w:rsid w:val="00785998"/>
    <w:rsid w:val="00794E2E"/>
    <w:rsid w:val="00795BFB"/>
    <w:rsid w:val="00795E23"/>
    <w:rsid w:val="0079743F"/>
    <w:rsid w:val="007B00CA"/>
    <w:rsid w:val="007B2760"/>
    <w:rsid w:val="007C6236"/>
    <w:rsid w:val="007D04E4"/>
    <w:rsid w:val="007D230E"/>
    <w:rsid w:val="007D5750"/>
    <w:rsid w:val="007E412B"/>
    <w:rsid w:val="007E5FAC"/>
    <w:rsid w:val="007E6A60"/>
    <w:rsid w:val="0080213C"/>
    <w:rsid w:val="008043A5"/>
    <w:rsid w:val="00805A34"/>
    <w:rsid w:val="00806C01"/>
    <w:rsid w:val="008105B8"/>
    <w:rsid w:val="008148CC"/>
    <w:rsid w:val="00816A39"/>
    <w:rsid w:val="008170DF"/>
    <w:rsid w:val="00817130"/>
    <w:rsid w:val="00820344"/>
    <w:rsid w:val="008211A4"/>
    <w:rsid w:val="0082246B"/>
    <w:rsid w:val="00837924"/>
    <w:rsid w:val="00841FDE"/>
    <w:rsid w:val="00843E1F"/>
    <w:rsid w:val="0085623D"/>
    <w:rsid w:val="00857A4A"/>
    <w:rsid w:val="00864C08"/>
    <w:rsid w:val="00865FCA"/>
    <w:rsid w:val="00866F33"/>
    <w:rsid w:val="00873150"/>
    <w:rsid w:val="0087657D"/>
    <w:rsid w:val="008807D5"/>
    <w:rsid w:val="00880832"/>
    <w:rsid w:val="0088135E"/>
    <w:rsid w:val="00883A44"/>
    <w:rsid w:val="00886EE1"/>
    <w:rsid w:val="0088727D"/>
    <w:rsid w:val="00887827"/>
    <w:rsid w:val="00892346"/>
    <w:rsid w:val="008942B5"/>
    <w:rsid w:val="0089470C"/>
    <w:rsid w:val="00895C5A"/>
    <w:rsid w:val="00897C75"/>
    <w:rsid w:val="008B2FC5"/>
    <w:rsid w:val="008B5C74"/>
    <w:rsid w:val="008B6CE9"/>
    <w:rsid w:val="008C00BA"/>
    <w:rsid w:val="008C1130"/>
    <w:rsid w:val="008C274B"/>
    <w:rsid w:val="008C283D"/>
    <w:rsid w:val="008D18E6"/>
    <w:rsid w:val="008D1B73"/>
    <w:rsid w:val="008D7A9B"/>
    <w:rsid w:val="008E0060"/>
    <w:rsid w:val="008E2AC4"/>
    <w:rsid w:val="008E38FD"/>
    <w:rsid w:val="008E5B78"/>
    <w:rsid w:val="008E6072"/>
    <w:rsid w:val="008E76AC"/>
    <w:rsid w:val="008F1A26"/>
    <w:rsid w:val="008F1FB2"/>
    <w:rsid w:val="008F21F6"/>
    <w:rsid w:val="008F7B6F"/>
    <w:rsid w:val="009129A4"/>
    <w:rsid w:val="00914768"/>
    <w:rsid w:val="00914C5D"/>
    <w:rsid w:val="009227DC"/>
    <w:rsid w:val="00923E7A"/>
    <w:rsid w:val="009322B8"/>
    <w:rsid w:val="00932BB4"/>
    <w:rsid w:val="00943D96"/>
    <w:rsid w:val="00950D2E"/>
    <w:rsid w:val="00951F79"/>
    <w:rsid w:val="00955950"/>
    <w:rsid w:val="00961C3E"/>
    <w:rsid w:val="00962DD6"/>
    <w:rsid w:val="009642C6"/>
    <w:rsid w:val="00974AB5"/>
    <w:rsid w:val="00980634"/>
    <w:rsid w:val="00983822"/>
    <w:rsid w:val="0098574C"/>
    <w:rsid w:val="0098706D"/>
    <w:rsid w:val="009935FB"/>
    <w:rsid w:val="009A2F9C"/>
    <w:rsid w:val="009A46F7"/>
    <w:rsid w:val="009C13E5"/>
    <w:rsid w:val="009C1741"/>
    <w:rsid w:val="009C3EE0"/>
    <w:rsid w:val="009D31AA"/>
    <w:rsid w:val="009D7190"/>
    <w:rsid w:val="009E1157"/>
    <w:rsid w:val="009E1566"/>
    <w:rsid w:val="009F4A54"/>
    <w:rsid w:val="009F4B93"/>
    <w:rsid w:val="009F4BEC"/>
    <w:rsid w:val="009F5874"/>
    <w:rsid w:val="00A001BA"/>
    <w:rsid w:val="00A04E7D"/>
    <w:rsid w:val="00A0559F"/>
    <w:rsid w:val="00A208B5"/>
    <w:rsid w:val="00A25FD7"/>
    <w:rsid w:val="00A37A12"/>
    <w:rsid w:val="00A40710"/>
    <w:rsid w:val="00A43AFF"/>
    <w:rsid w:val="00A43B35"/>
    <w:rsid w:val="00A458E7"/>
    <w:rsid w:val="00A54BB3"/>
    <w:rsid w:val="00A61512"/>
    <w:rsid w:val="00A761B3"/>
    <w:rsid w:val="00A7793A"/>
    <w:rsid w:val="00A82C40"/>
    <w:rsid w:val="00A97286"/>
    <w:rsid w:val="00A97CC0"/>
    <w:rsid w:val="00AA2DA0"/>
    <w:rsid w:val="00AA4CC7"/>
    <w:rsid w:val="00AA5E8E"/>
    <w:rsid w:val="00AB14C3"/>
    <w:rsid w:val="00AB4706"/>
    <w:rsid w:val="00AB5E46"/>
    <w:rsid w:val="00AB6CA7"/>
    <w:rsid w:val="00AC69D8"/>
    <w:rsid w:val="00AD01E4"/>
    <w:rsid w:val="00AD0858"/>
    <w:rsid w:val="00AD413B"/>
    <w:rsid w:val="00AE3E71"/>
    <w:rsid w:val="00AE7340"/>
    <w:rsid w:val="00AF181B"/>
    <w:rsid w:val="00AF1BBD"/>
    <w:rsid w:val="00AF6024"/>
    <w:rsid w:val="00B0723B"/>
    <w:rsid w:val="00B10207"/>
    <w:rsid w:val="00B11890"/>
    <w:rsid w:val="00B11B0E"/>
    <w:rsid w:val="00B141E7"/>
    <w:rsid w:val="00B16E46"/>
    <w:rsid w:val="00B17290"/>
    <w:rsid w:val="00B216EB"/>
    <w:rsid w:val="00B27560"/>
    <w:rsid w:val="00B3027F"/>
    <w:rsid w:val="00B3289B"/>
    <w:rsid w:val="00B33E05"/>
    <w:rsid w:val="00B351B4"/>
    <w:rsid w:val="00B405DE"/>
    <w:rsid w:val="00B425EB"/>
    <w:rsid w:val="00B46BCA"/>
    <w:rsid w:val="00B478AA"/>
    <w:rsid w:val="00B55041"/>
    <w:rsid w:val="00B554C3"/>
    <w:rsid w:val="00B64BF4"/>
    <w:rsid w:val="00B76198"/>
    <w:rsid w:val="00B769CB"/>
    <w:rsid w:val="00B87806"/>
    <w:rsid w:val="00B87EC9"/>
    <w:rsid w:val="00B93259"/>
    <w:rsid w:val="00B95880"/>
    <w:rsid w:val="00BA39C6"/>
    <w:rsid w:val="00BB0386"/>
    <w:rsid w:val="00BB28E9"/>
    <w:rsid w:val="00BB4CC8"/>
    <w:rsid w:val="00BB7629"/>
    <w:rsid w:val="00BC0169"/>
    <w:rsid w:val="00BC21BE"/>
    <w:rsid w:val="00BC38FD"/>
    <w:rsid w:val="00BD0059"/>
    <w:rsid w:val="00BD1DBA"/>
    <w:rsid w:val="00BE1CED"/>
    <w:rsid w:val="00BF0265"/>
    <w:rsid w:val="00BF0795"/>
    <w:rsid w:val="00BF2841"/>
    <w:rsid w:val="00BF52BE"/>
    <w:rsid w:val="00BF63E2"/>
    <w:rsid w:val="00BF7B83"/>
    <w:rsid w:val="00C034CB"/>
    <w:rsid w:val="00C051A8"/>
    <w:rsid w:val="00C054BC"/>
    <w:rsid w:val="00C10CD7"/>
    <w:rsid w:val="00C14D77"/>
    <w:rsid w:val="00C161DB"/>
    <w:rsid w:val="00C17897"/>
    <w:rsid w:val="00C202BD"/>
    <w:rsid w:val="00C27BE2"/>
    <w:rsid w:val="00C342E7"/>
    <w:rsid w:val="00C34FB8"/>
    <w:rsid w:val="00C409D5"/>
    <w:rsid w:val="00C435C3"/>
    <w:rsid w:val="00C467B7"/>
    <w:rsid w:val="00C53260"/>
    <w:rsid w:val="00C532AD"/>
    <w:rsid w:val="00C53FEA"/>
    <w:rsid w:val="00C56108"/>
    <w:rsid w:val="00C6234B"/>
    <w:rsid w:val="00C63637"/>
    <w:rsid w:val="00C63EAE"/>
    <w:rsid w:val="00C642D6"/>
    <w:rsid w:val="00C666F5"/>
    <w:rsid w:val="00C71CEF"/>
    <w:rsid w:val="00C74A6A"/>
    <w:rsid w:val="00C7629F"/>
    <w:rsid w:val="00C766A3"/>
    <w:rsid w:val="00C804B4"/>
    <w:rsid w:val="00C815FD"/>
    <w:rsid w:val="00C850D9"/>
    <w:rsid w:val="00C8661B"/>
    <w:rsid w:val="00C9033F"/>
    <w:rsid w:val="00CA139A"/>
    <w:rsid w:val="00CA2899"/>
    <w:rsid w:val="00CA3A3D"/>
    <w:rsid w:val="00CA72AC"/>
    <w:rsid w:val="00CA77FB"/>
    <w:rsid w:val="00CB379B"/>
    <w:rsid w:val="00CB5950"/>
    <w:rsid w:val="00CB5DD0"/>
    <w:rsid w:val="00CB6627"/>
    <w:rsid w:val="00CC14C1"/>
    <w:rsid w:val="00CC4242"/>
    <w:rsid w:val="00CC51D4"/>
    <w:rsid w:val="00CC65DA"/>
    <w:rsid w:val="00CD665F"/>
    <w:rsid w:val="00CD6DDF"/>
    <w:rsid w:val="00CE1039"/>
    <w:rsid w:val="00CE1EC2"/>
    <w:rsid w:val="00CE51FF"/>
    <w:rsid w:val="00CF0B66"/>
    <w:rsid w:val="00CF21B9"/>
    <w:rsid w:val="00CF4245"/>
    <w:rsid w:val="00CF6032"/>
    <w:rsid w:val="00CF6BF9"/>
    <w:rsid w:val="00D00F22"/>
    <w:rsid w:val="00D00F64"/>
    <w:rsid w:val="00D03800"/>
    <w:rsid w:val="00D065D3"/>
    <w:rsid w:val="00D0704A"/>
    <w:rsid w:val="00D10A3C"/>
    <w:rsid w:val="00D14C94"/>
    <w:rsid w:val="00D150D2"/>
    <w:rsid w:val="00D16D33"/>
    <w:rsid w:val="00D17140"/>
    <w:rsid w:val="00D31AC4"/>
    <w:rsid w:val="00D3307A"/>
    <w:rsid w:val="00D331AD"/>
    <w:rsid w:val="00D342A6"/>
    <w:rsid w:val="00D4084B"/>
    <w:rsid w:val="00D45CA6"/>
    <w:rsid w:val="00D4638F"/>
    <w:rsid w:val="00D464BF"/>
    <w:rsid w:val="00D51AC0"/>
    <w:rsid w:val="00D53E26"/>
    <w:rsid w:val="00D61DFB"/>
    <w:rsid w:val="00D649F8"/>
    <w:rsid w:val="00D700EB"/>
    <w:rsid w:val="00D71510"/>
    <w:rsid w:val="00D7289B"/>
    <w:rsid w:val="00D74A6F"/>
    <w:rsid w:val="00D76880"/>
    <w:rsid w:val="00D82636"/>
    <w:rsid w:val="00D83129"/>
    <w:rsid w:val="00D90747"/>
    <w:rsid w:val="00D9413E"/>
    <w:rsid w:val="00D96BEF"/>
    <w:rsid w:val="00DA1B43"/>
    <w:rsid w:val="00DA2F0A"/>
    <w:rsid w:val="00DA69D9"/>
    <w:rsid w:val="00DB02CF"/>
    <w:rsid w:val="00DB043F"/>
    <w:rsid w:val="00DB12A1"/>
    <w:rsid w:val="00DC0BC0"/>
    <w:rsid w:val="00DC43C4"/>
    <w:rsid w:val="00DC5B01"/>
    <w:rsid w:val="00DD4730"/>
    <w:rsid w:val="00DD4F0E"/>
    <w:rsid w:val="00DE387F"/>
    <w:rsid w:val="00DF01A6"/>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219E5"/>
    <w:rsid w:val="00E30607"/>
    <w:rsid w:val="00E31CFC"/>
    <w:rsid w:val="00E40DAC"/>
    <w:rsid w:val="00E413EC"/>
    <w:rsid w:val="00E43925"/>
    <w:rsid w:val="00E534CF"/>
    <w:rsid w:val="00E55B4A"/>
    <w:rsid w:val="00E55F88"/>
    <w:rsid w:val="00E57869"/>
    <w:rsid w:val="00E60C09"/>
    <w:rsid w:val="00E673F6"/>
    <w:rsid w:val="00E72DCD"/>
    <w:rsid w:val="00E74DBA"/>
    <w:rsid w:val="00E74E77"/>
    <w:rsid w:val="00E75640"/>
    <w:rsid w:val="00E75ECC"/>
    <w:rsid w:val="00E770DF"/>
    <w:rsid w:val="00E81CB4"/>
    <w:rsid w:val="00E8240B"/>
    <w:rsid w:val="00E83E4B"/>
    <w:rsid w:val="00E8585B"/>
    <w:rsid w:val="00E860E7"/>
    <w:rsid w:val="00E96EE1"/>
    <w:rsid w:val="00EA3F15"/>
    <w:rsid w:val="00EA7847"/>
    <w:rsid w:val="00EB263B"/>
    <w:rsid w:val="00EB2746"/>
    <w:rsid w:val="00EB4C2F"/>
    <w:rsid w:val="00EB4C3D"/>
    <w:rsid w:val="00EB50D3"/>
    <w:rsid w:val="00EB6DF0"/>
    <w:rsid w:val="00EB74D3"/>
    <w:rsid w:val="00EC5024"/>
    <w:rsid w:val="00EC527D"/>
    <w:rsid w:val="00ED590E"/>
    <w:rsid w:val="00EE1F2B"/>
    <w:rsid w:val="00EE2E6E"/>
    <w:rsid w:val="00EF47F2"/>
    <w:rsid w:val="00EF6D78"/>
    <w:rsid w:val="00F004AF"/>
    <w:rsid w:val="00F0759E"/>
    <w:rsid w:val="00F1583A"/>
    <w:rsid w:val="00F16A43"/>
    <w:rsid w:val="00F32F56"/>
    <w:rsid w:val="00F373C5"/>
    <w:rsid w:val="00F40B8A"/>
    <w:rsid w:val="00F44E5C"/>
    <w:rsid w:val="00F46780"/>
    <w:rsid w:val="00F50148"/>
    <w:rsid w:val="00F545EA"/>
    <w:rsid w:val="00F55370"/>
    <w:rsid w:val="00F62818"/>
    <w:rsid w:val="00F66D96"/>
    <w:rsid w:val="00F67C83"/>
    <w:rsid w:val="00F72990"/>
    <w:rsid w:val="00F72A24"/>
    <w:rsid w:val="00F76B34"/>
    <w:rsid w:val="00F821A3"/>
    <w:rsid w:val="00F9314A"/>
    <w:rsid w:val="00F940B2"/>
    <w:rsid w:val="00F94F14"/>
    <w:rsid w:val="00FA20C4"/>
    <w:rsid w:val="00FA21AF"/>
    <w:rsid w:val="00FB257C"/>
    <w:rsid w:val="00FC58EF"/>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C34FB8"/>
    <w:pPr>
      <w:spacing w:before="0" w:after="0"/>
    </w:pPr>
    <w:rPr>
      <w:rFonts w:cs="Arial"/>
    </w:rPr>
  </w:style>
  <w:style w:type="character" w:customStyle="1" w:styleId="ArtculoCar">
    <w:name w:val="Artículo Car"/>
    <w:link w:val="Artculo"/>
    <w:rsid w:val="00C34FB8"/>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C34FB8"/>
    <w:pPr>
      <w:spacing w:before="0" w:after="0"/>
    </w:pPr>
    <w:rPr>
      <w:rFonts w:cs="Arial"/>
    </w:rPr>
  </w:style>
  <w:style w:type="character" w:customStyle="1" w:styleId="ArtculoCar">
    <w:name w:val="Artículo Car"/>
    <w:link w:val="Artculo"/>
    <w:rsid w:val="00C34FB8"/>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00539310">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1032610901">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15573723">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441338406">
      <w:bodyDiv w:val="1"/>
      <w:marLeft w:val="0"/>
      <w:marRight w:val="0"/>
      <w:marTop w:val="0"/>
      <w:marBottom w:val="0"/>
      <w:divBdr>
        <w:top w:val="none" w:sz="0" w:space="0" w:color="auto"/>
        <w:left w:val="none" w:sz="0" w:space="0" w:color="auto"/>
        <w:bottom w:val="none" w:sz="0" w:space="0" w:color="auto"/>
        <w:right w:val="none" w:sz="0" w:space="0" w:color="auto"/>
      </w:divBdr>
    </w:div>
    <w:div w:id="1473014622">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FEBF-EF62-438D-89DE-49D47036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7075</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2015-07-09T20:11:00Z</cp:lastPrinted>
  <dcterms:created xsi:type="dcterms:W3CDTF">2015-07-17T21:11:00Z</dcterms:created>
  <dcterms:modified xsi:type="dcterms:W3CDTF">2015-07-17T21:11:00Z</dcterms:modified>
</cp:coreProperties>
</file>