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12259" w:rsidRDefault="00C8468C"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pt;margin-top:-53.35pt;width:52.5pt;height:48.75pt;z-index:251657728" fillcolor="#0c9">
            <v:imagedata r:id="rId9" o:title=""/>
          </v:shape>
          <o:OLEObject Type="Embed" ProgID="PBrush" ShapeID="_x0000_s1026" DrawAspect="Content" ObjectID="_1378880849" r:id="rId10"/>
        </w:pict>
      </w:r>
    </w:p>
    <w:p w:rsidR="00625DC6" w:rsidRPr="00012259"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012259" w:rsidRDefault="00CA77FB" w:rsidP="00012259">
      <w:pPr>
        <w:pStyle w:val="Ttulo4"/>
        <w:tabs>
          <w:tab w:val="left" w:pos="0"/>
          <w:tab w:val="right" w:pos="9356"/>
        </w:tabs>
        <w:ind w:left="0"/>
        <w:rPr>
          <w:rFonts w:ascii="Bookman Old Style" w:hAnsi="Bookman Old Style"/>
          <w:b w:val="0"/>
          <w:bCs/>
          <w:noProof/>
          <w:sz w:val="24"/>
          <w:szCs w:val="24"/>
          <w:lang w:val="es-ES"/>
        </w:rPr>
      </w:pPr>
      <w:r w:rsidRPr="00012259">
        <w:rPr>
          <w:rFonts w:ascii="Bookman Old Style" w:hAnsi="Bookman Old Style"/>
          <w:b w:val="0"/>
          <w:bCs/>
          <w:sz w:val="24"/>
          <w:szCs w:val="24"/>
        </w:rPr>
        <w:t>Ministerio de Minas y Energía</w:t>
      </w:r>
    </w:p>
    <w:p w:rsidR="00CA77FB" w:rsidRPr="00012259" w:rsidRDefault="00CA77FB" w:rsidP="00012259">
      <w:pPr>
        <w:pStyle w:val="Ttulo4"/>
        <w:tabs>
          <w:tab w:val="left" w:pos="0"/>
          <w:tab w:val="right" w:pos="9356"/>
        </w:tabs>
        <w:ind w:left="0"/>
        <w:rPr>
          <w:rFonts w:ascii="Bookman Old Style" w:hAnsi="Bookman Old Style"/>
          <w:b w:val="0"/>
          <w:bCs/>
          <w:sz w:val="24"/>
          <w:szCs w:val="24"/>
        </w:rPr>
      </w:pPr>
    </w:p>
    <w:p w:rsidR="00CA77FB" w:rsidRPr="00012259" w:rsidRDefault="00CA77FB" w:rsidP="00012259">
      <w:pPr>
        <w:pStyle w:val="Ttulo3"/>
        <w:tabs>
          <w:tab w:val="left" w:pos="0"/>
          <w:tab w:val="right" w:pos="9356"/>
        </w:tabs>
        <w:ind w:left="0"/>
        <w:rPr>
          <w:rFonts w:ascii="Bookman Old Style" w:hAnsi="Bookman Old Style" w:cs="Arial"/>
          <w:spacing w:val="20"/>
          <w:szCs w:val="24"/>
        </w:rPr>
      </w:pPr>
      <w:r w:rsidRPr="00012259">
        <w:rPr>
          <w:rFonts w:ascii="Bookman Old Style" w:hAnsi="Bookman Old Style" w:cs="Arial"/>
          <w:spacing w:val="20"/>
          <w:szCs w:val="24"/>
        </w:rPr>
        <w:t>COMISIÓN DE REGULACIÓN DE ENERGÍA Y GAS</w:t>
      </w: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223F28" w:rsidRDefault="00CA77FB" w:rsidP="00012259">
      <w:pPr>
        <w:pStyle w:val="Ttulo5"/>
        <w:tabs>
          <w:tab w:val="left" w:pos="0"/>
          <w:tab w:val="right" w:pos="9356"/>
        </w:tabs>
        <w:ind w:left="0"/>
        <w:rPr>
          <w:rFonts w:ascii="Bookman Old Style" w:hAnsi="Bookman Old Style"/>
          <w:sz w:val="24"/>
          <w:szCs w:val="24"/>
        </w:rPr>
      </w:pPr>
      <w:r w:rsidRPr="00223F28">
        <w:rPr>
          <w:rFonts w:ascii="Bookman Old Style" w:hAnsi="Bookman Old Style"/>
          <w:sz w:val="24"/>
          <w:szCs w:val="24"/>
        </w:rPr>
        <w:t xml:space="preserve">RESOLUCIÓN No. </w:t>
      </w:r>
      <w:r w:rsidR="00795BFB" w:rsidRPr="00223F28">
        <w:rPr>
          <w:rFonts w:ascii="Bookman Old Style" w:hAnsi="Bookman Old Style"/>
          <w:sz w:val="24"/>
          <w:szCs w:val="24"/>
        </w:rPr>
        <w:t xml:space="preserve">                  </w:t>
      </w:r>
      <w:r w:rsidRPr="00223F28">
        <w:rPr>
          <w:rFonts w:ascii="Bookman Old Style" w:hAnsi="Bookman Old Style"/>
          <w:sz w:val="24"/>
          <w:szCs w:val="24"/>
        </w:rPr>
        <w:t>DE 20</w:t>
      </w:r>
      <w:r w:rsidR="00795BFB" w:rsidRPr="00223F28">
        <w:rPr>
          <w:rFonts w:ascii="Bookman Old Style" w:hAnsi="Bookman Old Style"/>
          <w:sz w:val="24"/>
          <w:szCs w:val="24"/>
        </w:rPr>
        <w:t>1</w:t>
      </w:r>
      <w:r w:rsidR="005F6F41" w:rsidRPr="00223F28">
        <w:rPr>
          <w:rFonts w:ascii="Bookman Old Style" w:hAnsi="Bookman Old Style"/>
          <w:sz w:val="24"/>
          <w:szCs w:val="24"/>
        </w:rPr>
        <w:t>1</w:t>
      </w:r>
    </w:p>
    <w:p w:rsidR="00CA77FB" w:rsidRPr="00012259"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012259" w:rsidRDefault="00CA77FB" w:rsidP="00012259">
      <w:pPr>
        <w:pStyle w:val="Ttulo3"/>
        <w:tabs>
          <w:tab w:val="left" w:pos="0"/>
          <w:tab w:val="right" w:pos="9356"/>
        </w:tabs>
        <w:ind w:left="0"/>
        <w:rPr>
          <w:rFonts w:ascii="Bookman Old Style" w:hAnsi="Bookman Old Style"/>
          <w:b w:val="0"/>
          <w:szCs w:val="24"/>
        </w:rPr>
      </w:pPr>
      <w:r w:rsidRPr="00012259">
        <w:rPr>
          <w:rFonts w:ascii="Bookman Old Style" w:hAnsi="Bookman Old Style"/>
          <w:b w:val="0"/>
          <w:szCs w:val="24"/>
        </w:rPr>
        <w:t>(                                  )</w:t>
      </w:r>
    </w:p>
    <w:p w:rsidR="00CA77FB" w:rsidRPr="00012259" w:rsidRDefault="00CA77FB" w:rsidP="00012259">
      <w:pPr>
        <w:tabs>
          <w:tab w:val="left" w:pos="0"/>
          <w:tab w:val="right" w:pos="9356"/>
        </w:tabs>
        <w:ind w:left="0"/>
        <w:jc w:val="center"/>
        <w:rPr>
          <w:rFonts w:ascii="Bookman Old Style" w:hAnsi="Bookman Old Style"/>
          <w:lang w:val="es-ES_tradnl"/>
        </w:rPr>
      </w:pPr>
      <w:bookmarkStart w:id="0" w:name="_GoBack"/>
      <w:bookmarkEnd w:id="0"/>
    </w:p>
    <w:p w:rsidR="00C034CB" w:rsidRDefault="00C034CB" w:rsidP="00012259">
      <w:pPr>
        <w:ind w:left="0"/>
        <w:rPr>
          <w:rFonts w:ascii="Bookman Old Style" w:hAnsi="Bookman Old Style"/>
          <w:bCs/>
          <w:lang w:val="es-CO"/>
        </w:rPr>
      </w:pPr>
    </w:p>
    <w:p w:rsidR="00CE0C86" w:rsidRDefault="00CE0C86" w:rsidP="00012259">
      <w:pPr>
        <w:ind w:left="0"/>
        <w:rPr>
          <w:rFonts w:ascii="Bookman Old Style" w:hAnsi="Bookman Old Style"/>
          <w:bCs/>
          <w:lang w:val="es-CO"/>
        </w:rPr>
      </w:pPr>
    </w:p>
    <w:p w:rsidR="00CE0C86" w:rsidRDefault="00CE0C86" w:rsidP="00012259">
      <w:pPr>
        <w:ind w:left="0"/>
        <w:rPr>
          <w:rFonts w:ascii="Bookman Old Style" w:hAnsi="Bookman Old Style"/>
          <w:bCs/>
          <w:lang w:val="es-CO"/>
        </w:rPr>
      </w:pPr>
    </w:p>
    <w:p w:rsidR="00536791" w:rsidRPr="00536791" w:rsidRDefault="00536791" w:rsidP="00536791">
      <w:pPr>
        <w:ind w:left="0"/>
        <w:jc w:val="center"/>
        <w:rPr>
          <w:rFonts w:ascii="Bookman Old Style" w:hAnsi="Bookman Old Style"/>
        </w:rPr>
      </w:pPr>
      <w:r>
        <w:rPr>
          <w:rFonts w:ascii="Bookman Old Style" w:hAnsi="Bookman Old Style" w:cs="Arial"/>
          <w:color w:val="000000"/>
          <w:szCs w:val="27"/>
        </w:rPr>
        <w:t xml:space="preserve">Por la cual se ordena hacer público un proyecto de resolución de carácter general </w:t>
      </w:r>
      <w:r>
        <w:rPr>
          <w:rFonts w:ascii="Bookman Old Style" w:hAnsi="Bookman Old Style" w:cs="Arial"/>
        </w:rPr>
        <w:t>“</w:t>
      </w:r>
      <w:r w:rsidRPr="00C435C3">
        <w:rPr>
          <w:rFonts w:ascii="Bookman Old Style" w:hAnsi="Bookman Old Style"/>
        </w:rPr>
        <w:t xml:space="preserve">Por </w:t>
      </w:r>
      <w:r>
        <w:rPr>
          <w:rFonts w:ascii="Bookman Old Style" w:hAnsi="Bookman Old Style"/>
        </w:rPr>
        <w:t xml:space="preserve">la cual se </w:t>
      </w:r>
      <w:r w:rsidR="00B1649C">
        <w:rPr>
          <w:rFonts w:ascii="Bookman Old Style" w:hAnsi="Bookman Old Style"/>
        </w:rPr>
        <w:t xml:space="preserve">define </w:t>
      </w:r>
      <w:r w:rsidR="001650FE">
        <w:rPr>
          <w:rFonts w:ascii="Bookman Old Style" w:hAnsi="Bookman Old Style"/>
        </w:rPr>
        <w:t>la auditoria al Centro Nacional de Despacho</w:t>
      </w:r>
      <w:r w:rsidR="004148F7">
        <w:rPr>
          <w:rFonts w:ascii="Bookman Old Style" w:hAnsi="Bookman Old Style"/>
        </w:rPr>
        <w:t>,</w:t>
      </w:r>
      <w:r w:rsidR="00C51C79">
        <w:rPr>
          <w:rFonts w:ascii="Bookman Old Style" w:hAnsi="Bookman Old Style"/>
        </w:rPr>
        <w:t xml:space="preserve">  CND</w:t>
      </w:r>
      <w:r w:rsidR="004148F7">
        <w:rPr>
          <w:rFonts w:ascii="Bookman Old Style" w:hAnsi="Bookman Old Style"/>
        </w:rPr>
        <w:t>.</w:t>
      </w:r>
      <w:r w:rsidR="00B1649C">
        <w:rPr>
          <w:rFonts w:ascii="Bookman Old Style" w:hAnsi="Bookman Old Style" w:cs="Arial"/>
          <w:szCs w:val="20"/>
        </w:rPr>
        <w:t>”</w:t>
      </w:r>
    </w:p>
    <w:p w:rsidR="00536791" w:rsidRDefault="00536791" w:rsidP="00536791">
      <w:pPr>
        <w:pStyle w:val="Textodebloque1"/>
        <w:ind w:left="0" w:right="0"/>
        <w:rPr>
          <w:rFonts w:ascii="Bookman Old Style" w:hAnsi="Bookman Old Style" w:cs="Arial"/>
          <w:color w:val="000000"/>
          <w:lang w:val="es-ES"/>
        </w:rPr>
      </w:pPr>
    </w:p>
    <w:p w:rsidR="00CE0C86" w:rsidRPr="00B1649C" w:rsidRDefault="00CE0C86" w:rsidP="00536791">
      <w:pPr>
        <w:pStyle w:val="Textodebloque1"/>
        <w:ind w:left="0" w:right="0"/>
        <w:rPr>
          <w:rFonts w:ascii="Bookman Old Style" w:hAnsi="Bookman Old Style" w:cs="Arial"/>
          <w:color w:val="000000"/>
          <w:lang w:val="es-ES"/>
        </w:rPr>
      </w:pPr>
    </w:p>
    <w:p w:rsidR="00536791" w:rsidRDefault="00536791" w:rsidP="00536791">
      <w:pPr>
        <w:pStyle w:val="Textodebloque1"/>
        <w:ind w:left="0" w:right="0"/>
        <w:rPr>
          <w:rFonts w:ascii="Bookman Old Style" w:hAnsi="Bookman Old Style" w:cs="Arial"/>
          <w:color w:val="000000"/>
        </w:rPr>
      </w:pPr>
    </w:p>
    <w:p w:rsidR="00536791" w:rsidRDefault="00536791" w:rsidP="00536791">
      <w:pPr>
        <w:ind w:left="0"/>
        <w:jc w:val="center"/>
        <w:outlineLvl w:val="0"/>
        <w:rPr>
          <w:rFonts w:ascii="Bookman Old Style" w:hAnsi="Bookman Old Style" w:cs="Arial"/>
          <w:b/>
          <w:bCs/>
          <w:color w:val="000000"/>
          <w:szCs w:val="27"/>
        </w:rPr>
      </w:pPr>
      <w:r>
        <w:rPr>
          <w:rFonts w:ascii="Bookman Old Style" w:hAnsi="Bookman Old Style" w:cs="Arial"/>
          <w:b/>
          <w:bCs/>
          <w:color w:val="000000"/>
          <w:szCs w:val="27"/>
        </w:rPr>
        <w:t>LA COMISIÓN DE REGULACIÓN DE ENERGÍA Y GAS</w:t>
      </w:r>
    </w:p>
    <w:p w:rsidR="00536791" w:rsidRDefault="00536791" w:rsidP="00536791">
      <w:pPr>
        <w:spacing w:after="240"/>
        <w:ind w:left="0"/>
        <w:jc w:val="both"/>
        <w:rPr>
          <w:rFonts w:ascii="Bookman Old Style" w:hAnsi="Bookman Old Style" w:cs="Arial"/>
          <w:color w:val="000000"/>
          <w:szCs w:val="27"/>
        </w:rPr>
      </w:pPr>
    </w:p>
    <w:p w:rsidR="00536791" w:rsidRDefault="00536791" w:rsidP="00536791">
      <w:pPr>
        <w:spacing w:after="240"/>
        <w:ind w:left="0"/>
        <w:jc w:val="both"/>
        <w:rPr>
          <w:rFonts w:ascii="Bookman Old Style" w:hAnsi="Bookman Old Style" w:cs="Arial"/>
          <w:color w:val="000000"/>
          <w:szCs w:val="27"/>
        </w:rPr>
      </w:pPr>
      <w:r>
        <w:rPr>
          <w:rFonts w:ascii="Bookman Old Style" w:hAnsi="Bookman Old Style" w:cs="Arial"/>
          <w:color w:val="000000"/>
          <w:szCs w:val="27"/>
        </w:rPr>
        <w:t xml:space="preserve">En ejercicio de sus facultades legales, en especial de las conferidas por las Leyes 142 y 143 de 1994 y en desarrollo de los Decretos 1524 y 2253 de 1994, y </w:t>
      </w:r>
    </w:p>
    <w:p w:rsidR="00536791" w:rsidRDefault="00536791" w:rsidP="00536791">
      <w:pPr>
        <w:ind w:left="0"/>
        <w:jc w:val="both"/>
        <w:rPr>
          <w:rFonts w:ascii="Bookman Old Style" w:hAnsi="Bookman Old Style" w:cs="Arial"/>
          <w:b/>
          <w:bCs/>
          <w:color w:val="000000"/>
          <w:szCs w:val="27"/>
        </w:rPr>
      </w:pPr>
    </w:p>
    <w:p w:rsidR="00536791" w:rsidRDefault="00536791" w:rsidP="00536791">
      <w:pPr>
        <w:ind w:left="0"/>
        <w:jc w:val="center"/>
        <w:outlineLvl w:val="0"/>
        <w:rPr>
          <w:rFonts w:ascii="Bookman Old Style" w:hAnsi="Bookman Old Style" w:cs="Arial"/>
          <w:color w:val="000000"/>
        </w:rPr>
      </w:pPr>
      <w:r>
        <w:rPr>
          <w:rFonts w:ascii="Bookman Old Style" w:hAnsi="Bookman Old Style" w:cs="Arial"/>
          <w:b/>
          <w:bCs/>
          <w:color w:val="000000"/>
          <w:szCs w:val="27"/>
        </w:rPr>
        <w:t>C O N S I D E R A N D O  Q U E:</w:t>
      </w:r>
    </w:p>
    <w:p w:rsidR="00536791" w:rsidRDefault="00536791" w:rsidP="00536791">
      <w:pPr>
        <w:ind w:left="0"/>
        <w:jc w:val="both"/>
        <w:rPr>
          <w:rFonts w:ascii="Bookman Old Style" w:hAnsi="Bookman Old Style" w:cs="Arial"/>
        </w:rPr>
      </w:pPr>
    </w:p>
    <w:p w:rsidR="00536791" w:rsidRDefault="00536791" w:rsidP="00536791">
      <w:pPr>
        <w:ind w:left="0"/>
        <w:jc w:val="both"/>
        <w:rPr>
          <w:rFonts w:ascii="Bookman Old Style" w:hAnsi="Bookman Old Style" w:cs="Arial"/>
        </w:rPr>
      </w:pPr>
    </w:p>
    <w:p w:rsidR="00CE0C86" w:rsidRPr="00536791" w:rsidRDefault="00536791" w:rsidP="00CE0C86">
      <w:pPr>
        <w:ind w:left="0"/>
        <w:jc w:val="both"/>
        <w:rPr>
          <w:rFonts w:ascii="Bookman Old Style" w:hAnsi="Bookman Old Style"/>
        </w:rPr>
      </w:pPr>
      <w:r>
        <w:rPr>
          <w:rFonts w:ascii="Bookman Old Style" w:hAnsi="Bookman Old Style" w:cs="Arial"/>
        </w:rPr>
        <w:t xml:space="preserve">La Comisión de Regulación de Energía y Gas </w:t>
      </w:r>
      <w:r>
        <w:rPr>
          <w:rFonts w:ascii="Bookman Old Style" w:hAnsi="Bookman Old Style"/>
          <w:bCs/>
          <w:szCs w:val="22"/>
        </w:rPr>
        <w:t>en su sesión 4</w:t>
      </w:r>
      <w:r w:rsidR="00CE0C86">
        <w:rPr>
          <w:rFonts w:ascii="Bookman Old Style" w:hAnsi="Bookman Old Style"/>
          <w:bCs/>
          <w:szCs w:val="22"/>
        </w:rPr>
        <w:t>99</w:t>
      </w:r>
      <w:r>
        <w:rPr>
          <w:rFonts w:ascii="Bookman Old Style" w:hAnsi="Bookman Old Style"/>
          <w:bCs/>
          <w:szCs w:val="22"/>
        </w:rPr>
        <w:t xml:space="preserve">, de </w:t>
      </w:r>
      <w:r w:rsidR="00CE0C86">
        <w:rPr>
          <w:rFonts w:ascii="Bookman Old Style" w:hAnsi="Bookman Old Style"/>
          <w:bCs/>
          <w:szCs w:val="22"/>
        </w:rPr>
        <w:t>septiembre</w:t>
      </w:r>
      <w:r>
        <w:rPr>
          <w:rFonts w:ascii="Bookman Old Style" w:hAnsi="Bookman Old Style"/>
          <w:bCs/>
          <w:szCs w:val="22"/>
        </w:rPr>
        <w:t xml:space="preserve"> 1</w:t>
      </w:r>
      <w:r w:rsidR="00CE0C86">
        <w:rPr>
          <w:rFonts w:ascii="Bookman Old Style" w:hAnsi="Bookman Old Style"/>
          <w:bCs/>
          <w:szCs w:val="22"/>
        </w:rPr>
        <w:t>6</w:t>
      </w:r>
      <w:r>
        <w:rPr>
          <w:rFonts w:ascii="Bookman Old Style" w:hAnsi="Bookman Old Style"/>
          <w:bCs/>
          <w:szCs w:val="22"/>
        </w:rPr>
        <w:t xml:space="preserve"> de 2011</w:t>
      </w:r>
      <w:r>
        <w:rPr>
          <w:rFonts w:ascii="Bookman Old Style" w:hAnsi="Bookman Old Style" w:cs="Arial"/>
        </w:rPr>
        <w:t xml:space="preserve">, aprobó hacer público el proyecto de resolución </w:t>
      </w:r>
      <w:r w:rsidR="00CE0C86">
        <w:rPr>
          <w:rFonts w:ascii="Bookman Old Style" w:hAnsi="Bookman Old Style" w:cs="Arial"/>
          <w:color w:val="000000"/>
          <w:szCs w:val="27"/>
        </w:rPr>
        <w:t xml:space="preserve">Por la cual se ordena hacer público un proyecto de resolución de carácter general </w:t>
      </w:r>
      <w:r w:rsidR="00CE0C86">
        <w:rPr>
          <w:rFonts w:ascii="Bookman Old Style" w:hAnsi="Bookman Old Style" w:cs="Arial"/>
        </w:rPr>
        <w:t>“</w:t>
      </w:r>
      <w:r w:rsidR="00CE0C86" w:rsidRPr="00C435C3">
        <w:rPr>
          <w:rFonts w:ascii="Bookman Old Style" w:hAnsi="Bookman Old Style"/>
        </w:rPr>
        <w:t xml:space="preserve">Por </w:t>
      </w:r>
      <w:r w:rsidR="00CE0C86">
        <w:rPr>
          <w:rFonts w:ascii="Bookman Old Style" w:hAnsi="Bookman Old Style"/>
        </w:rPr>
        <w:t>la cual se define la auditoria al Centro Nacional de Despacho,  CND.</w:t>
      </w:r>
      <w:r w:rsidR="00CE0C86">
        <w:rPr>
          <w:rFonts w:ascii="Bookman Old Style" w:hAnsi="Bookman Old Style" w:cs="Arial"/>
          <w:szCs w:val="20"/>
        </w:rPr>
        <w:t>”</w:t>
      </w:r>
    </w:p>
    <w:p w:rsidR="00536791" w:rsidRDefault="00536791" w:rsidP="00536791">
      <w:pPr>
        <w:ind w:left="0"/>
        <w:jc w:val="both"/>
        <w:rPr>
          <w:rFonts w:cs="Arial"/>
        </w:rPr>
      </w:pPr>
    </w:p>
    <w:p w:rsidR="00536791" w:rsidRDefault="00536791" w:rsidP="00536791">
      <w:pPr>
        <w:spacing w:after="240"/>
        <w:ind w:left="0"/>
        <w:jc w:val="center"/>
        <w:outlineLvl w:val="0"/>
        <w:rPr>
          <w:rFonts w:ascii="Bookman Old Style" w:hAnsi="Bookman Old Style" w:cs="Arial"/>
          <w:b/>
          <w:bCs/>
          <w:color w:val="000000"/>
          <w:szCs w:val="27"/>
          <w:lang w:val="es-CO"/>
        </w:rPr>
      </w:pPr>
    </w:p>
    <w:p w:rsidR="00536791" w:rsidRDefault="00536791" w:rsidP="00536791">
      <w:pPr>
        <w:spacing w:after="240"/>
        <w:ind w:left="0"/>
        <w:jc w:val="center"/>
        <w:outlineLvl w:val="0"/>
        <w:rPr>
          <w:rFonts w:ascii="Bookman Old Style" w:hAnsi="Bookman Old Style" w:cs="Arial"/>
          <w:b/>
          <w:bCs/>
          <w:color w:val="000000"/>
          <w:szCs w:val="27"/>
        </w:rPr>
      </w:pPr>
      <w:r>
        <w:rPr>
          <w:rFonts w:ascii="Bookman Old Style" w:hAnsi="Bookman Old Style" w:cs="Arial"/>
          <w:b/>
          <w:bCs/>
          <w:color w:val="000000"/>
          <w:szCs w:val="27"/>
        </w:rPr>
        <w:t>R E S U E L V E:</w:t>
      </w:r>
    </w:p>
    <w:p w:rsidR="00536791" w:rsidRDefault="00536791" w:rsidP="00536791">
      <w:pPr>
        <w:ind w:left="0"/>
        <w:jc w:val="both"/>
        <w:rPr>
          <w:rFonts w:ascii="Bookman Old Style" w:hAnsi="Bookman Old Style" w:cs="Arial"/>
          <w:b/>
          <w:bCs/>
          <w:szCs w:val="27"/>
        </w:rPr>
      </w:pPr>
    </w:p>
    <w:p w:rsidR="00536791" w:rsidRDefault="00536791" w:rsidP="00536791">
      <w:pPr>
        <w:ind w:left="0"/>
        <w:jc w:val="both"/>
        <w:rPr>
          <w:rFonts w:cs="Arial"/>
        </w:rPr>
      </w:pPr>
      <w:r>
        <w:rPr>
          <w:rFonts w:ascii="Bookman Old Style" w:hAnsi="Bookman Old Style" w:cs="Arial"/>
          <w:b/>
          <w:bCs/>
          <w:szCs w:val="27"/>
        </w:rPr>
        <w:t>ARTÍCULO 1.</w:t>
      </w:r>
      <w:r>
        <w:rPr>
          <w:rFonts w:ascii="Bookman Old Style" w:hAnsi="Bookman Old Style" w:cs="Arial"/>
          <w:szCs w:val="27"/>
        </w:rPr>
        <w:t xml:space="preserve"> Hágase público el proyecto de resolución </w:t>
      </w:r>
      <w:r w:rsidR="004148F7">
        <w:rPr>
          <w:rFonts w:ascii="Bookman Old Style" w:hAnsi="Bookman Old Style" w:cs="Arial"/>
        </w:rPr>
        <w:t>“</w:t>
      </w:r>
      <w:r w:rsidR="004148F7" w:rsidRPr="00C435C3">
        <w:rPr>
          <w:rFonts w:ascii="Bookman Old Style" w:hAnsi="Bookman Old Style"/>
        </w:rPr>
        <w:t xml:space="preserve">Por </w:t>
      </w:r>
      <w:r w:rsidR="004148F7">
        <w:rPr>
          <w:rFonts w:ascii="Bookman Old Style" w:hAnsi="Bookman Old Style"/>
        </w:rPr>
        <w:t>la cual se define la auditoria al Centro Nacional de Despacho, CND.</w:t>
      </w:r>
      <w:r w:rsidR="004148F7">
        <w:rPr>
          <w:rFonts w:ascii="Bookman Old Style" w:hAnsi="Bookman Old Style" w:cs="Arial"/>
          <w:szCs w:val="20"/>
        </w:rPr>
        <w:t>”</w:t>
      </w:r>
    </w:p>
    <w:p w:rsidR="00536791" w:rsidRDefault="00536791" w:rsidP="00536791">
      <w:pPr>
        <w:pStyle w:val="Textodebloque"/>
        <w:tabs>
          <w:tab w:val="left" w:pos="8789"/>
        </w:tabs>
        <w:ind w:left="0" w:right="51"/>
        <w:rPr>
          <w:rFonts w:cs="Arial"/>
          <w:lang w:val="es-ES"/>
        </w:rPr>
      </w:pPr>
    </w:p>
    <w:p w:rsidR="00536791" w:rsidRDefault="00536791" w:rsidP="00536791">
      <w:pPr>
        <w:spacing w:after="240"/>
        <w:ind w:left="0"/>
        <w:jc w:val="both"/>
        <w:rPr>
          <w:rFonts w:ascii="Bookman Old Style" w:hAnsi="Bookman Old Style" w:cs="Arial"/>
          <w:color w:val="000000"/>
          <w:szCs w:val="27"/>
        </w:rPr>
      </w:pPr>
      <w:r>
        <w:rPr>
          <w:rFonts w:ascii="Bookman Old Style" w:hAnsi="Bookman Old Style" w:cs="Arial"/>
          <w:b/>
          <w:bCs/>
          <w:color w:val="000000"/>
          <w:szCs w:val="27"/>
        </w:rPr>
        <w:t>ARTÍCULO 2</w:t>
      </w:r>
      <w:r>
        <w:rPr>
          <w:rFonts w:ascii="Bookman Old Style" w:hAnsi="Bookman Old Style" w:cs="Arial"/>
          <w:color w:val="000000"/>
          <w:szCs w:val="27"/>
        </w:rPr>
        <w:t xml:space="preserve">. Se invita a los agentes, a los usuarios, </w:t>
      </w:r>
      <w:r>
        <w:rPr>
          <w:rFonts w:ascii="Bookman Old Style" w:hAnsi="Bookman Old Style" w:cs="Arial"/>
        </w:rPr>
        <w:t>a las Autoridades Locales Municipales y Departamentales competentes</w:t>
      </w:r>
      <w:r>
        <w:rPr>
          <w:rFonts w:ascii="Bookman Old Style" w:hAnsi="Bookman Old Style" w:cs="Arial"/>
          <w:color w:val="000000"/>
          <w:szCs w:val="27"/>
        </w:rPr>
        <w:t xml:space="preserve"> y a la Superintendencia de Servicios Públicos Domiciliarios, para que remitan sus observaciones o sugerencias sobre la propuesta, dentro de </w:t>
      </w:r>
      <w:r w:rsidRPr="00CE0C86">
        <w:rPr>
          <w:rFonts w:ascii="Bookman Old Style" w:hAnsi="Bookman Old Style" w:cs="Arial"/>
          <w:color w:val="000000"/>
          <w:szCs w:val="27"/>
        </w:rPr>
        <w:t xml:space="preserve">los </w:t>
      </w:r>
      <w:r w:rsidR="00FC1A31" w:rsidRPr="00CE0C86">
        <w:rPr>
          <w:rFonts w:ascii="Bookman Old Style" w:hAnsi="Bookman Old Style" w:cs="Arial"/>
          <w:color w:val="000000"/>
          <w:szCs w:val="27"/>
        </w:rPr>
        <w:t xml:space="preserve">diez </w:t>
      </w:r>
      <w:r w:rsidRPr="00CE0C86">
        <w:rPr>
          <w:rFonts w:ascii="Bookman Old Style" w:hAnsi="Bookman Old Style" w:cs="Arial"/>
          <w:color w:val="000000"/>
          <w:szCs w:val="27"/>
        </w:rPr>
        <w:t>(</w:t>
      </w:r>
      <w:r w:rsidR="00FC1A31" w:rsidRPr="00CE0C86">
        <w:rPr>
          <w:rFonts w:ascii="Bookman Old Style" w:hAnsi="Bookman Old Style" w:cs="Arial"/>
          <w:color w:val="000000"/>
          <w:szCs w:val="27"/>
        </w:rPr>
        <w:t>10</w:t>
      </w:r>
      <w:r w:rsidRPr="00CE0C86">
        <w:rPr>
          <w:rFonts w:ascii="Bookman Old Style" w:hAnsi="Bookman Old Style" w:cs="Arial"/>
          <w:color w:val="000000"/>
          <w:szCs w:val="27"/>
        </w:rPr>
        <w:t>) días</w:t>
      </w:r>
      <w:r>
        <w:rPr>
          <w:rFonts w:ascii="Bookman Old Style" w:hAnsi="Bookman Old Style" w:cs="Arial"/>
          <w:color w:val="000000"/>
          <w:szCs w:val="27"/>
        </w:rPr>
        <w:t xml:space="preserve"> hábiles siguientes a la publicación de la presente Resolución en la página Web de la Comisión de Regulación de Energía y Gas.</w:t>
      </w:r>
    </w:p>
    <w:p w:rsidR="00536791" w:rsidRDefault="00536791" w:rsidP="00536791">
      <w:pPr>
        <w:ind w:left="0"/>
        <w:jc w:val="both"/>
        <w:rPr>
          <w:rFonts w:ascii="Bookman Old Style" w:hAnsi="Bookman Old Style" w:cs="Arial"/>
          <w:color w:val="000000"/>
          <w:szCs w:val="27"/>
        </w:rPr>
      </w:pPr>
      <w:r>
        <w:rPr>
          <w:rFonts w:ascii="Bookman Old Style" w:hAnsi="Bookman Old Style" w:cs="Arial"/>
          <w:b/>
          <w:bCs/>
          <w:color w:val="000000"/>
          <w:szCs w:val="27"/>
        </w:rPr>
        <w:lastRenderedPageBreak/>
        <w:t>ARTÍCULO 3</w:t>
      </w:r>
      <w:r>
        <w:rPr>
          <w:rFonts w:ascii="Bookman Old Style" w:hAnsi="Bookman Old Style" w:cs="Arial"/>
          <w:color w:val="000000"/>
          <w:szCs w:val="27"/>
        </w:rPr>
        <w:t>. Infórmese en la página web la identificación de la dependencia administrativa y de las personas a quienes se podrá solicitar información sobre el proyecto y hacer llegar las observaciones, reparos o sugerencias, y los demás aspectos que estimen pertinentes.</w:t>
      </w:r>
    </w:p>
    <w:p w:rsidR="00536791" w:rsidRDefault="00536791" w:rsidP="00536791">
      <w:pPr>
        <w:ind w:left="0"/>
        <w:jc w:val="both"/>
        <w:rPr>
          <w:rFonts w:ascii="Bookman Old Style" w:hAnsi="Bookman Old Style" w:cs="Arial"/>
          <w:color w:val="000000"/>
          <w:szCs w:val="27"/>
        </w:rPr>
      </w:pPr>
    </w:p>
    <w:p w:rsidR="00536791" w:rsidRDefault="00536791" w:rsidP="00536791">
      <w:pPr>
        <w:ind w:left="0"/>
        <w:jc w:val="both"/>
        <w:rPr>
          <w:rFonts w:ascii="Bookman Old Style" w:hAnsi="Bookman Old Style" w:cs="Arial"/>
          <w:color w:val="000000"/>
          <w:szCs w:val="27"/>
        </w:rPr>
      </w:pPr>
    </w:p>
    <w:p w:rsidR="00536791" w:rsidRDefault="00536791" w:rsidP="00536791">
      <w:pPr>
        <w:ind w:left="0"/>
        <w:jc w:val="both"/>
        <w:rPr>
          <w:rFonts w:ascii="Bookman Old Style" w:hAnsi="Bookman Old Style" w:cs="Arial"/>
          <w:color w:val="000000"/>
          <w:szCs w:val="27"/>
        </w:rPr>
      </w:pPr>
      <w:r>
        <w:rPr>
          <w:rFonts w:ascii="Bookman Old Style" w:hAnsi="Bookman Old Style" w:cs="Arial"/>
          <w:b/>
          <w:bCs/>
          <w:color w:val="000000"/>
          <w:szCs w:val="27"/>
        </w:rPr>
        <w:t>ARTÍCULO 4</w:t>
      </w:r>
      <w:r>
        <w:rPr>
          <w:rFonts w:ascii="Bookman Old Style" w:hAnsi="Bookman Old Style" w:cs="Arial"/>
          <w:color w:val="000000"/>
          <w:szCs w:val="27"/>
        </w:rPr>
        <w:t>. La presente Resolución no deroga ni modifica disposiciones vigentes por tratarse de un acto de trámite.</w:t>
      </w:r>
    </w:p>
    <w:p w:rsidR="00536791" w:rsidRDefault="00536791" w:rsidP="00536791">
      <w:pPr>
        <w:ind w:left="0"/>
        <w:jc w:val="both"/>
        <w:rPr>
          <w:rFonts w:ascii="Bookman Old Style" w:hAnsi="Bookman Old Style" w:cs="Arial"/>
        </w:rPr>
      </w:pPr>
    </w:p>
    <w:p w:rsidR="00536791" w:rsidRDefault="00536791" w:rsidP="00536791">
      <w:pPr>
        <w:ind w:left="0"/>
        <w:jc w:val="both"/>
        <w:rPr>
          <w:rFonts w:ascii="Bookman Old Style" w:hAnsi="Bookman Old Style" w:cs="Arial"/>
        </w:rPr>
      </w:pPr>
    </w:p>
    <w:p w:rsidR="00536791" w:rsidRDefault="00536791" w:rsidP="00536791">
      <w:pPr>
        <w:ind w:left="0"/>
        <w:jc w:val="center"/>
        <w:outlineLvl w:val="0"/>
        <w:rPr>
          <w:rFonts w:ascii="Bookman Old Style" w:hAnsi="Bookman Old Style" w:cs="Arial"/>
          <w:b/>
          <w:bCs/>
          <w:color w:val="000000"/>
          <w:szCs w:val="27"/>
        </w:rPr>
      </w:pPr>
      <w:r>
        <w:rPr>
          <w:rFonts w:ascii="Bookman Old Style" w:hAnsi="Bookman Old Style" w:cs="Arial"/>
          <w:b/>
          <w:bCs/>
          <w:color w:val="000000"/>
          <w:szCs w:val="27"/>
        </w:rPr>
        <w:t>PUBLÍQUESE Y CÚMPLASE</w:t>
      </w:r>
    </w:p>
    <w:p w:rsidR="00536791" w:rsidRDefault="00536791" w:rsidP="00536791">
      <w:pPr>
        <w:spacing w:after="240"/>
        <w:ind w:left="0"/>
        <w:jc w:val="both"/>
        <w:rPr>
          <w:rFonts w:ascii="Bookman Old Style" w:hAnsi="Bookman Old Style" w:cs="Arial"/>
          <w:color w:val="000000"/>
          <w:szCs w:val="27"/>
        </w:rPr>
      </w:pPr>
    </w:p>
    <w:p w:rsidR="00536791" w:rsidRDefault="00536791" w:rsidP="00536791">
      <w:pPr>
        <w:spacing w:after="240"/>
        <w:ind w:left="0"/>
        <w:jc w:val="both"/>
        <w:outlineLvl w:val="0"/>
        <w:rPr>
          <w:rFonts w:ascii="Bookman Old Style" w:hAnsi="Bookman Old Style" w:cs="Arial"/>
          <w:color w:val="000000"/>
          <w:szCs w:val="27"/>
        </w:rPr>
      </w:pPr>
      <w:r>
        <w:rPr>
          <w:rFonts w:ascii="Bookman Old Style" w:hAnsi="Bookman Old Style" w:cs="Arial"/>
          <w:color w:val="000000"/>
          <w:szCs w:val="27"/>
        </w:rPr>
        <w:t xml:space="preserve">Dada en Bogotá, D.C., </w:t>
      </w:r>
    </w:p>
    <w:p w:rsidR="00182510" w:rsidRDefault="00182510" w:rsidP="00536791">
      <w:pPr>
        <w:spacing w:after="240"/>
        <w:ind w:left="0"/>
        <w:jc w:val="both"/>
        <w:outlineLvl w:val="0"/>
        <w:rPr>
          <w:rFonts w:ascii="Bookman Old Style" w:hAnsi="Bookman Old Style" w:cs="Arial"/>
          <w:color w:val="000000"/>
          <w:szCs w:val="27"/>
        </w:rPr>
      </w:pPr>
    </w:p>
    <w:p w:rsidR="00182510" w:rsidRDefault="00182510" w:rsidP="00536791">
      <w:pPr>
        <w:spacing w:after="240"/>
        <w:ind w:left="0"/>
        <w:jc w:val="both"/>
        <w:outlineLvl w:val="0"/>
        <w:rPr>
          <w:rFonts w:ascii="Bookman Old Style" w:hAnsi="Bookman Old Style" w:cs="Arial"/>
          <w:color w:val="000000"/>
          <w:szCs w:val="27"/>
        </w:rPr>
      </w:pPr>
    </w:p>
    <w:p w:rsidR="00182510" w:rsidRDefault="00182510" w:rsidP="00536791">
      <w:pPr>
        <w:spacing w:after="240"/>
        <w:ind w:left="0"/>
        <w:jc w:val="both"/>
        <w:outlineLvl w:val="0"/>
        <w:rPr>
          <w:rFonts w:ascii="Bookman Old Style" w:hAnsi="Bookman Old Style" w:cs="Arial"/>
          <w:color w:val="000000"/>
          <w:szCs w:val="27"/>
        </w:rPr>
      </w:pPr>
    </w:p>
    <w:tbl>
      <w:tblPr>
        <w:tblW w:w="0" w:type="auto"/>
        <w:jc w:val="center"/>
        <w:tblCellSpacing w:w="0" w:type="dxa"/>
        <w:tblCellMar>
          <w:left w:w="0" w:type="dxa"/>
          <w:right w:w="0" w:type="dxa"/>
        </w:tblCellMar>
        <w:tblLook w:val="04A0" w:firstRow="1" w:lastRow="0" w:firstColumn="1" w:lastColumn="0" w:noHBand="0" w:noVBand="1"/>
      </w:tblPr>
      <w:tblGrid>
        <w:gridCol w:w="4641"/>
        <w:gridCol w:w="4399"/>
      </w:tblGrid>
      <w:tr w:rsidR="00182510" w:rsidTr="00182510">
        <w:trPr>
          <w:trHeight w:val="258"/>
          <w:tblCellSpacing w:w="0" w:type="dxa"/>
          <w:jc w:val="center"/>
        </w:trPr>
        <w:tc>
          <w:tcPr>
            <w:tcW w:w="4641" w:type="dxa"/>
            <w:hideMark/>
          </w:tcPr>
          <w:p w:rsidR="00182510" w:rsidRDefault="00182510">
            <w:pPr>
              <w:ind w:left="-229"/>
              <w:jc w:val="center"/>
              <w:rPr>
                <w:rFonts w:ascii="Bookman Old Style" w:hAnsi="Bookman Old Style" w:cs="Arial"/>
                <w:color w:val="000000"/>
              </w:rPr>
            </w:pPr>
            <w:r>
              <w:rPr>
                <w:rFonts w:ascii="Bookman Old Style" w:hAnsi="Bookman Old Style" w:cs="Arial"/>
                <w:b/>
                <w:bCs/>
                <w:color w:val="000000"/>
              </w:rPr>
              <w:t xml:space="preserve">JORGE ALBERTO GARCÍA CALUME </w:t>
            </w:r>
          </w:p>
        </w:tc>
        <w:tc>
          <w:tcPr>
            <w:tcW w:w="4399" w:type="dxa"/>
            <w:hideMark/>
          </w:tcPr>
          <w:p w:rsidR="00182510" w:rsidRDefault="00182510">
            <w:pPr>
              <w:ind w:left="21"/>
              <w:jc w:val="center"/>
              <w:rPr>
                <w:rFonts w:ascii="Bookman Old Style" w:hAnsi="Bookman Old Style" w:cs="Arial"/>
                <w:color w:val="000000"/>
              </w:rPr>
            </w:pPr>
            <w:r>
              <w:rPr>
                <w:rFonts w:ascii="Bookman Old Style" w:hAnsi="Bookman Old Style" w:cs="Arial"/>
                <w:b/>
                <w:bCs/>
                <w:color w:val="000000"/>
              </w:rPr>
              <w:t>JAVIER AUGUSTO DÍAZ VELASCO</w:t>
            </w:r>
          </w:p>
        </w:tc>
      </w:tr>
      <w:tr w:rsidR="00182510" w:rsidTr="00182510">
        <w:trPr>
          <w:trHeight w:val="20"/>
          <w:tblCellSpacing w:w="0" w:type="dxa"/>
          <w:jc w:val="center"/>
        </w:trPr>
        <w:tc>
          <w:tcPr>
            <w:tcW w:w="4641" w:type="dxa"/>
            <w:hideMark/>
          </w:tcPr>
          <w:p w:rsidR="00182510" w:rsidRDefault="00182510">
            <w:pPr>
              <w:ind w:left="-87"/>
              <w:jc w:val="center"/>
              <w:rPr>
                <w:rFonts w:ascii="Bookman Old Style" w:hAnsi="Bookman Old Style" w:cs="Arial"/>
                <w:color w:val="000000"/>
              </w:rPr>
            </w:pPr>
            <w:r>
              <w:rPr>
                <w:rFonts w:ascii="Bookman Old Style" w:hAnsi="Bookman Old Style" w:cs="Arial"/>
                <w:color w:val="000000"/>
              </w:rPr>
              <w:t>Viceministro de Minas y Energía ( E )</w:t>
            </w:r>
            <w:r>
              <w:rPr>
                <w:rFonts w:ascii="Bookman Old Style" w:hAnsi="Bookman Old Style" w:cs="Arial"/>
                <w:color w:val="000000"/>
              </w:rPr>
              <w:br/>
              <w:t>Delegado del Ministro de Minas y Energía</w:t>
            </w:r>
          </w:p>
        </w:tc>
        <w:tc>
          <w:tcPr>
            <w:tcW w:w="4399" w:type="dxa"/>
            <w:hideMark/>
          </w:tcPr>
          <w:p w:rsidR="00182510" w:rsidRDefault="00182510">
            <w:pPr>
              <w:jc w:val="center"/>
              <w:rPr>
                <w:rFonts w:ascii="Bookman Old Style" w:hAnsi="Bookman Old Style" w:cs="Arial"/>
                <w:color w:val="000000"/>
              </w:rPr>
            </w:pPr>
            <w:r>
              <w:rPr>
                <w:rFonts w:ascii="Bookman Old Style" w:hAnsi="Bookman Old Style" w:cs="Arial"/>
                <w:color w:val="000000"/>
              </w:rPr>
              <w:t>Director Ejecutivo</w:t>
            </w:r>
          </w:p>
        </w:tc>
      </w:tr>
      <w:tr w:rsidR="00182510" w:rsidTr="00182510">
        <w:trPr>
          <w:trHeight w:val="20"/>
          <w:tblCellSpacing w:w="0" w:type="dxa"/>
          <w:jc w:val="center"/>
        </w:trPr>
        <w:tc>
          <w:tcPr>
            <w:tcW w:w="4641" w:type="dxa"/>
            <w:hideMark/>
          </w:tcPr>
          <w:p w:rsidR="00182510" w:rsidRDefault="00182510">
            <w:pPr>
              <w:ind w:left="-16"/>
              <w:jc w:val="center"/>
              <w:rPr>
                <w:rFonts w:ascii="Bookman Old Style" w:hAnsi="Bookman Old Style" w:cs="Arial"/>
                <w:color w:val="000000"/>
              </w:rPr>
            </w:pPr>
            <w:r>
              <w:rPr>
                <w:rFonts w:ascii="Bookman Old Style" w:hAnsi="Bookman Old Style" w:cs="Arial"/>
                <w:color w:val="000000"/>
              </w:rPr>
              <w:t>Presidente</w:t>
            </w:r>
          </w:p>
        </w:tc>
        <w:tc>
          <w:tcPr>
            <w:tcW w:w="0" w:type="auto"/>
          </w:tcPr>
          <w:p w:rsidR="00182510" w:rsidRDefault="00182510">
            <w:pPr>
              <w:rPr>
                <w:rFonts w:ascii="Bookman Old Style" w:hAnsi="Bookman Old Style" w:cs="Arial"/>
                <w:color w:val="000000"/>
              </w:rPr>
            </w:pPr>
          </w:p>
        </w:tc>
      </w:tr>
    </w:tbl>
    <w:p w:rsidR="00182510" w:rsidRDefault="00182510" w:rsidP="00536791">
      <w:pPr>
        <w:spacing w:after="240"/>
        <w:ind w:left="0"/>
        <w:jc w:val="both"/>
        <w:outlineLvl w:val="0"/>
        <w:rPr>
          <w:rFonts w:ascii="Bookman Old Style" w:hAnsi="Bookman Old Style" w:cs="Arial"/>
          <w:color w:val="000000"/>
          <w:szCs w:val="27"/>
        </w:rPr>
      </w:pPr>
    </w:p>
    <w:p w:rsidR="00182510" w:rsidRDefault="00182510" w:rsidP="00536791">
      <w:pPr>
        <w:spacing w:after="240"/>
        <w:ind w:left="0"/>
        <w:jc w:val="both"/>
        <w:outlineLvl w:val="0"/>
        <w:rPr>
          <w:rFonts w:ascii="Bookman Old Style" w:hAnsi="Bookman Old Style" w:cs="Arial"/>
          <w:color w:val="000000"/>
          <w:szCs w:val="27"/>
        </w:rPr>
      </w:pPr>
    </w:p>
    <w:tbl>
      <w:tblPr>
        <w:tblW w:w="0" w:type="auto"/>
        <w:jc w:val="center"/>
        <w:tblCellSpacing w:w="0" w:type="dxa"/>
        <w:tblInd w:w="-1546" w:type="dxa"/>
        <w:tblCellMar>
          <w:left w:w="0" w:type="dxa"/>
          <w:right w:w="0" w:type="dxa"/>
        </w:tblCellMar>
        <w:tblLook w:val="04A0" w:firstRow="1" w:lastRow="0" w:firstColumn="1" w:lastColumn="0" w:noHBand="0" w:noVBand="1"/>
      </w:tblPr>
      <w:tblGrid>
        <w:gridCol w:w="4085"/>
        <w:gridCol w:w="4394"/>
      </w:tblGrid>
      <w:tr w:rsidR="00CE0C86" w:rsidTr="00585919">
        <w:trPr>
          <w:tblCellSpacing w:w="0" w:type="dxa"/>
          <w:jc w:val="center"/>
        </w:trPr>
        <w:tc>
          <w:tcPr>
            <w:tcW w:w="4085" w:type="dxa"/>
          </w:tcPr>
          <w:p w:rsidR="00CE0C86" w:rsidRDefault="00CE0C86" w:rsidP="00182510">
            <w:pPr>
              <w:ind w:left="0"/>
            </w:pPr>
          </w:p>
        </w:tc>
        <w:tc>
          <w:tcPr>
            <w:tcW w:w="4394" w:type="dxa"/>
          </w:tcPr>
          <w:p w:rsidR="00CE0C86" w:rsidRDefault="00CE0C86"/>
        </w:tc>
      </w:tr>
      <w:tr w:rsidR="00CE0C86" w:rsidTr="00585919">
        <w:trPr>
          <w:tblCellSpacing w:w="0" w:type="dxa"/>
          <w:jc w:val="center"/>
        </w:trPr>
        <w:tc>
          <w:tcPr>
            <w:tcW w:w="4085" w:type="dxa"/>
          </w:tcPr>
          <w:p w:rsidR="00CE0C86" w:rsidRDefault="00CE0C86"/>
        </w:tc>
        <w:tc>
          <w:tcPr>
            <w:tcW w:w="4394" w:type="dxa"/>
          </w:tcPr>
          <w:p w:rsidR="00CE0C86" w:rsidRDefault="00CE0C86"/>
        </w:tc>
      </w:tr>
    </w:tbl>
    <w:p w:rsidR="00536791" w:rsidRDefault="00536791" w:rsidP="00C20B75">
      <w:pPr>
        <w:ind w:left="0"/>
        <w:rPr>
          <w:rFonts w:ascii="Bookman Old Style" w:hAnsi="Bookman Old Style"/>
          <w:bCs/>
          <w:lang w:val="es-CO"/>
        </w:rPr>
      </w:pPr>
    </w:p>
    <w:p w:rsidR="00536791" w:rsidRDefault="00536791" w:rsidP="00C20B75">
      <w:pPr>
        <w:ind w:left="0"/>
        <w:rPr>
          <w:rFonts w:ascii="Bookman Old Style" w:hAnsi="Bookman Old Style"/>
          <w:b/>
        </w:rPr>
      </w:pPr>
      <w:r>
        <w:rPr>
          <w:rFonts w:ascii="Bookman Old Style" w:hAnsi="Bookman Old Style"/>
          <w:b/>
        </w:rPr>
        <w:br w:type="page"/>
      </w:r>
    </w:p>
    <w:p w:rsidR="00536791" w:rsidRPr="00536791" w:rsidRDefault="00536791" w:rsidP="00C20B75">
      <w:pPr>
        <w:ind w:left="0"/>
        <w:jc w:val="center"/>
        <w:rPr>
          <w:rFonts w:ascii="Bookman Old Style" w:hAnsi="Bookman Old Style"/>
          <w:b/>
          <w:bCs/>
          <w:lang w:val="es-CO"/>
        </w:rPr>
      </w:pPr>
      <w:r w:rsidRPr="00536791">
        <w:rPr>
          <w:rFonts w:ascii="Bookman Old Style" w:hAnsi="Bookman Old Style"/>
          <w:b/>
          <w:bCs/>
          <w:lang w:val="es-CO"/>
        </w:rPr>
        <w:lastRenderedPageBreak/>
        <w:t>PROYECTO DE RESOLUCIÓN</w:t>
      </w:r>
    </w:p>
    <w:p w:rsidR="00536791" w:rsidRDefault="00536791" w:rsidP="00C20B75">
      <w:pPr>
        <w:ind w:left="0"/>
        <w:rPr>
          <w:rFonts w:ascii="Bookman Old Style" w:hAnsi="Bookman Old Style"/>
          <w:bCs/>
          <w:lang w:val="es-CO"/>
        </w:rPr>
      </w:pPr>
    </w:p>
    <w:p w:rsidR="00536791" w:rsidRDefault="00536791" w:rsidP="00C20B75">
      <w:pPr>
        <w:ind w:left="0"/>
        <w:rPr>
          <w:rFonts w:ascii="Bookman Old Style" w:hAnsi="Bookman Old Style"/>
          <w:bCs/>
          <w:lang w:val="es-CO"/>
        </w:rPr>
      </w:pPr>
    </w:p>
    <w:p w:rsidR="00C435C3" w:rsidRPr="00C435C3" w:rsidRDefault="00C435C3" w:rsidP="00182510">
      <w:pPr>
        <w:ind w:left="0"/>
        <w:jc w:val="center"/>
        <w:rPr>
          <w:rFonts w:ascii="Bookman Old Style" w:hAnsi="Bookman Old Style"/>
        </w:rPr>
      </w:pPr>
      <w:r w:rsidRPr="00C435C3">
        <w:rPr>
          <w:rFonts w:ascii="Bookman Old Style" w:hAnsi="Bookman Old Style"/>
        </w:rPr>
        <w:t xml:space="preserve">Por </w:t>
      </w:r>
      <w:r w:rsidR="008C5CCE">
        <w:rPr>
          <w:rFonts w:ascii="Bookman Old Style" w:hAnsi="Bookman Old Style"/>
        </w:rPr>
        <w:t xml:space="preserve">la cual se </w:t>
      </w:r>
      <w:r w:rsidR="00C51C79">
        <w:rPr>
          <w:rFonts w:ascii="Bookman Old Style" w:hAnsi="Bookman Old Style"/>
        </w:rPr>
        <w:t>define la auditoria al Centro Nacional de Despacho</w:t>
      </w:r>
      <w:r w:rsidR="005443C2">
        <w:rPr>
          <w:rFonts w:ascii="Bookman Old Style" w:hAnsi="Bookman Old Style"/>
        </w:rPr>
        <w:t>,</w:t>
      </w:r>
      <w:r w:rsidR="00C51C79">
        <w:rPr>
          <w:rFonts w:ascii="Bookman Old Style" w:hAnsi="Bookman Old Style"/>
        </w:rPr>
        <w:t xml:space="preserve"> CND</w:t>
      </w:r>
      <w:r w:rsidR="005443C2">
        <w:rPr>
          <w:rFonts w:ascii="Bookman Old Style" w:hAnsi="Bookman Old Style"/>
        </w:rPr>
        <w:t>.</w:t>
      </w:r>
    </w:p>
    <w:p w:rsidR="00C435C3" w:rsidRPr="00C51C79" w:rsidRDefault="00C435C3" w:rsidP="00C20B75">
      <w:pPr>
        <w:ind w:left="219" w:right="51"/>
        <w:rPr>
          <w:rFonts w:ascii="Bookman Old Style" w:hAnsi="Bookman Old Style"/>
          <w:lang w:val="es-ES_tradnl"/>
        </w:rPr>
      </w:pPr>
    </w:p>
    <w:p w:rsidR="002F27B5" w:rsidRPr="00C435C3" w:rsidRDefault="002F27B5" w:rsidP="00C20B75">
      <w:pPr>
        <w:ind w:left="219" w:right="51"/>
        <w:rPr>
          <w:rFonts w:ascii="Bookman Old Style" w:hAnsi="Bookman Old Style"/>
        </w:rPr>
      </w:pPr>
    </w:p>
    <w:p w:rsidR="00C435C3" w:rsidRPr="00C435C3" w:rsidRDefault="00C435C3" w:rsidP="00C20B75">
      <w:pPr>
        <w:ind w:left="219" w:right="51"/>
        <w:jc w:val="center"/>
        <w:rPr>
          <w:rFonts w:ascii="Bookman Old Style" w:hAnsi="Bookman Old Style"/>
          <w:b/>
        </w:rPr>
      </w:pPr>
      <w:r w:rsidRPr="00C435C3">
        <w:rPr>
          <w:rFonts w:ascii="Bookman Old Style" w:hAnsi="Bookman Old Style"/>
          <w:b/>
        </w:rPr>
        <w:t>LA COMISIÓN DE REGULACIÓN DE  ENERGÍA Y GAS</w:t>
      </w:r>
    </w:p>
    <w:p w:rsidR="00C435C3" w:rsidRPr="00C435C3" w:rsidRDefault="00C435C3" w:rsidP="00C20B75">
      <w:pPr>
        <w:ind w:left="0" w:right="51"/>
        <w:rPr>
          <w:rFonts w:ascii="Bookman Old Style" w:hAnsi="Bookman Old Style"/>
        </w:rPr>
      </w:pPr>
    </w:p>
    <w:p w:rsidR="00C435C3" w:rsidRPr="00C435C3" w:rsidRDefault="00C435C3" w:rsidP="00C20B75">
      <w:pPr>
        <w:ind w:left="0" w:right="51"/>
        <w:rPr>
          <w:rFonts w:ascii="Bookman Old Style" w:hAnsi="Bookman Old Style"/>
        </w:rPr>
      </w:pPr>
    </w:p>
    <w:p w:rsidR="00C435C3" w:rsidRPr="00C435C3" w:rsidRDefault="00C435C3" w:rsidP="00C20B75">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C435C3" w:rsidRDefault="00C435C3" w:rsidP="00C20B75">
      <w:pPr>
        <w:ind w:left="219" w:right="51"/>
        <w:rPr>
          <w:rFonts w:ascii="Bookman Old Style" w:hAnsi="Bookman Old Style"/>
        </w:rPr>
      </w:pPr>
    </w:p>
    <w:p w:rsidR="00C435C3" w:rsidRPr="00C435C3" w:rsidRDefault="00C435C3" w:rsidP="00C20B75">
      <w:pPr>
        <w:ind w:left="219" w:right="51"/>
        <w:rPr>
          <w:rFonts w:ascii="Bookman Old Style" w:hAnsi="Bookman Old Style"/>
        </w:rPr>
      </w:pPr>
    </w:p>
    <w:p w:rsidR="00C435C3" w:rsidRPr="00C435C3" w:rsidRDefault="00C435C3" w:rsidP="00C20B75">
      <w:pPr>
        <w:ind w:left="219" w:right="51"/>
        <w:jc w:val="center"/>
        <w:rPr>
          <w:rFonts w:ascii="Bookman Old Style" w:hAnsi="Bookman Old Style"/>
          <w:b/>
        </w:rPr>
      </w:pPr>
      <w:r w:rsidRPr="00C435C3">
        <w:rPr>
          <w:rFonts w:ascii="Bookman Old Style" w:hAnsi="Bookman Old Style"/>
          <w:b/>
        </w:rPr>
        <w:t>CONS</w:t>
      </w:r>
      <w:r w:rsidR="00585919">
        <w:rPr>
          <w:rFonts w:ascii="Bookman Old Style" w:hAnsi="Bookman Old Style"/>
          <w:b/>
        </w:rPr>
        <w:t>ID</w:t>
      </w:r>
      <w:r w:rsidRPr="00C435C3">
        <w:rPr>
          <w:rFonts w:ascii="Bookman Old Style" w:hAnsi="Bookman Old Style"/>
          <w:b/>
        </w:rPr>
        <w:t>ERANDO</w:t>
      </w:r>
      <w:r w:rsidR="00A62919">
        <w:rPr>
          <w:rFonts w:ascii="Bookman Old Style" w:hAnsi="Bookman Old Style"/>
          <w:b/>
        </w:rPr>
        <w:t xml:space="preserve">  QUE</w:t>
      </w:r>
      <w:r w:rsidRPr="00C435C3">
        <w:rPr>
          <w:rFonts w:ascii="Bookman Old Style" w:hAnsi="Bookman Old Style"/>
          <w:b/>
        </w:rPr>
        <w:t>:</w:t>
      </w:r>
    </w:p>
    <w:p w:rsidR="00C435C3" w:rsidRPr="00C435C3" w:rsidRDefault="00C435C3" w:rsidP="00C20B75">
      <w:pPr>
        <w:ind w:left="219" w:right="51"/>
        <w:jc w:val="center"/>
        <w:rPr>
          <w:rFonts w:ascii="Bookman Old Style" w:hAnsi="Bookman Old Style"/>
          <w:b/>
        </w:rPr>
      </w:pPr>
    </w:p>
    <w:p w:rsidR="005352A9" w:rsidRPr="00C435C3" w:rsidRDefault="005352A9" w:rsidP="00C20B75">
      <w:pPr>
        <w:ind w:left="219"/>
        <w:rPr>
          <w:rFonts w:ascii="Bookman Old Style" w:hAnsi="Bookman Old Style"/>
          <w:b/>
        </w:rPr>
      </w:pPr>
    </w:p>
    <w:p w:rsidR="008C5CCE" w:rsidRDefault="008C5CCE" w:rsidP="00C20B75">
      <w:pPr>
        <w:ind w:left="0"/>
        <w:jc w:val="both"/>
        <w:rPr>
          <w:rFonts w:ascii="Bookman Old Style" w:hAnsi="Bookman Old Style"/>
        </w:rPr>
      </w:pPr>
      <w:r>
        <w:rPr>
          <w:rFonts w:ascii="Bookman Old Style" w:hAnsi="Bookman Old Style"/>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8C5CCE" w:rsidRDefault="008C5CCE" w:rsidP="00C20B75">
      <w:pPr>
        <w:ind w:left="219"/>
        <w:jc w:val="both"/>
        <w:rPr>
          <w:rFonts w:ascii="Bookman Old Style" w:hAnsi="Bookman Old Style"/>
        </w:rPr>
      </w:pPr>
    </w:p>
    <w:p w:rsidR="008C5CCE" w:rsidRDefault="008C5CCE" w:rsidP="00C20B75">
      <w:pPr>
        <w:ind w:left="0"/>
        <w:jc w:val="both"/>
        <w:rPr>
          <w:rFonts w:ascii="Bookman Old Style" w:hAnsi="Bookman Old Style"/>
        </w:rPr>
      </w:pPr>
      <w:r>
        <w:rPr>
          <w:rFonts w:ascii="Bookman Old Style" w:hAnsi="Bookman Old Style"/>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rsidR="003C5E9A" w:rsidRDefault="003C5E9A" w:rsidP="00C20B75">
      <w:pPr>
        <w:ind w:left="0"/>
        <w:jc w:val="both"/>
        <w:rPr>
          <w:rFonts w:ascii="Bookman Old Style" w:hAnsi="Bookman Old Style"/>
        </w:rPr>
      </w:pPr>
    </w:p>
    <w:p w:rsidR="008C5CCE" w:rsidRDefault="008C5CCE" w:rsidP="00C20B75">
      <w:pPr>
        <w:ind w:left="0"/>
        <w:jc w:val="both"/>
        <w:rPr>
          <w:rFonts w:ascii="Bookman Old Style" w:hAnsi="Bookman Old Style"/>
        </w:rPr>
      </w:pPr>
      <w:r>
        <w:rPr>
          <w:rFonts w:ascii="Bookman Old Style" w:hAnsi="Bookman Old Style"/>
        </w:rPr>
        <w:t>Para el cumplimiento del objetivo señalado, la Ley 143 de 1994, artículo 23, le atribuyó a la Comisión de Regulación de Energía y Gas, entre otras, las siguientes funciones:</w:t>
      </w:r>
    </w:p>
    <w:p w:rsidR="008C5CCE" w:rsidRDefault="008C5CCE" w:rsidP="00C20B75">
      <w:pPr>
        <w:ind w:left="219"/>
        <w:jc w:val="both"/>
        <w:rPr>
          <w:rFonts w:ascii="Bookman Old Style" w:hAnsi="Bookman Old Style"/>
        </w:rPr>
      </w:pPr>
    </w:p>
    <w:p w:rsidR="008C5CCE" w:rsidRDefault="008C5CCE" w:rsidP="005352A9">
      <w:pPr>
        <w:numPr>
          <w:ilvl w:val="0"/>
          <w:numId w:val="16"/>
        </w:numPr>
        <w:tabs>
          <w:tab w:val="clear" w:pos="720"/>
          <w:tab w:val="num" w:pos="360"/>
        </w:tabs>
        <w:ind w:left="360" w:hanging="360"/>
        <w:jc w:val="both"/>
        <w:rPr>
          <w:rFonts w:ascii="Bookman Old Style" w:hAnsi="Bookman Old Style"/>
        </w:rPr>
      </w:pPr>
      <w:r>
        <w:rPr>
          <w:rFonts w:ascii="Bookman Old Style" w:hAnsi="Bookman Old Style"/>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rsidR="008C5CCE" w:rsidRDefault="008C5CCE" w:rsidP="005352A9">
      <w:pPr>
        <w:numPr>
          <w:ilvl w:val="0"/>
          <w:numId w:val="16"/>
        </w:numPr>
        <w:tabs>
          <w:tab w:val="clear" w:pos="720"/>
          <w:tab w:val="num" w:pos="372"/>
        </w:tabs>
        <w:ind w:left="372" w:hanging="360"/>
        <w:jc w:val="both"/>
        <w:rPr>
          <w:rFonts w:ascii="Bookman Old Style" w:hAnsi="Bookman Old Style"/>
        </w:rPr>
      </w:pPr>
      <w:r>
        <w:rPr>
          <w:rFonts w:ascii="Bookman Old Style" w:hAnsi="Bookman Old Style"/>
        </w:rPr>
        <w:t>Valorar la capacidad de generación de respaldo de la oferta eficiente;</w:t>
      </w:r>
    </w:p>
    <w:p w:rsidR="008C5CCE" w:rsidRDefault="008C5CCE" w:rsidP="005352A9">
      <w:pPr>
        <w:numPr>
          <w:ilvl w:val="0"/>
          <w:numId w:val="16"/>
        </w:numPr>
        <w:tabs>
          <w:tab w:val="clear" w:pos="720"/>
          <w:tab w:val="num" w:pos="372"/>
        </w:tabs>
        <w:ind w:left="372" w:hanging="360"/>
        <w:jc w:val="both"/>
        <w:rPr>
          <w:rFonts w:ascii="Bookman Old Style" w:hAnsi="Bookman Old Style"/>
        </w:rPr>
      </w:pPr>
      <w:r>
        <w:rPr>
          <w:rFonts w:ascii="Bookman Old Style" w:hAnsi="Bookman Old Style"/>
        </w:rPr>
        <w:t xml:space="preserve">Definir y hacer operativos los criterios técnicos de calidad, confiabilidad y seguridad del servicio de energía; </w:t>
      </w:r>
    </w:p>
    <w:p w:rsidR="008C5CCE" w:rsidRDefault="008C5CCE" w:rsidP="005352A9">
      <w:pPr>
        <w:numPr>
          <w:ilvl w:val="0"/>
          <w:numId w:val="16"/>
        </w:numPr>
        <w:tabs>
          <w:tab w:val="clear" w:pos="720"/>
          <w:tab w:val="num" w:pos="360"/>
        </w:tabs>
        <w:ind w:left="360" w:hanging="360"/>
        <w:jc w:val="both"/>
        <w:rPr>
          <w:rFonts w:ascii="Bookman Old Style" w:hAnsi="Bookman Old Style"/>
        </w:rPr>
      </w:pPr>
      <w:r>
        <w:rPr>
          <w:rFonts w:ascii="Bookman Old Style" w:hAnsi="Bookman Old Style"/>
        </w:rPr>
        <w:t>Establecer el Reglamento de Operación para realizar el planeamiento y la coordinación de la operación del Sistema Interconectado Nacional; y</w:t>
      </w:r>
    </w:p>
    <w:p w:rsidR="008C5CCE" w:rsidRDefault="008C5CCE" w:rsidP="00C20B75">
      <w:pPr>
        <w:ind w:left="219"/>
        <w:jc w:val="both"/>
        <w:rPr>
          <w:rFonts w:ascii="Bookman Old Style" w:hAnsi="Bookman Old Style"/>
        </w:rPr>
      </w:pPr>
    </w:p>
    <w:p w:rsidR="008C5CCE" w:rsidRDefault="008C5CCE" w:rsidP="00C20B75">
      <w:pPr>
        <w:ind w:left="0"/>
        <w:jc w:val="both"/>
        <w:rPr>
          <w:rFonts w:ascii="Bookman Old Style" w:hAnsi="Bookman Old Style"/>
        </w:rPr>
      </w:pPr>
      <w:r>
        <w:rPr>
          <w:rFonts w:ascii="Bookman Old Style" w:hAnsi="Bookman Old Style"/>
        </w:rPr>
        <w:t xml:space="preserve">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w:t>
      </w:r>
      <w:r>
        <w:rPr>
          <w:rFonts w:ascii="Bookman Old Style" w:hAnsi="Bookman Old Style"/>
        </w:rPr>
        <w:lastRenderedPageBreak/>
        <w:t xml:space="preserve">de posición dominante y buscar la liberación gradual de los mercados hacia la libre competencia; y establecer criterios para la fijación de compromisos de ventas garantizadas de energía y potencia entre las empresas eléctricas y entre éstas y los grandes usuarios; </w:t>
      </w:r>
    </w:p>
    <w:p w:rsidR="008C5CCE" w:rsidRDefault="008C5CCE" w:rsidP="00C20B75">
      <w:pPr>
        <w:ind w:left="219"/>
        <w:jc w:val="both"/>
        <w:rPr>
          <w:rFonts w:ascii="Bookman Old Style" w:hAnsi="Bookman Old Style"/>
        </w:rPr>
      </w:pPr>
    </w:p>
    <w:p w:rsidR="008C5CCE" w:rsidRDefault="008C5CCE" w:rsidP="00C20B75">
      <w:pPr>
        <w:ind w:left="0"/>
        <w:jc w:val="both"/>
        <w:rPr>
          <w:rFonts w:ascii="Bookman Old Style" w:hAnsi="Bookman Old Style"/>
        </w:rPr>
      </w:pPr>
      <w:r>
        <w:rPr>
          <w:rFonts w:ascii="Bookman Old Style" w:hAnsi="Bookman Old Style"/>
        </w:rPr>
        <w:t>La ley 142 de 1994, artículo 74, también le asignó a la Comisión de Regulación de Energía y Gas, la función de expedir el Reglamento de Operación para regular el funcionamiento del Mercado Mayorista de energía;</w:t>
      </w:r>
    </w:p>
    <w:p w:rsidR="008C5CCE" w:rsidRDefault="008C5CCE" w:rsidP="00C20B75">
      <w:pPr>
        <w:ind w:left="219"/>
        <w:jc w:val="both"/>
        <w:rPr>
          <w:rFonts w:ascii="Bookman Old Style" w:hAnsi="Bookman Old Style"/>
        </w:rPr>
      </w:pPr>
    </w:p>
    <w:p w:rsidR="008C5CCE" w:rsidRDefault="008C5CCE" w:rsidP="00C20B75">
      <w:pPr>
        <w:ind w:left="0"/>
        <w:jc w:val="both"/>
        <w:rPr>
          <w:rFonts w:ascii="Bookman Old Style" w:hAnsi="Bookman Old Style"/>
        </w:rPr>
      </w:pPr>
      <w:r>
        <w:rPr>
          <w:rFonts w:ascii="Bookman Old Style" w:hAnsi="Bookman Old Style"/>
        </w:rPr>
        <w:t>La Comisión de Regulación de Energía y Gas, en desarrollo de los objetivos y funciones señalados, mediante la Resolución CREG-0</w:t>
      </w:r>
      <w:r w:rsidR="002318DC">
        <w:rPr>
          <w:rFonts w:ascii="Bookman Old Style" w:hAnsi="Bookman Old Style"/>
        </w:rPr>
        <w:t xml:space="preserve">25 </w:t>
      </w:r>
      <w:r>
        <w:rPr>
          <w:rFonts w:ascii="Bookman Old Style" w:hAnsi="Bookman Old Style"/>
        </w:rPr>
        <w:t xml:space="preserve">de </w:t>
      </w:r>
      <w:r w:rsidR="002318DC">
        <w:rPr>
          <w:rFonts w:ascii="Bookman Old Style" w:hAnsi="Bookman Old Style"/>
        </w:rPr>
        <w:t>1994</w:t>
      </w:r>
      <w:r>
        <w:rPr>
          <w:rFonts w:ascii="Bookman Old Style" w:hAnsi="Bookman Old Style"/>
        </w:rPr>
        <w:t xml:space="preserve">, adoptó </w:t>
      </w:r>
      <w:r w:rsidR="002318DC">
        <w:rPr>
          <w:rFonts w:ascii="Bookman Old Style" w:hAnsi="Bookman Old Style"/>
        </w:rPr>
        <w:t>el Código de Redes, como parte del Reglamento del Sistema Interconectado Nacional</w:t>
      </w:r>
      <w:r>
        <w:rPr>
          <w:rFonts w:ascii="Bookman Old Style" w:hAnsi="Bookman Old Style"/>
        </w:rPr>
        <w:t>.</w:t>
      </w:r>
    </w:p>
    <w:p w:rsidR="008C5CCE" w:rsidRDefault="008C5CCE" w:rsidP="00C20B75">
      <w:pPr>
        <w:ind w:left="0"/>
        <w:jc w:val="both"/>
        <w:rPr>
          <w:rFonts w:ascii="Bookman Old Style" w:hAnsi="Bookman Old Style"/>
        </w:rPr>
      </w:pPr>
    </w:p>
    <w:p w:rsidR="002318DC" w:rsidRDefault="002318DC" w:rsidP="00C20B75">
      <w:pPr>
        <w:ind w:left="0"/>
        <w:jc w:val="both"/>
        <w:rPr>
          <w:rFonts w:ascii="Bookman Old Style" w:hAnsi="Bookman Old Style"/>
        </w:rPr>
      </w:pPr>
      <w:r>
        <w:rPr>
          <w:rFonts w:ascii="Bookman Old Style" w:hAnsi="Bookman Old Style"/>
        </w:rPr>
        <w:t>La Comisión de Regulación de Energía y Gas, en desarrollo de los objetivos y funciones señalados, mediante la Resolución CREG-024 de 1994, adoptó la reglamentación de los aspectos comerciales del mercado mayorista de energía en el sistema interconectado nacional, los cuales hacen parte del Reglamento de Operación, en donde entre otros temas, se definieron las auditorías al Administrador del Sistema de Intercambios Comerciales, SIC.</w:t>
      </w:r>
    </w:p>
    <w:p w:rsidR="002318DC" w:rsidRDefault="002318DC" w:rsidP="00C20B75">
      <w:pPr>
        <w:ind w:left="0"/>
        <w:jc w:val="both"/>
        <w:rPr>
          <w:rFonts w:ascii="Bookman Old Style" w:hAnsi="Bookman Old Style"/>
        </w:rPr>
      </w:pPr>
    </w:p>
    <w:p w:rsidR="002318DC" w:rsidRDefault="002318DC" w:rsidP="00C20B75">
      <w:pPr>
        <w:ind w:left="0"/>
        <w:jc w:val="both"/>
        <w:rPr>
          <w:rFonts w:ascii="Bookman Old Style" w:hAnsi="Bookman Old Style"/>
        </w:rPr>
      </w:pPr>
      <w:r>
        <w:rPr>
          <w:rFonts w:ascii="Bookman Old Style" w:hAnsi="Bookman Old Style"/>
        </w:rPr>
        <w:t xml:space="preserve">La Comisión de Regulación de Energía y Gas expidió la Resolución 014 de 2004 mediante la cual se establecen normas sobre las Transacciones Internaciones de Energía de Corto Plazo y se define la auditoría </w:t>
      </w:r>
      <w:r w:rsidR="00D72635">
        <w:rPr>
          <w:rFonts w:ascii="Bookman Old Style" w:hAnsi="Bookman Old Style"/>
        </w:rPr>
        <w:t>al Administrador del SIC y CND para evaluar la aplicación de la regulación a este tipo de transacciones.</w:t>
      </w:r>
    </w:p>
    <w:p w:rsidR="00D72635" w:rsidRDefault="00D72635" w:rsidP="00C20B75">
      <w:pPr>
        <w:ind w:left="0"/>
        <w:jc w:val="both"/>
        <w:rPr>
          <w:rFonts w:ascii="Bookman Old Style" w:hAnsi="Bookman Old Style"/>
        </w:rPr>
      </w:pPr>
    </w:p>
    <w:p w:rsidR="00D72635" w:rsidRDefault="00D72635" w:rsidP="00C20B75">
      <w:pPr>
        <w:ind w:left="0"/>
        <w:jc w:val="both"/>
        <w:rPr>
          <w:rFonts w:ascii="Bookman Old Style" w:hAnsi="Bookman Old Style"/>
        </w:rPr>
      </w:pPr>
      <w:r>
        <w:rPr>
          <w:rFonts w:ascii="Bookman Old Style" w:hAnsi="Bookman Old Style"/>
        </w:rPr>
        <w:t xml:space="preserve">La Comisión de Regulación de Energía y Gas encuentra que dado que las decisiones de operación tienen implicaciones sobre los agentes, encuentra conveniente que además de los procesos comerciales, se auditen los procesos operativos con cierta periodicidad para dar confianza </w:t>
      </w:r>
      <w:r w:rsidR="00834D16">
        <w:rPr>
          <w:rFonts w:ascii="Bookman Old Style" w:hAnsi="Bookman Old Style"/>
        </w:rPr>
        <w:t xml:space="preserve">y tranquilidad </w:t>
      </w:r>
      <w:r>
        <w:rPr>
          <w:rFonts w:ascii="Bookman Old Style" w:hAnsi="Bookman Old Style"/>
        </w:rPr>
        <w:t xml:space="preserve">a quienes participan en el </w:t>
      </w:r>
      <w:r w:rsidR="00EE02BA">
        <w:rPr>
          <w:rFonts w:ascii="Bookman Old Style" w:hAnsi="Bookman Old Style"/>
        </w:rPr>
        <w:t>M</w:t>
      </w:r>
      <w:r>
        <w:rPr>
          <w:rFonts w:ascii="Bookman Old Style" w:hAnsi="Bookman Old Style"/>
        </w:rPr>
        <w:t xml:space="preserve">ercado </w:t>
      </w:r>
      <w:r w:rsidR="00EE02BA">
        <w:rPr>
          <w:rFonts w:ascii="Bookman Old Style" w:hAnsi="Bookman Old Style"/>
        </w:rPr>
        <w:t>de Energía Ma</w:t>
      </w:r>
      <w:r>
        <w:rPr>
          <w:rFonts w:ascii="Bookman Old Style" w:hAnsi="Bookman Old Style"/>
        </w:rPr>
        <w:t>yorista.</w:t>
      </w:r>
    </w:p>
    <w:p w:rsidR="00B1649C" w:rsidRDefault="00B1649C" w:rsidP="00C20B75">
      <w:pPr>
        <w:ind w:left="0"/>
        <w:jc w:val="both"/>
        <w:rPr>
          <w:rFonts w:ascii="Bookman Old Style" w:hAnsi="Bookman Old Style"/>
        </w:rPr>
      </w:pPr>
    </w:p>
    <w:p w:rsidR="00DE1924" w:rsidRDefault="00DE1924" w:rsidP="00C20B75">
      <w:pPr>
        <w:ind w:left="0"/>
        <w:jc w:val="both"/>
        <w:rPr>
          <w:rFonts w:ascii="Bookman Old Style" w:hAnsi="Bookman Old Style"/>
        </w:rPr>
      </w:pPr>
      <w:r>
        <w:rPr>
          <w:rFonts w:ascii="Bookman Old Style" w:hAnsi="Bookman Old Style"/>
        </w:rPr>
        <w:t xml:space="preserve">Los análisis </w:t>
      </w:r>
      <w:r w:rsidR="00D72635">
        <w:rPr>
          <w:rFonts w:ascii="Bookman Old Style" w:hAnsi="Bookman Old Style"/>
        </w:rPr>
        <w:t xml:space="preserve">sobre las </w:t>
      </w:r>
      <w:r w:rsidR="00834D16">
        <w:rPr>
          <w:rFonts w:ascii="Bookman Old Style" w:hAnsi="Bookman Old Style"/>
        </w:rPr>
        <w:t>auditorías</w:t>
      </w:r>
      <w:r w:rsidR="00D72635">
        <w:rPr>
          <w:rFonts w:ascii="Bookman Old Style" w:hAnsi="Bookman Old Style"/>
        </w:rPr>
        <w:t xml:space="preserve"> al CND</w:t>
      </w:r>
      <w:r w:rsidR="009A3AC8">
        <w:rPr>
          <w:rFonts w:ascii="Bookman Old Style" w:hAnsi="Bookman Old Style"/>
        </w:rPr>
        <w:t xml:space="preserve"> se presentan </w:t>
      </w:r>
      <w:r>
        <w:rPr>
          <w:rFonts w:ascii="Bookman Old Style" w:hAnsi="Bookman Old Style"/>
        </w:rPr>
        <w:t>en el Documento CREG-</w:t>
      </w:r>
      <w:r w:rsidR="00585919">
        <w:rPr>
          <w:rFonts w:ascii="Bookman Old Style" w:hAnsi="Bookman Old Style"/>
        </w:rPr>
        <w:t>108</w:t>
      </w:r>
      <w:r>
        <w:rPr>
          <w:rFonts w:ascii="Bookman Old Style" w:hAnsi="Bookman Old Style"/>
        </w:rPr>
        <w:t xml:space="preserve"> del </w:t>
      </w:r>
      <w:r w:rsidR="00585919">
        <w:rPr>
          <w:rFonts w:ascii="Bookman Old Style" w:hAnsi="Bookman Old Style"/>
        </w:rPr>
        <w:t>16</w:t>
      </w:r>
      <w:r>
        <w:rPr>
          <w:rFonts w:ascii="Bookman Old Style" w:hAnsi="Bookman Old Style"/>
        </w:rPr>
        <w:t xml:space="preserve"> de </w:t>
      </w:r>
      <w:r w:rsidR="009A3AC8">
        <w:rPr>
          <w:rFonts w:ascii="Bookman Old Style" w:hAnsi="Bookman Old Style"/>
        </w:rPr>
        <w:t xml:space="preserve">septiembre </w:t>
      </w:r>
      <w:r>
        <w:rPr>
          <w:rFonts w:ascii="Bookman Old Style" w:hAnsi="Bookman Old Style"/>
        </w:rPr>
        <w:t>de 2011.</w:t>
      </w:r>
    </w:p>
    <w:p w:rsidR="00C435C3" w:rsidRDefault="00C435C3" w:rsidP="00C20B75">
      <w:pPr>
        <w:ind w:left="0"/>
        <w:rPr>
          <w:rFonts w:ascii="Bookman Old Style" w:hAnsi="Bookman Old Style"/>
        </w:rPr>
      </w:pPr>
    </w:p>
    <w:p w:rsidR="00C435C3" w:rsidRPr="00C435C3" w:rsidRDefault="00C435C3" w:rsidP="00C20B75">
      <w:pPr>
        <w:ind w:left="0"/>
        <w:jc w:val="both"/>
        <w:rPr>
          <w:rFonts w:ascii="Bookman Old Style" w:hAnsi="Bookman Old Style"/>
        </w:rPr>
      </w:pPr>
    </w:p>
    <w:p w:rsidR="00C435C3" w:rsidRPr="00C435C3" w:rsidRDefault="00C435C3" w:rsidP="00C20B75">
      <w:pPr>
        <w:suppressAutoHyphens/>
        <w:ind w:left="219"/>
        <w:jc w:val="center"/>
        <w:rPr>
          <w:rFonts w:ascii="Bookman Old Style" w:hAnsi="Bookman Old Style"/>
          <w:spacing w:val="-3"/>
        </w:rPr>
      </w:pPr>
      <w:r w:rsidRPr="00C435C3">
        <w:rPr>
          <w:rFonts w:ascii="Bookman Old Style" w:hAnsi="Bookman Old Style"/>
          <w:b/>
          <w:spacing w:val="-3"/>
        </w:rPr>
        <w:t>R E S U E L V E:</w:t>
      </w:r>
    </w:p>
    <w:p w:rsidR="00C435C3" w:rsidRDefault="00C435C3" w:rsidP="00C20B75">
      <w:pPr>
        <w:ind w:left="219"/>
        <w:jc w:val="center"/>
        <w:rPr>
          <w:rFonts w:ascii="Bookman Old Style" w:hAnsi="Bookman Old Style"/>
        </w:rPr>
      </w:pPr>
    </w:p>
    <w:p w:rsidR="00C435C3" w:rsidRDefault="002A782A" w:rsidP="00C20B75">
      <w:pPr>
        <w:ind w:left="0"/>
        <w:jc w:val="both"/>
        <w:rPr>
          <w:rFonts w:ascii="Bookman Old Style" w:hAnsi="Bookman Old Style"/>
        </w:rPr>
      </w:pPr>
      <w:r w:rsidRPr="002A782A">
        <w:rPr>
          <w:rFonts w:ascii="Bookman Old Style" w:hAnsi="Bookman Old Style"/>
          <w:b/>
        </w:rPr>
        <w:t>A</w:t>
      </w:r>
      <w:r w:rsidR="00585919" w:rsidRPr="002A782A">
        <w:rPr>
          <w:rFonts w:ascii="Bookman Old Style" w:hAnsi="Bookman Old Style"/>
          <w:b/>
        </w:rPr>
        <w:t>RTÍCULO</w:t>
      </w:r>
      <w:r w:rsidRPr="002A782A">
        <w:rPr>
          <w:rFonts w:ascii="Bookman Old Style" w:hAnsi="Bookman Old Style"/>
          <w:b/>
        </w:rPr>
        <w:t xml:space="preserve"> 1. </w:t>
      </w:r>
      <w:r w:rsidR="00C03414">
        <w:rPr>
          <w:rFonts w:ascii="Bookman Old Style" w:hAnsi="Bookman Old Style"/>
          <w:b/>
        </w:rPr>
        <w:t xml:space="preserve">Auditorías al Centro Nacional de Despacho, CND. </w:t>
      </w:r>
      <w:r w:rsidR="00C03414">
        <w:rPr>
          <w:rFonts w:ascii="Bookman Old Style" w:hAnsi="Bookman Old Style"/>
        </w:rPr>
        <w:t xml:space="preserve">Se deberán realizar auditorías al Centro Nacional de Despacho, CND, o quien haga sus veces para evaluar la aplicación de la regulación aplicable a los </w:t>
      </w:r>
      <w:r w:rsidR="00C20B75">
        <w:rPr>
          <w:rFonts w:ascii="Bookman Old Style" w:hAnsi="Bookman Old Style"/>
        </w:rPr>
        <w:t>aspectos operativos</w:t>
      </w:r>
      <w:r w:rsidR="006D7D8A">
        <w:rPr>
          <w:rFonts w:ascii="Bookman Old Style" w:hAnsi="Bookman Old Style"/>
        </w:rPr>
        <w:t xml:space="preserve"> </w:t>
      </w:r>
      <w:r w:rsidR="00241EA8">
        <w:rPr>
          <w:rFonts w:ascii="Bookman Old Style" w:hAnsi="Bookman Old Style"/>
        </w:rPr>
        <w:t>que</w:t>
      </w:r>
      <w:r w:rsidR="00C20B75">
        <w:rPr>
          <w:rFonts w:ascii="Bookman Old Style" w:hAnsi="Bookman Old Style"/>
        </w:rPr>
        <w:t xml:space="preserve"> deberá tener como mínimo el siguiente alcance:</w:t>
      </w:r>
    </w:p>
    <w:p w:rsidR="00C20B75" w:rsidRDefault="00C20B75" w:rsidP="00C20B75">
      <w:pPr>
        <w:ind w:left="0"/>
        <w:jc w:val="both"/>
        <w:rPr>
          <w:rFonts w:ascii="Bookman Old Style" w:hAnsi="Bookman Old Style"/>
        </w:rPr>
      </w:pPr>
    </w:p>
    <w:p w:rsidR="00C20B75" w:rsidRDefault="00164729" w:rsidP="00182510">
      <w:pPr>
        <w:pStyle w:val="Prrafodelista"/>
        <w:numPr>
          <w:ilvl w:val="0"/>
          <w:numId w:val="21"/>
        </w:numPr>
        <w:jc w:val="both"/>
        <w:rPr>
          <w:rFonts w:ascii="Bookman Old Style" w:hAnsi="Bookman Old Style"/>
          <w:sz w:val="24"/>
        </w:rPr>
      </w:pPr>
      <w:r>
        <w:rPr>
          <w:rFonts w:ascii="Bookman Old Style" w:hAnsi="Bookman Old Style"/>
          <w:sz w:val="24"/>
        </w:rPr>
        <w:t>Auditar la correcta aplicación de los criterios y procedimientos establecidos en la regulación y acuerdos vigentes</w:t>
      </w:r>
      <w:r w:rsidR="00C20B75">
        <w:rPr>
          <w:rFonts w:ascii="Bookman Old Style" w:hAnsi="Bookman Old Style"/>
          <w:sz w:val="24"/>
        </w:rPr>
        <w:t>.</w:t>
      </w:r>
    </w:p>
    <w:p w:rsidR="00C20B75" w:rsidRPr="00C20B75" w:rsidRDefault="00C20B75" w:rsidP="00C20B75">
      <w:pPr>
        <w:tabs>
          <w:tab w:val="num" w:pos="-696"/>
        </w:tabs>
        <w:ind w:left="0"/>
        <w:jc w:val="both"/>
        <w:rPr>
          <w:rFonts w:ascii="Bookman Old Style" w:hAnsi="Bookman Old Style"/>
        </w:rPr>
      </w:pPr>
    </w:p>
    <w:p w:rsidR="00C20B75" w:rsidRDefault="00C20B75" w:rsidP="00182510">
      <w:pPr>
        <w:pStyle w:val="Prrafodelista"/>
        <w:numPr>
          <w:ilvl w:val="0"/>
          <w:numId w:val="21"/>
        </w:numPr>
        <w:jc w:val="both"/>
        <w:rPr>
          <w:rFonts w:ascii="Bookman Old Style" w:hAnsi="Bookman Old Style"/>
          <w:sz w:val="24"/>
        </w:rPr>
      </w:pPr>
      <w:r>
        <w:rPr>
          <w:rFonts w:ascii="Bookman Old Style" w:hAnsi="Bookman Old Style"/>
          <w:sz w:val="24"/>
        </w:rPr>
        <w:t>Auditar los procesos</w:t>
      </w:r>
      <w:r w:rsidR="00164729">
        <w:rPr>
          <w:rFonts w:ascii="Bookman Old Style" w:hAnsi="Bookman Old Style"/>
          <w:sz w:val="24"/>
        </w:rPr>
        <w:t xml:space="preserve"> y/o sistemas</w:t>
      </w:r>
      <w:r>
        <w:rPr>
          <w:rFonts w:ascii="Bookman Old Style" w:hAnsi="Bookman Old Style"/>
          <w:sz w:val="24"/>
        </w:rPr>
        <w:t xml:space="preserve"> de: i) planeamiento operativo, ii) despacho económico diario, iii) </w:t>
      </w:r>
      <w:proofErr w:type="spellStart"/>
      <w:r>
        <w:rPr>
          <w:rFonts w:ascii="Bookman Old Style" w:hAnsi="Bookman Old Style"/>
          <w:sz w:val="24"/>
        </w:rPr>
        <w:t>redespacho</w:t>
      </w:r>
      <w:proofErr w:type="spellEnd"/>
      <w:r>
        <w:rPr>
          <w:rFonts w:ascii="Bookman Old Style" w:hAnsi="Bookman Old Style"/>
          <w:sz w:val="24"/>
        </w:rPr>
        <w:t xml:space="preserve">, iv) coordinación, supervisión y control, v) suministro de información y vi) pruebas y verificación de parámetros. </w:t>
      </w:r>
    </w:p>
    <w:p w:rsidR="00C20B75" w:rsidRPr="00C20B75" w:rsidRDefault="00C20B75" w:rsidP="00C20B75">
      <w:pPr>
        <w:pStyle w:val="Prrafodelista"/>
        <w:rPr>
          <w:rFonts w:ascii="Bookman Old Style" w:hAnsi="Bookman Old Style"/>
          <w:sz w:val="24"/>
        </w:rPr>
      </w:pPr>
    </w:p>
    <w:p w:rsidR="00C20B75" w:rsidRDefault="00C20B75" w:rsidP="00182510">
      <w:pPr>
        <w:pStyle w:val="Prrafodelista"/>
        <w:numPr>
          <w:ilvl w:val="0"/>
          <w:numId w:val="21"/>
        </w:numPr>
        <w:jc w:val="both"/>
        <w:rPr>
          <w:rFonts w:ascii="Bookman Old Style" w:hAnsi="Bookman Old Style"/>
          <w:sz w:val="24"/>
        </w:rPr>
      </w:pPr>
      <w:r>
        <w:rPr>
          <w:rFonts w:ascii="Bookman Old Style" w:hAnsi="Bookman Old Style"/>
          <w:sz w:val="24"/>
        </w:rPr>
        <w:t>Probar y verificar la precisión de los cambios en el software del CND.</w:t>
      </w:r>
    </w:p>
    <w:p w:rsidR="006D7D8A" w:rsidRPr="00C20B75" w:rsidRDefault="006D7D8A" w:rsidP="00182510">
      <w:pPr>
        <w:pStyle w:val="Prrafodelista"/>
        <w:numPr>
          <w:ilvl w:val="0"/>
          <w:numId w:val="21"/>
        </w:numPr>
        <w:jc w:val="both"/>
        <w:rPr>
          <w:rFonts w:ascii="Bookman Old Style" w:hAnsi="Bookman Old Style"/>
          <w:sz w:val="24"/>
        </w:rPr>
      </w:pPr>
      <w:r>
        <w:rPr>
          <w:rFonts w:ascii="Bookman Old Style" w:hAnsi="Bookman Old Style"/>
          <w:sz w:val="24"/>
        </w:rPr>
        <w:lastRenderedPageBreak/>
        <w:t>Auditar aquellos aspectos específicos solicitados por la CREG.</w:t>
      </w:r>
    </w:p>
    <w:p w:rsidR="001F56B0" w:rsidRDefault="001F56B0" w:rsidP="00580F3D">
      <w:pPr>
        <w:ind w:left="0"/>
        <w:jc w:val="both"/>
        <w:rPr>
          <w:rFonts w:ascii="Bookman Old Style" w:hAnsi="Bookman Old Style"/>
          <w:lang w:val="es-CO"/>
        </w:rPr>
      </w:pPr>
    </w:p>
    <w:p w:rsidR="006D7D8A" w:rsidRPr="00182510" w:rsidRDefault="006D7D8A" w:rsidP="00580F3D">
      <w:pPr>
        <w:ind w:left="0"/>
        <w:jc w:val="both"/>
        <w:rPr>
          <w:rFonts w:ascii="Bookman Old Style" w:hAnsi="Bookman Old Style"/>
          <w:sz w:val="16"/>
          <w:lang w:val="es-CO"/>
        </w:rPr>
      </w:pPr>
    </w:p>
    <w:p w:rsidR="007A2634" w:rsidRDefault="007A2634" w:rsidP="007A2634">
      <w:pPr>
        <w:ind w:left="0"/>
        <w:jc w:val="both"/>
        <w:rPr>
          <w:rFonts w:ascii="Bookman Old Style" w:hAnsi="Bookman Old Style"/>
        </w:rPr>
      </w:pPr>
      <w:r w:rsidRPr="002A782A">
        <w:rPr>
          <w:rFonts w:ascii="Bookman Old Style" w:hAnsi="Bookman Old Style"/>
          <w:b/>
        </w:rPr>
        <w:t>A</w:t>
      </w:r>
      <w:r w:rsidR="00585919" w:rsidRPr="002A782A">
        <w:rPr>
          <w:rFonts w:ascii="Bookman Old Style" w:hAnsi="Bookman Old Style"/>
          <w:b/>
        </w:rPr>
        <w:t>RTÍCULO</w:t>
      </w:r>
      <w:r w:rsidRPr="002A782A">
        <w:rPr>
          <w:rFonts w:ascii="Bookman Old Style" w:hAnsi="Bookman Old Style"/>
          <w:b/>
        </w:rPr>
        <w:t xml:space="preserve"> </w:t>
      </w:r>
      <w:r>
        <w:rPr>
          <w:rFonts w:ascii="Bookman Old Style" w:hAnsi="Bookman Old Style"/>
          <w:b/>
        </w:rPr>
        <w:t>2</w:t>
      </w:r>
      <w:r w:rsidRPr="002A782A">
        <w:rPr>
          <w:rFonts w:ascii="Bookman Old Style" w:hAnsi="Bookman Old Style"/>
          <w:b/>
        </w:rPr>
        <w:t xml:space="preserve">. </w:t>
      </w:r>
      <w:r w:rsidR="00123927">
        <w:rPr>
          <w:rFonts w:ascii="Bookman Old Style" w:hAnsi="Bookman Old Style"/>
          <w:b/>
        </w:rPr>
        <w:t xml:space="preserve">Requisitos </w:t>
      </w:r>
      <w:r w:rsidR="006D7D8A">
        <w:rPr>
          <w:rFonts w:ascii="Bookman Old Style" w:hAnsi="Bookman Old Style"/>
          <w:b/>
        </w:rPr>
        <w:t>de las Auditorías al CND</w:t>
      </w:r>
      <w:r w:rsidR="009B0BBA">
        <w:rPr>
          <w:rFonts w:ascii="Bookman Old Style" w:hAnsi="Bookman Old Style"/>
          <w:b/>
        </w:rPr>
        <w:t xml:space="preserve">. </w:t>
      </w:r>
      <w:r w:rsidR="00123927">
        <w:rPr>
          <w:rFonts w:ascii="Bookman Old Style" w:hAnsi="Bookman Old Style"/>
        </w:rPr>
        <w:t>Las auditorías de que trata el artículo primero de esta resolución deberán cumplir los siguientes requisitos</w:t>
      </w:r>
      <w:r w:rsidR="006D7D8A">
        <w:rPr>
          <w:rFonts w:ascii="Bookman Old Style" w:hAnsi="Bookman Old Style"/>
        </w:rPr>
        <w:t>:</w:t>
      </w:r>
    </w:p>
    <w:p w:rsidR="006D7D8A" w:rsidRDefault="006D7D8A" w:rsidP="007A2634">
      <w:pPr>
        <w:ind w:left="0"/>
        <w:jc w:val="both"/>
        <w:rPr>
          <w:rFonts w:ascii="Bookman Old Style" w:hAnsi="Bookman Old Style"/>
        </w:rPr>
      </w:pPr>
    </w:p>
    <w:p w:rsidR="006D7D8A" w:rsidRDefault="006D7D8A" w:rsidP="00182510">
      <w:pPr>
        <w:pStyle w:val="Prrafodelista"/>
        <w:numPr>
          <w:ilvl w:val="0"/>
          <w:numId w:val="22"/>
        </w:numPr>
        <w:jc w:val="both"/>
        <w:rPr>
          <w:rFonts w:ascii="Bookman Old Style" w:hAnsi="Bookman Old Style"/>
          <w:sz w:val="24"/>
        </w:rPr>
      </w:pPr>
      <w:r>
        <w:rPr>
          <w:rFonts w:ascii="Bookman Old Style" w:hAnsi="Bookman Old Style"/>
          <w:sz w:val="24"/>
        </w:rPr>
        <w:t xml:space="preserve">Se deberán realizar por lo menos </w:t>
      </w:r>
      <w:r w:rsidR="00FC4FB7">
        <w:rPr>
          <w:rFonts w:ascii="Bookman Old Style" w:hAnsi="Bookman Old Style"/>
          <w:sz w:val="24"/>
        </w:rPr>
        <w:t xml:space="preserve">cada dos </w:t>
      </w:r>
      <w:r>
        <w:rPr>
          <w:rFonts w:ascii="Bookman Old Style" w:hAnsi="Bookman Old Style"/>
          <w:sz w:val="24"/>
        </w:rPr>
        <w:t>año</w:t>
      </w:r>
      <w:r w:rsidR="00FC4FB7">
        <w:rPr>
          <w:rFonts w:ascii="Bookman Old Style" w:hAnsi="Bookman Old Style"/>
          <w:sz w:val="24"/>
        </w:rPr>
        <w:t>s</w:t>
      </w:r>
      <w:r>
        <w:rPr>
          <w:rFonts w:ascii="Bookman Old Style" w:hAnsi="Bookman Old Style"/>
          <w:sz w:val="24"/>
        </w:rPr>
        <w:t>.</w:t>
      </w:r>
    </w:p>
    <w:p w:rsidR="006D7D8A" w:rsidRPr="006D7D8A" w:rsidRDefault="006D7D8A" w:rsidP="006D7D8A">
      <w:pPr>
        <w:tabs>
          <w:tab w:val="num" w:pos="12"/>
        </w:tabs>
        <w:ind w:left="0"/>
        <w:jc w:val="both"/>
        <w:rPr>
          <w:rFonts w:ascii="Bookman Old Style" w:hAnsi="Bookman Old Style"/>
        </w:rPr>
      </w:pPr>
    </w:p>
    <w:p w:rsidR="006D7D8A" w:rsidRDefault="006D7D8A" w:rsidP="00182510">
      <w:pPr>
        <w:pStyle w:val="Prrafodelista"/>
        <w:numPr>
          <w:ilvl w:val="0"/>
          <w:numId w:val="22"/>
        </w:numPr>
        <w:jc w:val="both"/>
        <w:rPr>
          <w:rFonts w:ascii="Bookman Old Style" w:hAnsi="Bookman Old Style"/>
          <w:sz w:val="24"/>
        </w:rPr>
      </w:pPr>
      <w:r>
        <w:rPr>
          <w:rFonts w:ascii="Bookman Old Style" w:hAnsi="Bookman Old Style"/>
          <w:sz w:val="24"/>
        </w:rPr>
        <w:t>El costo de las auditorías será parte de los ingresos regulados por concepto de los servicios prestados por el CND. Cualquier auditoría adicional que se requiera</w:t>
      </w:r>
      <w:r w:rsidR="007A3871">
        <w:rPr>
          <w:rFonts w:ascii="Bookman Old Style" w:hAnsi="Bookman Old Style"/>
          <w:sz w:val="24"/>
        </w:rPr>
        <w:t xml:space="preserve"> por un agente del mercado</w:t>
      </w:r>
      <w:r>
        <w:rPr>
          <w:rFonts w:ascii="Bookman Old Style" w:hAnsi="Bookman Old Style"/>
          <w:sz w:val="24"/>
        </w:rPr>
        <w:t>, deberá ser pagada por quien la solicite.</w:t>
      </w:r>
    </w:p>
    <w:p w:rsidR="006D7D8A" w:rsidRPr="006D7D8A" w:rsidRDefault="006D7D8A" w:rsidP="006D7D8A">
      <w:pPr>
        <w:pStyle w:val="Prrafodelista"/>
        <w:rPr>
          <w:rFonts w:ascii="Bookman Old Style" w:hAnsi="Bookman Old Style"/>
          <w:sz w:val="24"/>
        </w:rPr>
      </w:pPr>
    </w:p>
    <w:p w:rsidR="006D7D8A" w:rsidRDefault="006D7D8A" w:rsidP="00182510">
      <w:pPr>
        <w:pStyle w:val="Prrafodelista"/>
        <w:numPr>
          <w:ilvl w:val="0"/>
          <w:numId w:val="22"/>
        </w:numPr>
        <w:jc w:val="both"/>
        <w:rPr>
          <w:rFonts w:ascii="Bookman Old Style" w:hAnsi="Bookman Old Style"/>
          <w:sz w:val="24"/>
        </w:rPr>
      </w:pPr>
      <w:r>
        <w:rPr>
          <w:rFonts w:ascii="Bookman Old Style" w:hAnsi="Bookman Old Style"/>
          <w:sz w:val="24"/>
        </w:rPr>
        <w:t xml:space="preserve">El auditor </w:t>
      </w:r>
      <w:r w:rsidR="008A6947">
        <w:rPr>
          <w:rFonts w:ascii="Bookman Old Style" w:hAnsi="Bookman Old Style"/>
          <w:sz w:val="24"/>
        </w:rPr>
        <w:t>deberá ser seleccionado por el CND de la lista que elabore el Consejo Nacional de Operación, CNO, mediante un proceso competitivo.</w:t>
      </w:r>
    </w:p>
    <w:p w:rsidR="008A6947" w:rsidRPr="008A6947" w:rsidRDefault="008A6947" w:rsidP="008A6947">
      <w:pPr>
        <w:pStyle w:val="Prrafodelista"/>
        <w:rPr>
          <w:rFonts w:ascii="Bookman Old Style" w:hAnsi="Bookman Old Style"/>
          <w:sz w:val="24"/>
        </w:rPr>
      </w:pPr>
    </w:p>
    <w:p w:rsidR="008A6947" w:rsidRDefault="008A6947" w:rsidP="00182510">
      <w:pPr>
        <w:pStyle w:val="Prrafodelista"/>
        <w:numPr>
          <w:ilvl w:val="0"/>
          <w:numId w:val="22"/>
        </w:numPr>
        <w:jc w:val="both"/>
        <w:rPr>
          <w:rFonts w:ascii="Bookman Old Style" w:hAnsi="Bookman Old Style"/>
          <w:sz w:val="24"/>
        </w:rPr>
      </w:pPr>
      <w:r>
        <w:rPr>
          <w:rFonts w:ascii="Bookman Old Style" w:hAnsi="Bookman Old Style"/>
          <w:sz w:val="24"/>
        </w:rPr>
        <w:t>La firma de auditoría dispondrá de treinta (30) días calendario para validar el informe preliminar con el CND y de diez (10) días calendario, adicionales, para emitir el informe final.</w:t>
      </w:r>
    </w:p>
    <w:p w:rsidR="008A6947" w:rsidRPr="008A6947" w:rsidRDefault="008A6947" w:rsidP="008A6947">
      <w:pPr>
        <w:pStyle w:val="Prrafodelista"/>
        <w:rPr>
          <w:rFonts w:ascii="Bookman Old Style" w:hAnsi="Bookman Old Style"/>
          <w:sz w:val="24"/>
        </w:rPr>
      </w:pPr>
    </w:p>
    <w:p w:rsidR="008A6947" w:rsidRDefault="008A6947" w:rsidP="00182510">
      <w:pPr>
        <w:pStyle w:val="Prrafodelista"/>
        <w:numPr>
          <w:ilvl w:val="0"/>
          <w:numId w:val="22"/>
        </w:numPr>
        <w:jc w:val="both"/>
        <w:rPr>
          <w:rFonts w:ascii="Bookman Old Style" w:hAnsi="Bookman Old Style"/>
          <w:sz w:val="24"/>
        </w:rPr>
      </w:pPr>
      <w:r>
        <w:rPr>
          <w:rFonts w:ascii="Bookman Old Style" w:hAnsi="Bookman Old Style"/>
          <w:sz w:val="24"/>
        </w:rPr>
        <w:t>Los informes de auditoría deberán incluir el detalle de las pruebas realizadas y las recomendaciones del auditor.</w:t>
      </w:r>
      <w:r w:rsidR="00FC4FB7">
        <w:rPr>
          <w:rFonts w:ascii="Bookman Old Style" w:hAnsi="Bookman Old Style"/>
          <w:sz w:val="24"/>
        </w:rPr>
        <w:t xml:space="preserve"> Las pruebas que lleven a cabo deberán hacerse sobre los procesos del último </w:t>
      </w:r>
      <w:r w:rsidR="007A3871">
        <w:rPr>
          <w:rFonts w:ascii="Bookman Old Style" w:hAnsi="Bookman Old Style"/>
          <w:sz w:val="24"/>
        </w:rPr>
        <w:t>año</w:t>
      </w:r>
      <w:r w:rsidR="00FC4FB7">
        <w:rPr>
          <w:rFonts w:ascii="Bookman Old Style" w:hAnsi="Bookman Old Style"/>
          <w:sz w:val="24"/>
        </w:rPr>
        <w:t xml:space="preserve"> calendario</w:t>
      </w:r>
      <w:r w:rsidR="00164729">
        <w:rPr>
          <w:rFonts w:ascii="Bookman Old Style" w:hAnsi="Bookman Old Style"/>
          <w:sz w:val="24"/>
        </w:rPr>
        <w:t xml:space="preserve">. Si utiliza pruebas </w:t>
      </w:r>
      <w:proofErr w:type="spellStart"/>
      <w:r w:rsidR="00164729">
        <w:rPr>
          <w:rFonts w:ascii="Bookman Old Style" w:hAnsi="Bookman Old Style"/>
          <w:sz w:val="24"/>
        </w:rPr>
        <w:t>muestrales</w:t>
      </w:r>
      <w:proofErr w:type="spellEnd"/>
      <w:r w:rsidR="00164729">
        <w:rPr>
          <w:rFonts w:ascii="Bookman Old Style" w:hAnsi="Bookman Old Style"/>
          <w:sz w:val="24"/>
        </w:rPr>
        <w:t>, estás deben ser significativas estadísticamente</w:t>
      </w:r>
      <w:r w:rsidR="00FC4FB7">
        <w:rPr>
          <w:rFonts w:ascii="Bookman Old Style" w:hAnsi="Bookman Old Style"/>
          <w:sz w:val="24"/>
        </w:rPr>
        <w:t>.</w:t>
      </w:r>
    </w:p>
    <w:p w:rsidR="008A6947" w:rsidRPr="008A6947" w:rsidRDefault="008A6947" w:rsidP="008A6947">
      <w:pPr>
        <w:pStyle w:val="Prrafodelista"/>
        <w:rPr>
          <w:rFonts w:ascii="Bookman Old Style" w:hAnsi="Bookman Old Style"/>
          <w:sz w:val="24"/>
        </w:rPr>
      </w:pPr>
    </w:p>
    <w:p w:rsidR="008A6947" w:rsidRDefault="005352A9" w:rsidP="00182510">
      <w:pPr>
        <w:pStyle w:val="Prrafodelista"/>
        <w:numPr>
          <w:ilvl w:val="0"/>
          <w:numId w:val="22"/>
        </w:numPr>
        <w:jc w:val="both"/>
        <w:rPr>
          <w:rFonts w:ascii="Bookman Old Style" w:hAnsi="Bookman Old Style"/>
          <w:sz w:val="24"/>
        </w:rPr>
      </w:pPr>
      <w:r>
        <w:rPr>
          <w:rFonts w:ascii="Bookman Old Style" w:hAnsi="Bookman Old Style"/>
          <w:sz w:val="24"/>
        </w:rPr>
        <w:t xml:space="preserve">Copia del </w:t>
      </w:r>
      <w:r w:rsidR="008A6947">
        <w:rPr>
          <w:rFonts w:ascii="Bookman Old Style" w:hAnsi="Bookman Old Style"/>
          <w:sz w:val="24"/>
        </w:rPr>
        <w:t xml:space="preserve">informe final deberá ser </w:t>
      </w:r>
      <w:r>
        <w:rPr>
          <w:rFonts w:ascii="Bookman Old Style" w:hAnsi="Bookman Old Style"/>
          <w:sz w:val="24"/>
        </w:rPr>
        <w:t xml:space="preserve">entregada </w:t>
      </w:r>
      <w:r w:rsidR="008A6947">
        <w:rPr>
          <w:rFonts w:ascii="Bookman Old Style" w:hAnsi="Bookman Old Style"/>
          <w:sz w:val="24"/>
        </w:rPr>
        <w:t>a la CREG y CNO</w:t>
      </w:r>
      <w:r>
        <w:rPr>
          <w:rFonts w:ascii="Bookman Old Style" w:hAnsi="Bookman Old Style"/>
          <w:sz w:val="24"/>
        </w:rPr>
        <w:t>. Además deberá ser publicado para conocimiento de los agentes, terceros interesados.</w:t>
      </w:r>
    </w:p>
    <w:p w:rsidR="005352A9" w:rsidRPr="005352A9" w:rsidRDefault="005352A9" w:rsidP="005352A9">
      <w:pPr>
        <w:pStyle w:val="Prrafodelista"/>
        <w:rPr>
          <w:rFonts w:ascii="Bookman Old Style" w:hAnsi="Bookman Old Style"/>
          <w:sz w:val="24"/>
        </w:rPr>
      </w:pPr>
    </w:p>
    <w:p w:rsidR="005352A9" w:rsidRPr="006D7D8A" w:rsidRDefault="005352A9" w:rsidP="00182510">
      <w:pPr>
        <w:pStyle w:val="Prrafodelista"/>
        <w:numPr>
          <w:ilvl w:val="0"/>
          <w:numId w:val="22"/>
        </w:numPr>
        <w:jc w:val="both"/>
        <w:rPr>
          <w:rFonts w:ascii="Bookman Old Style" w:hAnsi="Bookman Old Style"/>
          <w:sz w:val="24"/>
        </w:rPr>
      </w:pPr>
      <w:r>
        <w:rPr>
          <w:rFonts w:ascii="Bookman Old Style" w:hAnsi="Bookman Old Style"/>
          <w:sz w:val="24"/>
        </w:rPr>
        <w:t xml:space="preserve">Todos los agentes que participen en el mercado mayorista, así como el Administrador del SIC y </w:t>
      </w:r>
      <w:r w:rsidR="00123927">
        <w:rPr>
          <w:rFonts w:ascii="Bookman Old Style" w:hAnsi="Bookman Old Style"/>
          <w:sz w:val="24"/>
        </w:rPr>
        <w:t xml:space="preserve">el </w:t>
      </w:r>
      <w:r>
        <w:rPr>
          <w:rFonts w:ascii="Bookman Old Style" w:hAnsi="Bookman Old Style"/>
          <w:sz w:val="24"/>
        </w:rPr>
        <w:t>CND deberán suministrar la información o permitir el acceso a ella, incluyendo, procesos, personas y sistemas de computación que sean necesarios para que el Auditor pueda cumplir con sus funciones.</w:t>
      </w:r>
    </w:p>
    <w:p w:rsidR="006E7876" w:rsidRPr="00182510" w:rsidRDefault="002B3B01" w:rsidP="00CD5EEC">
      <w:pPr>
        <w:ind w:left="0"/>
        <w:rPr>
          <w:rFonts w:ascii="Bookman Old Style" w:hAnsi="Bookman Old Style"/>
          <w:sz w:val="12"/>
        </w:rPr>
      </w:pPr>
      <w:r>
        <w:rPr>
          <w:rFonts w:ascii="Bookman Old Style" w:hAnsi="Bookman Old Style"/>
        </w:rPr>
        <w:t xml:space="preserve"> </w:t>
      </w:r>
    </w:p>
    <w:p w:rsidR="005352A9" w:rsidRDefault="005352A9" w:rsidP="00C435C3">
      <w:pPr>
        <w:rPr>
          <w:rFonts w:ascii="Bookman Old Style" w:hAnsi="Bookman Old Style"/>
        </w:rPr>
      </w:pPr>
    </w:p>
    <w:p w:rsidR="006E7876" w:rsidRDefault="009702C0" w:rsidP="009702C0">
      <w:pPr>
        <w:ind w:left="0"/>
        <w:jc w:val="both"/>
        <w:rPr>
          <w:rFonts w:ascii="Bookman Old Style" w:hAnsi="Bookman Old Style"/>
        </w:rPr>
      </w:pPr>
      <w:r w:rsidRPr="002A782A">
        <w:rPr>
          <w:rFonts w:ascii="Bookman Old Style" w:hAnsi="Bookman Old Style"/>
          <w:b/>
        </w:rPr>
        <w:t>A</w:t>
      </w:r>
      <w:r w:rsidR="00585919" w:rsidRPr="002A782A">
        <w:rPr>
          <w:rFonts w:ascii="Bookman Old Style" w:hAnsi="Bookman Old Style"/>
          <w:b/>
        </w:rPr>
        <w:t>RTÍCULO</w:t>
      </w:r>
      <w:r w:rsidRPr="002A782A">
        <w:rPr>
          <w:rFonts w:ascii="Bookman Old Style" w:hAnsi="Bookman Old Style"/>
          <w:b/>
        </w:rPr>
        <w:t xml:space="preserve"> </w:t>
      </w:r>
      <w:r w:rsidR="00A37BB7">
        <w:rPr>
          <w:rFonts w:ascii="Bookman Old Style" w:hAnsi="Bookman Old Style"/>
          <w:b/>
        </w:rPr>
        <w:t>3</w:t>
      </w:r>
      <w:r w:rsidRPr="002A782A">
        <w:rPr>
          <w:rFonts w:ascii="Bookman Old Style" w:hAnsi="Bookman Old Style"/>
          <w:b/>
        </w:rPr>
        <w:t xml:space="preserve">. </w:t>
      </w:r>
      <w:r>
        <w:rPr>
          <w:rFonts w:ascii="Bookman Old Style" w:hAnsi="Bookman Old Style"/>
          <w:b/>
        </w:rPr>
        <w:t xml:space="preserve">Vigencia. </w:t>
      </w:r>
      <w:r>
        <w:rPr>
          <w:rFonts w:ascii="Bookman Old Style" w:hAnsi="Bookman Old Style"/>
        </w:rPr>
        <w:t>Esta resolución rige a partir de su publicación en el Diario Oficial y deroga las normas que le sean contrarias.</w:t>
      </w:r>
    </w:p>
    <w:p w:rsidR="009702C0" w:rsidRPr="00497962" w:rsidRDefault="009702C0" w:rsidP="009702C0">
      <w:pPr>
        <w:ind w:left="0"/>
        <w:rPr>
          <w:rFonts w:ascii="Bookman Old Style" w:hAnsi="Bookman Old Style"/>
          <w:sz w:val="20"/>
        </w:rPr>
      </w:pPr>
    </w:p>
    <w:p w:rsidR="009702C0" w:rsidRPr="00C435C3" w:rsidRDefault="009702C0" w:rsidP="009702C0">
      <w:pPr>
        <w:ind w:left="0"/>
        <w:rPr>
          <w:rFonts w:ascii="Bookman Old Style" w:hAnsi="Bookman Old Style"/>
        </w:rPr>
      </w:pPr>
    </w:p>
    <w:p w:rsidR="00C435C3" w:rsidRPr="00C435C3" w:rsidRDefault="00C435C3" w:rsidP="00C435C3">
      <w:pPr>
        <w:jc w:val="center"/>
        <w:rPr>
          <w:rFonts w:ascii="Bookman Old Style" w:hAnsi="Bookman Old Style"/>
          <w:b/>
        </w:rPr>
      </w:pPr>
      <w:r w:rsidRPr="00C435C3">
        <w:rPr>
          <w:rFonts w:ascii="Bookman Old Style" w:hAnsi="Bookman Old Style"/>
          <w:b/>
        </w:rPr>
        <w:t>PULÍQUESE Y CÚMPLASE</w:t>
      </w:r>
    </w:p>
    <w:p w:rsidR="00C435C3" w:rsidRPr="00497962" w:rsidRDefault="00C435C3" w:rsidP="00C435C3">
      <w:pPr>
        <w:rPr>
          <w:rFonts w:ascii="Bookman Old Style" w:hAnsi="Bookman Old Style"/>
          <w:sz w:val="18"/>
        </w:rPr>
      </w:pPr>
    </w:p>
    <w:p w:rsidR="00C435C3" w:rsidRDefault="002F27B5" w:rsidP="00C435C3">
      <w:pPr>
        <w:ind w:left="0"/>
        <w:rPr>
          <w:rFonts w:ascii="Bookman Old Style" w:hAnsi="Bookman Old Style"/>
        </w:rPr>
      </w:pPr>
      <w:r>
        <w:rPr>
          <w:rFonts w:ascii="Bookman Old Style" w:hAnsi="Bookman Old Style"/>
        </w:rPr>
        <w:t>Firmas del proyecto</w:t>
      </w:r>
      <w:r w:rsidR="00896627">
        <w:rPr>
          <w:rFonts w:ascii="Bookman Old Style" w:hAnsi="Bookman Old Style"/>
        </w:rPr>
        <w:t>:</w:t>
      </w:r>
    </w:p>
    <w:p w:rsidR="00182510" w:rsidRDefault="00182510" w:rsidP="00C435C3">
      <w:pPr>
        <w:ind w:left="0"/>
        <w:rPr>
          <w:rFonts w:ascii="Bookman Old Style" w:hAnsi="Bookman Old Style"/>
        </w:rPr>
      </w:pPr>
    </w:p>
    <w:p w:rsidR="00182510" w:rsidRDefault="00182510" w:rsidP="00C435C3">
      <w:pPr>
        <w:ind w:left="0"/>
        <w:rPr>
          <w:rFonts w:ascii="Bookman Old Style" w:hAnsi="Bookman Old Style"/>
        </w:rPr>
      </w:pPr>
    </w:p>
    <w:p w:rsidR="00182510" w:rsidRDefault="00182510" w:rsidP="00C435C3">
      <w:pPr>
        <w:ind w:left="0"/>
        <w:rPr>
          <w:rFonts w:ascii="Bookman Old Style" w:hAnsi="Bookman Old Style"/>
        </w:rPr>
      </w:pPr>
    </w:p>
    <w:p w:rsidR="00182510" w:rsidRDefault="00182510" w:rsidP="00C435C3">
      <w:pPr>
        <w:ind w:left="0"/>
        <w:rPr>
          <w:rFonts w:ascii="Bookman Old Style" w:hAnsi="Bookman Old Style"/>
        </w:rPr>
      </w:pPr>
    </w:p>
    <w:tbl>
      <w:tblPr>
        <w:tblW w:w="0" w:type="auto"/>
        <w:jc w:val="center"/>
        <w:tblCellSpacing w:w="0" w:type="dxa"/>
        <w:tblCellMar>
          <w:left w:w="0" w:type="dxa"/>
          <w:right w:w="0" w:type="dxa"/>
        </w:tblCellMar>
        <w:tblLook w:val="04A0" w:firstRow="1" w:lastRow="0" w:firstColumn="1" w:lastColumn="0" w:noHBand="0" w:noVBand="1"/>
      </w:tblPr>
      <w:tblGrid>
        <w:gridCol w:w="4641"/>
        <w:gridCol w:w="4399"/>
      </w:tblGrid>
      <w:tr w:rsidR="00182510" w:rsidTr="00182510">
        <w:trPr>
          <w:trHeight w:val="258"/>
          <w:tblCellSpacing w:w="0" w:type="dxa"/>
          <w:jc w:val="center"/>
        </w:trPr>
        <w:tc>
          <w:tcPr>
            <w:tcW w:w="4641" w:type="dxa"/>
            <w:hideMark/>
          </w:tcPr>
          <w:p w:rsidR="00182510" w:rsidRDefault="00182510">
            <w:pPr>
              <w:ind w:left="-229"/>
              <w:jc w:val="center"/>
              <w:rPr>
                <w:rFonts w:ascii="Bookman Old Style" w:hAnsi="Bookman Old Style" w:cs="Arial"/>
                <w:color w:val="000000"/>
              </w:rPr>
            </w:pPr>
            <w:r>
              <w:rPr>
                <w:rFonts w:ascii="Bookman Old Style" w:hAnsi="Bookman Old Style" w:cs="Arial"/>
                <w:b/>
                <w:bCs/>
                <w:color w:val="000000"/>
              </w:rPr>
              <w:t xml:space="preserve">JORGE ALBERTO GARCÍA CALUME </w:t>
            </w:r>
          </w:p>
        </w:tc>
        <w:tc>
          <w:tcPr>
            <w:tcW w:w="4399" w:type="dxa"/>
            <w:hideMark/>
          </w:tcPr>
          <w:p w:rsidR="00182510" w:rsidRDefault="00182510">
            <w:pPr>
              <w:ind w:left="21"/>
              <w:jc w:val="center"/>
              <w:rPr>
                <w:rFonts w:ascii="Bookman Old Style" w:hAnsi="Bookman Old Style" w:cs="Arial"/>
                <w:color w:val="000000"/>
              </w:rPr>
            </w:pPr>
            <w:r>
              <w:rPr>
                <w:rFonts w:ascii="Bookman Old Style" w:hAnsi="Bookman Old Style" w:cs="Arial"/>
                <w:b/>
                <w:bCs/>
                <w:color w:val="000000"/>
              </w:rPr>
              <w:t>JAVIER AUGUSTO DÍAZ VELASCO</w:t>
            </w:r>
          </w:p>
        </w:tc>
      </w:tr>
      <w:tr w:rsidR="00182510" w:rsidTr="00182510">
        <w:trPr>
          <w:trHeight w:val="20"/>
          <w:tblCellSpacing w:w="0" w:type="dxa"/>
          <w:jc w:val="center"/>
        </w:trPr>
        <w:tc>
          <w:tcPr>
            <w:tcW w:w="4641" w:type="dxa"/>
            <w:hideMark/>
          </w:tcPr>
          <w:p w:rsidR="00182510" w:rsidRDefault="00182510">
            <w:pPr>
              <w:ind w:left="-87"/>
              <w:jc w:val="center"/>
              <w:rPr>
                <w:rFonts w:ascii="Bookman Old Style" w:hAnsi="Bookman Old Style" w:cs="Arial"/>
                <w:color w:val="000000"/>
              </w:rPr>
            </w:pPr>
            <w:r>
              <w:rPr>
                <w:rFonts w:ascii="Bookman Old Style" w:hAnsi="Bookman Old Style" w:cs="Arial"/>
                <w:color w:val="000000"/>
              </w:rPr>
              <w:t>Viceministro de Minas y Energía ( E )</w:t>
            </w:r>
            <w:r>
              <w:rPr>
                <w:rFonts w:ascii="Bookman Old Style" w:hAnsi="Bookman Old Style" w:cs="Arial"/>
                <w:color w:val="000000"/>
              </w:rPr>
              <w:br/>
              <w:t>Delegado del Ministro de Minas y Energía</w:t>
            </w:r>
          </w:p>
        </w:tc>
        <w:tc>
          <w:tcPr>
            <w:tcW w:w="4399" w:type="dxa"/>
            <w:hideMark/>
          </w:tcPr>
          <w:p w:rsidR="00182510" w:rsidRDefault="00182510">
            <w:pPr>
              <w:jc w:val="center"/>
              <w:rPr>
                <w:rFonts w:ascii="Bookman Old Style" w:hAnsi="Bookman Old Style" w:cs="Arial"/>
                <w:color w:val="000000"/>
              </w:rPr>
            </w:pPr>
            <w:r>
              <w:rPr>
                <w:rFonts w:ascii="Bookman Old Style" w:hAnsi="Bookman Old Style" w:cs="Arial"/>
                <w:color w:val="000000"/>
              </w:rPr>
              <w:t>Director Ejecutivo</w:t>
            </w:r>
          </w:p>
        </w:tc>
      </w:tr>
      <w:tr w:rsidR="00182510" w:rsidTr="00182510">
        <w:trPr>
          <w:trHeight w:val="20"/>
          <w:tblCellSpacing w:w="0" w:type="dxa"/>
          <w:jc w:val="center"/>
        </w:trPr>
        <w:tc>
          <w:tcPr>
            <w:tcW w:w="4641" w:type="dxa"/>
            <w:hideMark/>
          </w:tcPr>
          <w:p w:rsidR="00182510" w:rsidRDefault="00182510">
            <w:pPr>
              <w:ind w:left="-16"/>
              <w:jc w:val="center"/>
              <w:rPr>
                <w:rFonts w:ascii="Bookman Old Style" w:hAnsi="Bookman Old Style" w:cs="Arial"/>
                <w:color w:val="000000"/>
              </w:rPr>
            </w:pPr>
            <w:r>
              <w:rPr>
                <w:rFonts w:ascii="Bookman Old Style" w:hAnsi="Bookman Old Style" w:cs="Arial"/>
                <w:color w:val="000000"/>
              </w:rPr>
              <w:t>Presidente</w:t>
            </w:r>
          </w:p>
        </w:tc>
        <w:tc>
          <w:tcPr>
            <w:tcW w:w="0" w:type="auto"/>
          </w:tcPr>
          <w:p w:rsidR="00182510" w:rsidRDefault="00182510">
            <w:pPr>
              <w:rPr>
                <w:rFonts w:ascii="Bookman Old Style" w:hAnsi="Bookman Old Style" w:cs="Arial"/>
                <w:color w:val="000000"/>
              </w:rPr>
            </w:pPr>
          </w:p>
        </w:tc>
      </w:tr>
    </w:tbl>
    <w:p w:rsidR="00B351B4" w:rsidRPr="00012259" w:rsidRDefault="00B351B4" w:rsidP="00182510">
      <w:pPr>
        <w:ind w:left="0"/>
        <w:rPr>
          <w:rFonts w:ascii="Bookman Old Style" w:hAnsi="Bookman Old Style"/>
          <w:bCs/>
          <w:lang w:val="es-CO"/>
        </w:rPr>
      </w:pPr>
    </w:p>
    <w:sectPr w:rsidR="00B351B4" w:rsidRPr="00012259"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A8" w:rsidRDefault="00241EA8">
      <w:r>
        <w:separator/>
      </w:r>
    </w:p>
  </w:endnote>
  <w:endnote w:type="continuationSeparator" w:id="0">
    <w:p w:rsidR="00241EA8" w:rsidRDefault="0024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A8" w:rsidRDefault="00241EA8">
      <w:r>
        <w:separator/>
      </w:r>
    </w:p>
  </w:footnote>
  <w:footnote w:type="continuationSeparator" w:id="0">
    <w:p w:rsidR="00241EA8" w:rsidRDefault="0024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8" w:rsidRDefault="00241EA8" w:rsidP="00951F79">
    <w:pPr>
      <w:pStyle w:val="Ttulo1"/>
      <w:ind w:right="6"/>
      <w:jc w:val="left"/>
      <w:rPr>
        <w:rFonts w:ascii="Bookman Old Style" w:hAnsi="Bookman Old Style" w:cs="Arial"/>
        <w:b w:val="0"/>
        <w:sz w:val="22"/>
        <w:szCs w:val="22"/>
      </w:rPr>
    </w:pPr>
  </w:p>
  <w:p w:rsidR="00241EA8" w:rsidRPr="00951F79" w:rsidRDefault="00241EA8"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C8468C">
      <w:rPr>
        <w:rFonts w:ascii="Bookman Old Style" w:hAnsi="Bookman Old Style" w:cs="Arial"/>
        <w:b w:val="0"/>
        <w:noProof/>
        <w:sz w:val="22"/>
        <w:szCs w:val="22"/>
      </w:rPr>
      <w:t>5</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C8468C">
      <w:fldChar w:fldCharType="begin"/>
    </w:r>
    <w:r w:rsidR="00C8468C">
      <w:instrText xml:space="preserve"> NUMPAGES  \* MERGEFORMAT </w:instrText>
    </w:r>
    <w:r w:rsidR="00C8468C">
      <w:fldChar w:fldCharType="separate"/>
    </w:r>
    <w:r w:rsidR="00C8468C" w:rsidRPr="00C8468C">
      <w:rPr>
        <w:rFonts w:ascii="Bookman Old Style" w:hAnsi="Bookman Old Style" w:cs="Arial"/>
        <w:b w:val="0"/>
        <w:noProof/>
        <w:sz w:val="22"/>
        <w:szCs w:val="22"/>
      </w:rPr>
      <w:t>5</w:t>
    </w:r>
    <w:r w:rsidR="00C8468C">
      <w:rPr>
        <w:rFonts w:ascii="Bookman Old Style" w:hAnsi="Bookman Old Style" w:cs="Arial"/>
        <w:b w:val="0"/>
        <w:noProof/>
        <w:sz w:val="22"/>
        <w:szCs w:val="22"/>
      </w:rPr>
      <w:fldChar w:fldCharType="end"/>
    </w:r>
  </w:p>
  <w:p w:rsidR="00241EA8" w:rsidRDefault="00241EA8"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77EFA526" wp14:editId="3F9F942C">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241EA8" w:rsidRPr="00580F3D" w:rsidRDefault="00241EA8" w:rsidP="00AD01E4">
    <w:pPr>
      <w:pBdr>
        <w:bottom w:val="single" w:sz="4" w:space="1" w:color="auto"/>
      </w:pBdr>
      <w:ind w:left="142" w:right="148"/>
      <w:rPr>
        <w:b/>
        <w:lang w:val="es-CO"/>
      </w:rPr>
    </w:pPr>
    <w:r w:rsidRPr="004148F7">
      <w:rPr>
        <w:rFonts w:ascii="Bookman Old Style" w:hAnsi="Bookman Old Style"/>
        <w:sz w:val="22"/>
      </w:rPr>
      <w:t>Por la cual se ordena hacer público un proyecto de resolución de carácter general “Por la cual se define la auditoria al Centro Nacional de Despacho</w:t>
    </w:r>
    <w:r>
      <w:rPr>
        <w:rFonts w:ascii="Bookman Old Style" w:hAnsi="Bookman Old Style"/>
        <w:sz w:val="22"/>
      </w:rPr>
      <w:t>,</w:t>
    </w:r>
    <w:r w:rsidRPr="004148F7">
      <w:rPr>
        <w:rFonts w:ascii="Bookman Old Style" w:hAnsi="Bookman Old Style"/>
        <w:sz w:val="22"/>
      </w:rPr>
      <w:t xml:space="preserve"> CND</w:t>
    </w:r>
    <w:r>
      <w:rPr>
        <w:rFonts w:ascii="Bookman Old Style" w:hAnsi="Bookman Old Style"/>
        <w:sz w:val="22"/>
      </w:rPr>
      <w:t>.</w:t>
    </w:r>
    <w:r w:rsidRPr="004148F7">
      <w:rPr>
        <w:rFonts w:ascii="Bookman Old Style" w:hAnsi="Bookman Old Style"/>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8" w:rsidRDefault="00241EA8"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241EA8" w:rsidRDefault="00241EA8">
    <w:pPr>
      <w:pStyle w:val="Encabezado"/>
      <w:jc w:val="center"/>
      <w:rPr>
        <w:rFonts w:ascii="Arial" w:hAnsi="Arial" w:cs="Arial"/>
        <w:spacing w:val="20"/>
        <w:sz w:val="20"/>
      </w:rPr>
    </w:pPr>
  </w:p>
  <w:p w:rsidR="00241EA8" w:rsidRDefault="00241EA8"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1BFA2EA5" wp14:editId="67DC33F9">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520A26"/>
    <w:multiLevelType w:val="hybridMultilevel"/>
    <w:tmpl w:val="20280CA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1">
    <w:nsid w:val="4D3538ED"/>
    <w:multiLevelType w:val="hybridMultilevel"/>
    <w:tmpl w:val="5748BF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52974404"/>
    <w:multiLevelType w:val="hybridMultilevel"/>
    <w:tmpl w:val="95822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39F23C6"/>
    <w:multiLevelType w:val="hybridMultilevel"/>
    <w:tmpl w:val="3516F05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6C6B1E36"/>
    <w:multiLevelType w:val="hybridMultilevel"/>
    <w:tmpl w:val="538EE0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4BB795D"/>
    <w:multiLevelType w:val="hybridMultilevel"/>
    <w:tmpl w:val="87AE88A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0"/>
  </w:num>
  <w:num w:numId="4">
    <w:abstractNumId w:val="5"/>
  </w:num>
  <w:num w:numId="5">
    <w:abstractNumId w:val="13"/>
  </w:num>
  <w:num w:numId="6">
    <w:abstractNumId w:val="3"/>
  </w:num>
  <w:num w:numId="7">
    <w:abstractNumId w:val="2"/>
  </w:num>
  <w:num w:numId="8">
    <w:abstractNumId w:val="15"/>
  </w:num>
  <w:num w:numId="9">
    <w:abstractNumId w:val="14"/>
  </w:num>
  <w:num w:numId="10">
    <w:abstractNumId w:val="9"/>
  </w:num>
  <w:num w:numId="11">
    <w:abstractNumId w:val="21"/>
  </w:num>
  <w:num w:numId="12">
    <w:abstractNumId w:val="18"/>
  </w:num>
  <w:num w:numId="13">
    <w:abstractNumId w:val="6"/>
  </w:num>
  <w:num w:numId="14">
    <w:abstractNumId w:val="1"/>
  </w:num>
  <w:num w:numId="15">
    <w:abstractNumId w:val="10"/>
  </w:num>
  <w:num w:numId="16">
    <w:abstractNumId w:val="0"/>
  </w:num>
  <w:num w:numId="17">
    <w:abstractNumId w:val="12"/>
  </w:num>
  <w:num w:numId="18">
    <w:abstractNumId w:val="17"/>
  </w:num>
  <w:num w:numId="19">
    <w:abstractNumId w:val="19"/>
  </w:num>
  <w:num w:numId="20">
    <w:abstractNumId w:val="11"/>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5D0C"/>
    <w:rsid w:val="00006AE2"/>
    <w:rsid w:val="000076A1"/>
    <w:rsid w:val="00012259"/>
    <w:rsid w:val="00025383"/>
    <w:rsid w:val="000438C8"/>
    <w:rsid w:val="00063657"/>
    <w:rsid w:val="00076680"/>
    <w:rsid w:val="0008073E"/>
    <w:rsid w:val="00091CDB"/>
    <w:rsid w:val="000A19AC"/>
    <w:rsid w:val="000A2B12"/>
    <w:rsid w:val="000A76DA"/>
    <w:rsid w:val="000C2F00"/>
    <w:rsid w:val="000D26F8"/>
    <w:rsid w:val="00123927"/>
    <w:rsid w:val="001405C6"/>
    <w:rsid w:val="00141013"/>
    <w:rsid w:val="00151D90"/>
    <w:rsid w:val="00164729"/>
    <w:rsid w:val="001650FE"/>
    <w:rsid w:val="00182510"/>
    <w:rsid w:val="00192CBF"/>
    <w:rsid w:val="00192FF1"/>
    <w:rsid w:val="001A5F1B"/>
    <w:rsid w:val="001B1C22"/>
    <w:rsid w:val="001B34C6"/>
    <w:rsid w:val="001D5267"/>
    <w:rsid w:val="001D7832"/>
    <w:rsid w:val="001F56B0"/>
    <w:rsid w:val="001F6049"/>
    <w:rsid w:val="00211D34"/>
    <w:rsid w:val="00214F04"/>
    <w:rsid w:val="00223F28"/>
    <w:rsid w:val="002318DC"/>
    <w:rsid w:val="00241EA8"/>
    <w:rsid w:val="00266CD6"/>
    <w:rsid w:val="00275DAB"/>
    <w:rsid w:val="002A782A"/>
    <w:rsid w:val="002B11E2"/>
    <w:rsid w:val="002B24B8"/>
    <w:rsid w:val="002B3B01"/>
    <w:rsid w:val="002D3AE9"/>
    <w:rsid w:val="002D4510"/>
    <w:rsid w:val="002D5724"/>
    <w:rsid w:val="002F0734"/>
    <w:rsid w:val="002F27B5"/>
    <w:rsid w:val="002F46E7"/>
    <w:rsid w:val="003101DA"/>
    <w:rsid w:val="00314757"/>
    <w:rsid w:val="00315FA2"/>
    <w:rsid w:val="003211CE"/>
    <w:rsid w:val="00335F99"/>
    <w:rsid w:val="0035403A"/>
    <w:rsid w:val="0036394B"/>
    <w:rsid w:val="003709B5"/>
    <w:rsid w:val="003759C2"/>
    <w:rsid w:val="00392205"/>
    <w:rsid w:val="00397365"/>
    <w:rsid w:val="003A31F6"/>
    <w:rsid w:val="003C3447"/>
    <w:rsid w:val="003C5E9A"/>
    <w:rsid w:val="003D076C"/>
    <w:rsid w:val="003D4304"/>
    <w:rsid w:val="003E3856"/>
    <w:rsid w:val="003E78B5"/>
    <w:rsid w:val="004148F7"/>
    <w:rsid w:val="00415BAB"/>
    <w:rsid w:val="00415ED2"/>
    <w:rsid w:val="0042068C"/>
    <w:rsid w:val="0042184A"/>
    <w:rsid w:val="004540F1"/>
    <w:rsid w:val="0047122B"/>
    <w:rsid w:val="00473B7A"/>
    <w:rsid w:val="00480F3B"/>
    <w:rsid w:val="004960E9"/>
    <w:rsid w:val="00497962"/>
    <w:rsid w:val="004A2E88"/>
    <w:rsid w:val="004A5305"/>
    <w:rsid w:val="004D2E48"/>
    <w:rsid w:val="004D7634"/>
    <w:rsid w:val="00502776"/>
    <w:rsid w:val="0050325A"/>
    <w:rsid w:val="005300D3"/>
    <w:rsid w:val="005352A9"/>
    <w:rsid w:val="00536791"/>
    <w:rsid w:val="005443C2"/>
    <w:rsid w:val="00544F82"/>
    <w:rsid w:val="00580F3D"/>
    <w:rsid w:val="00581085"/>
    <w:rsid w:val="00585919"/>
    <w:rsid w:val="00593C4F"/>
    <w:rsid w:val="005946A8"/>
    <w:rsid w:val="005A4407"/>
    <w:rsid w:val="005A59EF"/>
    <w:rsid w:val="005B38FD"/>
    <w:rsid w:val="005F6F41"/>
    <w:rsid w:val="00625DC6"/>
    <w:rsid w:val="0064391D"/>
    <w:rsid w:val="00651821"/>
    <w:rsid w:val="00654384"/>
    <w:rsid w:val="0065588E"/>
    <w:rsid w:val="006675CD"/>
    <w:rsid w:val="00684D9B"/>
    <w:rsid w:val="00697556"/>
    <w:rsid w:val="006A7F6D"/>
    <w:rsid w:val="006B26A4"/>
    <w:rsid w:val="006B4C2B"/>
    <w:rsid w:val="006B6D47"/>
    <w:rsid w:val="006C5AFE"/>
    <w:rsid w:val="006D7D8A"/>
    <w:rsid w:val="006E7876"/>
    <w:rsid w:val="006F6D95"/>
    <w:rsid w:val="00706F13"/>
    <w:rsid w:val="007072E8"/>
    <w:rsid w:val="00713B6F"/>
    <w:rsid w:val="0071618D"/>
    <w:rsid w:val="00725FA4"/>
    <w:rsid w:val="00740446"/>
    <w:rsid w:val="007438A9"/>
    <w:rsid w:val="0074491E"/>
    <w:rsid w:val="0076247A"/>
    <w:rsid w:val="00775964"/>
    <w:rsid w:val="007765FE"/>
    <w:rsid w:val="00795BFB"/>
    <w:rsid w:val="007A2634"/>
    <w:rsid w:val="007A3871"/>
    <w:rsid w:val="007B2760"/>
    <w:rsid w:val="007C5B91"/>
    <w:rsid w:val="00806C01"/>
    <w:rsid w:val="00811902"/>
    <w:rsid w:val="008148CC"/>
    <w:rsid w:val="008211A4"/>
    <w:rsid w:val="00834D16"/>
    <w:rsid w:val="00860E5C"/>
    <w:rsid w:val="00873150"/>
    <w:rsid w:val="0087657D"/>
    <w:rsid w:val="008807D5"/>
    <w:rsid w:val="00880832"/>
    <w:rsid w:val="00886EE1"/>
    <w:rsid w:val="0088727D"/>
    <w:rsid w:val="00887539"/>
    <w:rsid w:val="00896627"/>
    <w:rsid w:val="00897C75"/>
    <w:rsid w:val="008A6947"/>
    <w:rsid w:val="008C1130"/>
    <w:rsid w:val="008C5CCE"/>
    <w:rsid w:val="008D15B4"/>
    <w:rsid w:val="008D18E6"/>
    <w:rsid w:val="008D7A9B"/>
    <w:rsid w:val="008E76AC"/>
    <w:rsid w:val="008F21F6"/>
    <w:rsid w:val="00951F79"/>
    <w:rsid w:val="009702C0"/>
    <w:rsid w:val="00974AB5"/>
    <w:rsid w:val="00977A3C"/>
    <w:rsid w:val="0098706D"/>
    <w:rsid w:val="009935FB"/>
    <w:rsid w:val="009A3AC8"/>
    <w:rsid w:val="009B0BBA"/>
    <w:rsid w:val="009C63D6"/>
    <w:rsid w:val="009F4A54"/>
    <w:rsid w:val="009F4BEC"/>
    <w:rsid w:val="00A03B6F"/>
    <w:rsid w:val="00A25FD7"/>
    <w:rsid w:val="00A37BB7"/>
    <w:rsid w:val="00A43AFF"/>
    <w:rsid w:val="00A62919"/>
    <w:rsid w:val="00A7793A"/>
    <w:rsid w:val="00AA4CC7"/>
    <w:rsid w:val="00AA5E8E"/>
    <w:rsid w:val="00AB2B36"/>
    <w:rsid w:val="00AB6CA7"/>
    <w:rsid w:val="00AD01E4"/>
    <w:rsid w:val="00AD0858"/>
    <w:rsid w:val="00AE7340"/>
    <w:rsid w:val="00AF1BBD"/>
    <w:rsid w:val="00B10207"/>
    <w:rsid w:val="00B141E7"/>
    <w:rsid w:val="00B1649C"/>
    <w:rsid w:val="00B351B4"/>
    <w:rsid w:val="00B46BCA"/>
    <w:rsid w:val="00B76BE2"/>
    <w:rsid w:val="00B87806"/>
    <w:rsid w:val="00B87EC9"/>
    <w:rsid w:val="00BB31B3"/>
    <w:rsid w:val="00BC38FD"/>
    <w:rsid w:val="00C03414"/>
    <w:rsid w:val="00C034CB"/>
    <w:rsid w:val="00C051A8"/>
    <w:rsid w:val="00C054BC"/>
    <w:rsid w:val="00C16135"/>
    <w:rsid w:val="00C17897"/>
    <w:rsid w:val="00C20B75"/>
    <w:rsid w:val="00C409D5"/>
    <w:rsid w:val="00C435C3"/>
    <w:rsid w:val="00C51C79"/>
    <w:rsid w:val="00C6234B"/>
    <w:rsid w:val="00C63EAE"/>
    <w:rsid w:val="00C7629F"/>
    <w:rsid w:val="00C8468C"/>
    <w:rsid w:val="00C8661B"/>
    <w:rsid w:val="00CA139A"/>
    <w:rsid w:val="00CA2899"/>
    <w:rsid w:val="00CA3A3D"/>
    <w:rsid w:val="00CA77FB"/>
    <w:rsid w:val="00CB379B"/>
    <w:rsid w:val="00CB5DD0"/>
    <w:rsid w:val="00CC51D4"/>
    <w:rsid w:val="00CC65DA"/>
    <w:rsid w:val="00CD5EEC"/>
    <w:rsid w:val="00CE0C86"/>
    <w:rsid w:val="00CF21B9"/>
    <w:rsid w:val="00CF6BF9"/>
    <w:rsid w:val="00D0045B"/>
    <w:rsid w:val="00D03800"/>
    <w:rsid w:val="00D065D3"/>
    <w:rsid w:val="00D14C94"/>
    <w:rsid w:val="00D342A6"/>
    <w:rsid w:val="00D464BF"/>
    <w:rsid w:val="00D53E26"/>
    <w:rsid w:val="00D72635"/>
    <w:rsid w:val="00D93B56"/>
    <w:rsid w:val="00D967D4"/>
    <w:rsid w:val="00DD4F0E"/>
    <w:rsid w:val="00DE1924"/>
    <w:rsid w:val="00DF0BF0"/>
    <w:rsid w:val="00E05E0A"/>
    <w:rsid w:val="00E45C1C"/>
    <w:rsid w:val="00E534CF"/>
    <w:rsid w:val="00E81CB4"/>
    <w:rsid w:val="00E8585B"/>
    <w:rsid w:val="00EA3F15"/>
    <w:rsid w:val="00EA7847"/>
    <w:rsid w:val="00EC2A34"/>
    <w:rsid w:val="00ED0833"/>
    <w:rsid w:val="00EE02BA"/>
    <w:rsid w:val="00EE2E6E"/>
    <w:rsid w:val="00F0759E"/>
    <w:rsid w:val="00F24611"/>
    <w:rsid w:val="00F4762F"/>
    <w:rsid w:val="00F821A3"/>
    <w:rsid w:val="00F9314A"/>
    <w:rsid w:val="00FC1A31"/>
    <w:rsid w:val="00FC4FB7"/>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styleId="Textodelmarcadordeposicin">
    <w:name w:val="Placeholder Text"/>
    <w:basedOn w:val="Fuentedeprrafopredeter"/>
    <w:uiPriority w:val="99"/>
    <w:semiHidden/>
    <w:rsid w:val="002D5724"/>
    <w:rPr>
      <w:color w:val="808080"/>
    </w:rPr>
  </w:style>
  <w:style w:type="paragraph" w:customStyle="1" w:styleId="Textodebloque1">
    <w:name w:val="Texto de bloque1"/>
    <w:basedOn w:val="Normal"/>
    <w:rsid w:val="00536791"/>
    <w:pPr>
      <w:suppressAutoHyphens/>
      <w:ind w:left="1701" w:right="1468"/>
      <w:jc w:val="both"/>
    </w:pPr>
    <w:rPr>
      <w:rFonts w:ascii="Arial" w:hAnsi="Arial"/>
      <w:szCs w:val="20"/>
      <w:lang w:val="es-ES_tradnl" w:eastAsia="ar-SA"/>
    </w:rPr>
  </w:style>
  <w:style w:type="character" w:styleId="Refdecomentario">
    <w:name w:val="annotation reference"/>
    <w:basedOn w:val="Fuentedeprrafopredeter"/>
    <w:uiPriority w:val="99"/>
    <w:semiHidden/>
    <w:unhideWhenUsed/>
    <w:rsid w:val="00241EA8"/>
    <w:rPr>
      <w:sz w:val="16"/>
      <w:szCs w:val="16"/>
    </w:rPr>
  </w:style>
  <w:style w:type="paragraph" w:styleId="Textocomentario">
    <w:name w:val="annotation text"/>
    <w:basedOn w:val="Normal"/>
    <w:link w:val="TextocomentarioCar"/>
    <w:uiPriority w:val="99"/>
    <w:semiHidden/>
    <w:unhideWhenUsed/>
    <w:rsid w:val="00241EA8"/>
    <w:rPr>
      <w:sz w:val="20"/>
      <w:szCs w:val="20"/>
    </w:rPr>
  </w:style>
  <w:style w:type="character" w:customStyle="1" w:styleId="TextocomentarioCar">
    <w:name w:val="Texto comentario Car"/>
    <w:basedOn w:val="Fuentedeprrafopredeter"/>
    <w:link w:val="Textocomentario"/>
    <w:uiPriority w:val="99"/>
    <w:semiHidden/>
    <w:rsid w:val="00241EA8"/>
    <w:rPr>
      <w:lang w:val="es-ES" w:eastAsia="es-ES"/>
    </w:rPr>
  </w:style>
  <w:style w:type="paragraph" w:styleId="Asuntodelcomentario">
    <w:name w:val="annotation subject"/>
    <w:basedOn w:val="Textocomentario"/>
    <w:next w:val="Textocomentario"/>
    <w:link w:val="AsuntodelcomentarioCar"/>
    <w:uiPriority w:val="99"/>
    <w:semiHidden/>
    <w:unhideWhenUsed/>
    <w:rsid w:val="00241EA8"/>
    <w:rPr>
      <w:b/>
      <w:bCs/>
    </w:rPr>
  </w:style>
  <w:style w:type="character" w:customStyle="1" w:styleId="AsuntodelcomentarioCar">
    <w:name w:val="Asunto del comentario Car"/>
    <w:basedOn w:val="TextocomentarioCar"/>
    <w:link w:val="Asuntodelcomentario"/>
    <w:uiPriority w:val="99"/>
    <w:semiHidden/>
    <w:rsid w:val="00241EA8"/>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styleId="Textodelmarcadordeposicin">
    <w:name w:val="Placeholder Text"/>
    <w:basedOn w:val="Fuentedeprrafopredeter"/>
    <w:uiPriority w:val="99"/>
    <w:semiHidden/>
    <w:rsid w:val="002D5724"/>
    <w:rPr>
      <w:color w:val="808080"/>
    </w:rPr>
  </w:style>
  <w:style w:type="paragraph" w:customStyle="1" w:styleId="Textodebloque1">
    <w:name w:val="Texto de bloque1"/>
    <w:basedOn w:val="Normal"/>
    <w:rsid w:val="00536791"/>
    <w:pPr>
      <w:suppressAutoHyphens/>
      <w:ind w:left="1701" w:right="1468"/>
      <w:jc w:val="both"/>
    </w:pPr>
    <w:rPr>
      <w:rFonts w:ascii="Arial" w:hAnsi="Arial"/>
      <w:szCs w:val="20"/>
      <w:lang w:val="es-ES_tradnl" w:eastAsia="ar-SA"/>
    </w:rPr>
  </w:style>
  <w:style w:type="character" w:styleId="Refdecomentario">
    <w:name w:val="annotation reference"/>
    <w:basedOn w:val="Fuentedeprrafopredeter"/>
    <w:uiPriority w:val="99"/>
    <w:semiHidden/>
    <w:unhideWhenUsed/>
    <w:rsid w:val="00241EA8"/>
    <w:rPr>
      <w:sz w:val="16"/>
      <w:szCs w:val="16"/>
    </w:rPr>
  </w:style>
  <w:style w:type="paragraph" w:styleId="Textocomentario">
    <w:name w:val="annotation text"/>
    <w:basedOn w:val="Normal"/>
    <w:link w:val="TextocomentarioCar"/>
    <w:uiPriority w:val="99"/>
    <w:semiHidden/>
    <w:unhideWhenUsed/>
    <w:rsid w:val="00241EA8"/>
    <w:rPr>
      <w:sz w:val="20"/>
      <w:szCs w:val="20"/>
    </w:rPr>
  </w:style>
  <w:style w:type="character" w:customStyle="1" w:styleId="TextocomentarioCar">
    <w:name w:val="Texto comentario Car"/>
    <w:basedOn w:val="Fuentedeprrafopredeter"/>
    <w:link w:val="Textocomentario"/>
    <w:uiPriority w:val="99"/>
    <w:semiHidden/>
    <w:rsid w:val="00241EA8"/>
    <w:rPr>
      <w:lang w:val="es-ES" w:eastAsia="es-ES"/>
    </w:rPr>
  </w:style>
  <w:style w:type="paragraph" w:styleId="Asuntodelcomentario">
    <w:name w:val="annotation subject"/>
    <w:basedOn w:val="Textocomentario"/>
    <w:next w:val="Textocomentario"/>
    <w:link w:val="AsuntodelcomentarioCar"/>
    <w:uiPriority w:val="99"/>
    <w:semiHidden/>
    <w:unhideWhenUsed/>
    <w:rsid w:val="00241EA8"/>
    <w:rPr>
      <w:b/>
      <w:bCs/>
    </w:rPr>
  </w:style>
  <w:style w:type="character" w:customStyle="1" w:styleId="AsuntodelcomentarioCar">
    <w:name w:val="Asunto del comentario Car"/>
    <w:basedOn w:val="TextocomentarioCar"/>
    <w:link w:val="Asuntodelcomentario"/>
    <w:uiPriority w:val="99"/>
    <w:semiHidden/>
    <w:rsid w:val="00241EA8"/>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3134">
      <w:bodyDiv w:val="1"/>
      <w:marLeft w:val="0"/>
      <w:marRight w:val="0"/>
      <w:marTop w:val="0"/>
      <w:marBottom w:val="0"/>
      <w:divBdr>
        <w:top w:val="none" w:sz="0" w:space="0" w:color="auto"/>
        <w:left w:val="none" w:sz="0" w:space="0" w:color="auto"/>
        <w:bottom w:val="none" w:sz="0" w:space="0" w:color="auto"/>
        <w:right w:val="none" w:sz="0" w:space="0" w:color="auto"/>
      </w:divBdr>
    </w:div>
    <w:div w:id="1030764821">
      <w:bodyDiv w:val="1"/>
      <w:marLeft w:val="0"/>
      <w:marRight w:val="0"/>
      <w:marTop w:val="0"/>
      <w:marBottom w:val="0"/>
      <w:divBdr>
        <w:top w:val="none" w:sz="0" w:space="0" w:color="auto"/>
        <w:left w:val="none" w:sz="0" w:space="0" w:color="auto"/>
        <w:bottom w:val="none" w:sz="0" w:space="0" w:color="auto"/>
        <w:right w:val="none" w:sz="0" w:space="0" w:color="auto"/>
      </w:divBdr>
    </w:div>
    <w:div w:id="1198004794">
      <w:bodyDiv w:val="1"/>
      <w:marLeft w:val="0"/>
      <w:marRight w:val="0"/>
      <w:marTop w:val="0"/>
      <w:marBottom w:val="0"/>
      <w:divBdr>
        <w:top w:val="none" w:sz="0" w:space="0" w:color="auto"/>
        <w:left w:val="none" w:sz="0" w:space="0" w:color="auto"/>
        <w:bottom w:val="none" w:sz="0" w:space="0" w:color="auto"/>
        <w:right w:val="none" w:sz="0" w:space="0" w:color="auto"/>
      </w:divBdr>
    </w:div>
    <w:div w:id="1449667052">
      <w:bodyDiv w:val="1"/>
      <w:marLeft w:val="0"/>
      <w:marRight w:val="0"/>
      <w:marTop w:val="0"/>
      <w:marBottom w:val="0"/>
      <w:divBdr>
        <w:top w:val="none" w:sz="0" w:space="0" w:color="auto"/>
        <w:left w:val="none" w:sz="0" w:space="0" w:color="auto"/>
        <w:bottom w:val="none" w:sz="0" w:space="0" w:color="auto"/>
        <w:right w:val="none" w:sz="0" w:space="0" w:color="auto"/>
      </w:divBdr>
    </w:div>
    <w:div w:id="1547716635">
      <w:bodyDiv w:val="1"/>
      <w:marLeft w:val="0"/>
      <w:marRight w:val="0"/>
      <w:marTop w:val="0"/>
      <w:marBottom w:val="0"/>
      <w:divBdr>
        <w:top w:val="none" w:sz="0" w:space="0" w:color="auto"/>
        <w:left w:val="none" w:sz="0" w:space="0" w:color="auto"/>
        <w:bottom w:val="none" w:sz="0" w:space="0" w:color="auto"/>
        <w:right w:val="none" w:sz="0" w:space="0" w:color="auto"/>
      </w:divBdr>
    </w:div>
    <w:div w:id="1823038314">
      <w:bodyDiv w:val="1"/>
      <w:marLeft w:val="0"/>
      <w:marRight w:val="0"/>
      <w:marTop w:val="0"/>
      <w:marBottom w:val="0"/>
      <w:divBdr>
        <w:top w:val="none" w:sz="0" w:space="0" w:color="auto"/>
        <w:left w:val="none" w:sz="0" w:space="0" w:color="auto"/>
        <w:bottom w:val="none" w:sz="0" w:space="0" w:color="auto"/>
        <w:right w:val="none" w:sz="0" w:space="0" w:color="auto"/>
      </w:divBdr>
    </w:div>
    <w:div w:id="1900557552">
      <w:bodyDiv w:val="1"/>
      <w:marLeft w:val="0"/>
      <w:marRight w:val="0"/>
      <w:marTop w:val="0"/>
      <w:marBottom w:val="0"/>
      <w:divBdr>
        <w:top w:val="none" w:sz="0" w:space="0" w:color="auto"/>
        <w:left w:val="none" w:sz="0" w:space="0" w:color="auto"/>
        <w:bottom w:val="none" w:sz="0" w:space="0" w:color="auto"/>
        <w:right w:val="none" w:sz="0" w:space="0" w:color="auto"/>
      </w:divBdr>
    </w:div>
    <w:div w:id="1958488307">
      <w:bodyDiv w:val="1"/>
      <w:marLeft w:val="0"/>
      <w:marRight w:val="0"/>
      <w:marTop w:val="0"/>
      <w:marBottom w:val="0"/>
      <w:divBdr>
        <w:top w:val="none" w:sz="0" w:space="0" w:color="auto"/>
        <w:left w:val="none" w:sz="0" w:space="0" w:color="auto"/>
        <w:bottom w:val="none" w:sz="0" w:space="0" w:color="auto"/>
        <w:right w:val="none" w:sz="0" w:space="0" w:color="auto"/>
      </w:divBdr>
    </w:div>
    <w:div w:id="20003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29AB-4B88-4C9B-8930-55BC2BB6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5</Pages>
  <Words>1385</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2011-09-30T14:08:00Z</cp:lastPrinted>
  <dcterms:created xsi:type="dcterms:W3CDTF">2011-09-30T14:41:00Z</dcterms:created>
  <dcterms:modified xsi:type="dcterms:W3CDTF">2011-09-30T14:41:00Z</dcterms:modified>
</cp:coreProperties>
</file>