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DF" w:rsidRPr="00B35EBB" w:rsidRDefault="00A86728" w:rsidP="00E27B8B">
      <w:pPr>
        <w:spacing w:line="240" w:lineRule="auto"/>
        <w:rPr>
          <w:rFonts w:ascii="Bookman Old Style" w:hAnsi="Bookman Old Style" w:cs="Arial"/>
        </w:rPr>
      </w:pPr>
      <w:r>
        <w:rPr>
          <w:rFonts w:ascii="Bookman Old Style" w:hAnsi="Bookman Old Style" w:cs="Arial"/>
          <w:noProof/>
        </w:rPr>
        <w:pict>
          <v:rect id="_x0000_s1026" style="position:absolute;left:0;text-align:left;margin-left:-25.8pt;margin-top:-5.4pt;width:514.5pt;height:741pt;z-index:251657728" filled="f" stroked="f"/>
        </w:pict>
      </w:r>
      <w:r w:rsidR="00CB3F79">
        <w:rPr>
          <w:rFonts w:ascii="Bookman Old Style" w:hAnsi="Bookman Old Style" w:cs="Arial"/>
        </w:rPr>
        <w:t xml:space="preserve"> </w:t>
      </w:r>
    </w:p>
    <w:p w:rsidR="00925624" w:rsidRPr="00B35EBB" w:rsidRDefault="00925624" w:rsidP="00E27B8B">
      <w:pPr>
        <w:spacing w:line="240" w:lineRule="auto"/>
        <w:rPr>
          <w:rFonts w:ascii="Bookman Old Style" w:hAnsi="Bookman Old Style" w:cs="Arial"/>
        </w:rPr>
      </w:pPr>
    </w:p>
    <w:p w:rsidR="00925624" w:rsidRPr="00B35EBB" w:rsidRDefault="00925624" w:rsidP="00E27B8B">
      <w:pPr>
        <w:spacing w:line="240" w:lineRule="auto"/>
        <w:rPr>
          <w:rFonts w:ascii="Bookman Old Style" w:hAnsi="Bookman Old Style" w:cs="Arial"/>
        </w:rPr>
      </w:pPr>
    </w:p>
    <w:p w:rsidR="00925624" w:rsidRPr="00B35EBB" w:rsidRDefault="00925624" w:rsidP="00E27B8B">
      <w:pPr>
        <w:spacing w:line="240" w:lineRule="auto"/>
        <w:rPr>
          <w:rFonts w:ascii="Bookman Old Style" w:hAnsi="Bookman Old Style" w:cs="Arial"/>
        </w:rPr>
      </w:pPr>
    </w:p>
    <w:p w:rsidR="00A76924" w:rsidRPr="00B35EBB" w:rsidRDefault="00A76924" w:rsidP="00E27B8B">
      <w:pPr>
        <w:spacing w:line="240" w:lineRule="auto"/>
        <w:rPr>
          <w:rFonts w:ascii="Bookman Old Style" w:hAnsi="Bookman Old Style" w:cs="Arial"/>
        </w:rPr>
      </w:pPr>
    </w:p>
    <w:p w:rsidR="00925624" w:rsidRPr="00B35EBB" w:rsidRDefault="00925624" w:rsidP="00E27B8B">
      <w:pPr>
        <w:spacing w:line="240" w:lineRule="auto"/>
        <w:rPr>
          <w:rFonts w:ascii="Bookman Old Style" w:hAnsi="Bookman Old Style" w:cs="Arial"/>
        </w:rPr>
      </w:pPr>
    </w:p>
    <w:p w:rsidR="00925624" w:rsidRPr="00B35EBB" w:rsidRDefault="00925624" w:rsidP="00E27B8B">
      <w:pPr>
        <w:spacing w:line="240" w:lineRule="auto"/>
        <w:rPr>
          <w:rFonts w:ascii="Bookman Old Style" w:hAnsi="Bookman Old Style" w:cs="Arial"/>
        </w:rPr>
      </w:pPr>
    </w:p>
    <w:p w:rsidR="00925624" w:rsidRPr="00B35EBB" w:rsidRDefault="00925624" w:rsidP="00E27B8B">
      <w:pPr>
        <w:spacing w:line="240" w:lineRule="auto"/>
        <w:rPr>
          <w:rFonts w:ascii="Bookman Old Style" w:hAnsi="Bookman Old Style" w:cs="Arial"/>
        </w:rPr>
      </w:pPr>
    </w:p>
    <w:p w:rsidR="00B35EBB" w:rsidRPr="00B35EBB" w:rsidRDefault="00B35EBB" w:rsidP="00B35EBB">
      <w:pPr>
        <w:spacing w:line="240" w:lineRule="auto"/>
        <w:jc w:val="center"/>
        <w:rPr>
          <w:rFonts w:ascii="Bookman Old Style" w:hAnsi="Bookman Old Style" w:cs="Arial"/>
          <w:color w:val="000000"/>
        </w:rPr>
      </w:pPr>
    </w:p>
    <w:p w:rsidR="00B35EBB" w:rsidRPr="00B35EBB" w:rsidRDefault="00B35EBB" w:rsidP="00B35EBB">
      <w:pPr>
        <w:spacing w:line="240" w:lineRule="auto"/>
        <w:jc w:val="center"/>
        <w:rPr>
          <w:rFonts w:ascii="Bookman Old Style" w:hAnsi="Bookman Old Style" w:cs="Arial"/>
          <w:color w:val="000000"/>
        </w:rPr>
      </w:pPr>
      <w:r w:rsidRPr="00B35EBB">
        <w:rPr>
          <w:rFonts w:ascii="Bookman Old Style" w:hAnsi="Bookman Old Style" w:cs="Arial"/>
          <w:color w:val="000000"/>
        </w:rPr>
        <w:t xml:space="preserve">Por la cual se </w:t>
      </w:r>
      <w:r w:rsidR="00F76DF3">
        <w:rPr>
          <w:rFonts w:ascii="Bookman Old Style" w:hAnsi="Bookman Old Style" w:cs="Arial"/>
          <w:color w:val="000000"/>
        </w:rPr>
        <w:t>modifica</w:t>
      </w:r>
      <w:r w:rsidR="00FA2F61">
        <w:rPr>
          <w:rFonts w:ascii="Bookman Old Style" w:hAnsi="Bookman Old Style" w:cs="Arial"/>
          <w:color w:val="000000"/>
        </w:rPr>
        <w:t xml:space="preserve"> la Resolución CREG 058 de 2008</w:t>
      </w:r>
    </w:p>
    <w:p w:rsidR="00B35EBB" w:rsidRDefault="00B35EBB" w:rsidP="00B35EBB">
      <w:pPr>
        <w:spacing w:line="240" w:lineRule="auto"/>
        <w:jc w:val="center"/>
        <w:rPr>
          <w:rFonts w:ascii="Bookman Old Style" w:hAnsi="Bookman Old Style" w:cs="Arial"/>
        </w:rPr>
      </w:pPr>
    </w:p>
    <w:p w:rsidR="000A25B9" w:rsidRPr="00B35EBB" w:rsidRDefault="000A25B9" w:rsidP="00B35EBB">
      <w:pPr>
        <w:spacing w:line="240" w:lineRule="auto"/>
        <w:jc w:val="center"/>
        <w:rPr>
          <w:rFonts w:ascii="Bookman Old Style" w:hAnsi="Bookman Old Style" w:cs="Arial"/>
        </w:rPr>
      </w:pPr>
    </w:p>
    <w:p w:rsidR="00B35EBB" w:rsidRPr="00B35EBB" w:rsidRDefault="00B35EBB" w:rsidP="00B35EBB">
      <w:pPr>
        <w:pStyle w:val="Ttulo7"/>
        <w:spacing w:line="240" w:lineRule="auto"/>
        <w:rPr>
          <w:rFonts w:ascii="Bookman Old Style" w:hAnsi="Bookman Old Style"/>
          <w:i/>
          <w:sz w:val="24"/>
        </w:rPr>
      </w:pPr>
      <w:r w:rsidRPr="00B35EBB">
        <w:rPr>
          <w:rFonts w:ascii="Bookman Old Style" w:hAnsi="Bookman Old Style"/>
          <w:sz w:val="24"/>
        </w:rPr>
        <w:t>LA COMISIÓN DE REGULACIÓN DE ENERGÍA Y GAS</w:t>
      </w:r>
    </w:p>
    <w:p w:rsidR="00B35EBB" w:rsidRDefault="00B35EBB" w:rsidP="00B35EBB">
      <w:pPr>
        <w:spacing w:line="240" w:lineRule="auto"/>
        <w:jc w:val="center"/>
        <w:rPr>
          <w:rFonts w:ascii="Bookman Old Style" w:hAnsi="Bookman Old Style" w:cs="Arial"/>
        </w:rPr>
      </w:pPr>
    </w:p>
    <w:p w:rsidR="000A25B9" w:rsidRPr="00B35EBB" w:rsidRDefault="000A25B9" w:rsidP="00B35EBB">
      <w:pPr>
        <w:spacing w:line="240" w:lineRule="auto"/>
        <w:jc w:val="center"/>
        <w:rPr>
          <w:rFonts w:ascii="Bookman Old Style" w:hAnsi="Bookman Old Style" w:cs="Arial"/>
        </w:rPr>
      </w:pPr>
    </w:p>
    <w:p w:rsidR="00B35EBB" w:rsidRPr="00B35EBB" w:rsidRDefault="00B35EBB" w:rsidP="00B35EBB">
      <w:pPr>
        <w:spacing w:line="240" w:lineRule="auto"/>
        <w:jc w:val="center"/>
        <w:rPr>
          <w:rFonts w:ascii="Bookman Old Style" w:hAnsi="Bookman Old Style" w:cs="Arial"/>
        </w:rPr>
      </w:pPr>
      <w:r w:rsidRPr="00B35EBB">
        <w:rPr>
          <w:rFonts w:ascii="Bookman Old Style" w:hAnsi="Bookman Old Style" w:cs="Arial"/>
        </w:rPr>
        <w:t>En ejercicio de sus atribuciones constitucionales y legales, en especial las conferidas por las Leyes 142 y 143 de 1994, y en desarrollo de los Decretos 1524 y 2253 de 1994, 388 de 2007 y 1111 de 2008.</w:t>
      </w:r>
    </w:p>
    <w:p w:rsidR="00B35EBB" w:rsidRPr="00B35EBB" w:rsidRDefault="00B35EBB" w:rsidP="00B35EBB">
      <w:pPr>
        <w:spacing w:line="240" w:lineRule="auto"/>
        <w:rPr>
          <w:rFonts w:ascii="Bookman Old Style" w:hAnsi="Bookman Old Style" w:cs="Arial"/>
        </w:rPr>
      </w:pPr>
    </w:p>
    <w:p w:rsidR="00B35EBB" w:rsidRPr="00B35EBB" w:rsidRDefault="00B35EBB" w:rsidP="00B35EBB">
      <w:pPr>
        <w:spacing w:line="240" w:lineRule="auto"/>
        <w:rPr>
          <w:rFonts w:ascii="Bookman Old Style" w:hAnsi="Bookman Old Style" w:cs="Arial"/>
        </w:rPr>
      </w:pPr>
    </w:p>
    <w:p w:rsidR="00B35EBB" w:rsidRPr="00B35EBB" w:rsidRDefault="00B35EBB" w:rsidP="00B35EBB">
      <w:pPr>
        <w:spacing w:line="240" w:lineRule="auto"/>
        <w:jc w:val="center"/>
        <w:rPr>
          <w:rFonts w:ascii="Bookman Old Style" w:hAnsi="Bookman Old Style" w:cs="Arial"/>
          <w:b/>
        </w:rPr>
      </w:pPr>
      <w:r w:rsidRPr="00B35EBB">
        <w:rPr>
          <w:rFonts w:ascii="Bookman Old Style" w:hAnsi="Bookman Old Style" w:cs="Arial"/>
          <w:b/>
          <w:spacing w:val="80"/>
        </w:rPr>
        <w:t>CONSIDERANDO</w:t>
      </w:r>
      <w:r w:rsidRPr="00B35EBB">
        <w:rPr>
          <w:rFonts w:ascii="Bookman Old Style" w:hAnsi="Bookman Old Style" w:cs="Arial"/>
          <w:b/>
        </w:rPr>
        <w:t>:</w:t>
      </w:r>
    </w:p>
    <w:p w:rsidR="00B35EBB" w:rsidRDefault="00B35EBB" w:rsidP="00B35EBB">
      <w:pPr>
        <w:spacing w:line="240" w:lineRule="auto"/>
        <w:rPr>
          <w:rFonts w:ascii="Bookman Old Style" w:hAnsi="Bookman Old Style" w:cs="Arial"/>
        </w:rPr>
      </w:pPr>
    </w:p>
    <w:p w:rsidR="000A25B9" w:rsidRPr="00B35EBB" w:rsidRDefault="000A25B9" w:rsidP="00B35EBB">
      <w:pPr>
        <w:spacing w:line="240" w:lineRule="auto"/>
        <w:rPr>
          <w:rFonts w:ascii="Bookman Old Style" w:hAnsi="Bookman Old Style" w:cs="Arial"/>
        </w:rPr>
      </w:pPr>
    </w:p>
    <w:p w:rsidR="00B35EBB" w:rsidRPr="00B35EBB" w:rsidRDefault="00B35EBB" w:rsidP="00B35EBB">
      <w:pPr>
        <w:spacing w:line="240" w:lineRule="auto"/>
        <w:rPr>
          <w:rFonts w:ascii="Bookman Old Style" w:hAnsi="Bookman Old Style" w:cs="Arial"/>
        </w:rPr>
      </w:pPr>
      <w:r w:rsidRPr="00B35EBB">
        <w:rPr>
          <w:rFonts w:ascii="Bookman Old Style" w:hAnsi="Bookman Old Style" w:cs="Arial"/>
        </w:rPr>
        <w:t xml:space="preserve">Que de acuerdo con lo previsto en los Artículos 23, Literales c) y d), y 41 de la Ley 143 de 1994, es función de la Comisión de Regulación de Energía y Gas definir la metodología para el cálculo y fijar las tarifas por el acceso y uso de las redes eléctricas, así como el procedimiento para hacer efectivo su pago; </w:t>
      </w:r>
    </w:p>
    <w:p w:rsidR="00B35EBB" w:rsidRPr="00B35EBB" w:rsidRDefault="00B35EBB" w:rsidP="00B35EBB">
      <w:pPr>
        <w:spacing w:line="240" w:lineRule="auto"/>
        <w:rPr>
          <w:rFonts w:ascii="Bookman Old Style" w:hAnsi="Bookman Old Style" w:cs="Arial"/>
        </w:rPr>
      </w:pPr>
    </w:p>
    <w:p w:rsidR="00B35EBB" w:rsidRPr="00B35EBB" w:rsidRDefault="00B35EBB" w:rsidP="00B35EBB">
      <w:pPr>
        <w:spacing w:line="240" w:lineRule="auto"/>
        <w:rPr>
          <w:rFonts w:ascii="Bookman Old Style" w:hAnsi="Bookman Old Style" w:cs="Arial"/>
        </w:rPr>
      </w:pPr>
      <w:r w:rsidRPr="00B35EBB">
        <w:rPr>
          <w:rFonts w:ascii="Bookman Old Style" w:hAnsi="Bookman Old Style" w:cs="Arial"/>
        </w:rPr>
        <w:t>Que la Ley 143 de 1994, artículo 11, define como Redes de Distribución, el “Conjunto de líneas y subestaciones, con sus equipos asociados, destinado al servicio de los usuarios de un municipio o municipios adyacentes o asociados mediante cualquiera de las formas previstas en la Constitución Política.”;</w:t>
      </w:r>
    </w:p>
    <w:p w:rsidR="00B35EBB" w:rsidRPr="00B35EBB" w:rsidRDefault="00B35EBB" w:rsidP="00B35EBB">
      <w:pPr>
        <w:spacing w:line="240" w:lineRule="auto"/>
        <w:rPr>
          <w:rFonts w:ascii="Bookman Old Style" w:hAnsi="Bookman Old Style" w:cs="Arial"/>
        </w:rPr>
      </w:pPr>
    </w:p>
    <w:p w:rsidR="00B35EBB" w:rsidRPr="00B35EBB" w:rsidRDefault="00B35EBB" w:rsidP="00B35EBB">
      <w:pPr>
        <w:tabs>
          <w:tab w:val="left" w:pos="-720"/>
          <w:tab w:val="left" w:pos="1985"/>
        </w:tabs>
        <w:suppressAutoHyphens/>
        <w:spacing w:line="240" w:lineRule="auto"/>
        <w:rPr>
          <w:rFonts w:ascii="Bookman Old Style" w:hAnsi="Bookman Old Style" w:cs="Arial"/>
          <w:spacing w:val="-4"/>
        </w:rPr>
      </w:pPr>
      <w:r w:rsidRPr="00B35EBB">
        <w:rPr>
          <w:rFonts w:ascii="Bookman Old Style" w:hAnsi="Bookman Old Style" w:cs="Arial"/>
          <w:spacing w:val="-4"/>
        </w:rPr>
        <w:t xml:space="preserve">Que mediante  el Decreto 388 de 2007 se ordenó a la CREG conformar dentro de la metodología que establezca la remuneración para la actividad de distribución de energía eléctrica, áreas de distribución, las cuales  se definen como el </w:t>
      </w:r>
      <w:r w:rsidRPr="00B35EBB">
        <w:rPr>
          <w:rFonts w:ascii="Bookman Old Style" w:hAnsi="Bookman Old Style" w:cs="Arial"/>
          <w:i/>
          <w:spacing w:val="-4"/>
        </w:rPr>
        <w:t>“Conjunto de redes de Transmisión Regional y/o Distribución Local destinado a la prestación del servicio en zonas urbanas y rurales, que son operadas por uno o más Operadores de Red y que se conforman teniendo en cuenta la cercanía geográfica de los mercados atendidos y el principio de neutralidad establecido en la ley.”</w:t>
      </w:r>
      <w:r w:rsidRPr="00B35EBB">
        <w:rPr>
          <w:rFonts w:ascii="Bookman Old Style" w:hAnsi="Bookman Old Style" w:cs="Arial"/>
          <w:spacing w:val="-4"/>
        </w:rPr>
        <w:t>, y se establece que debe existir un Cargo Único por Nivel de Tensión por cada ADD;</w:t>
      </w:r>
    </w:p>
    <w:p w:rsidR="00B35EBB" w:rsidRPr="00B35EBB" w:rsidRDefault="00B35EBB" w:rsidP="00B35EBB">
      <w:pPr>
        <w:tabs>
          <w:tab w:val="left" w:pos="-720"/>
          <w:tab w:val="left" w:pos="1985"/>
        </w:tabs>
        <w:suppressAutoHyphens/>
        <w:spacing w:line="240" w:lineRule="auto"/>
        <w:rPr>
          <w:rFonts w:ascii="Bookman Old Style" w:hAnsi="Bookman Old Style" w:cs="Arial"/>
          <w:spacing w:val="-4"/>
        </w:rPr>
      </w:pPr>
    </w:p>
    <w:p w:rsidR="00B35EBB" w:rsidRPr="00B35EBB" w:rsidRDefault="00B35EBB" w:rsidP="00B35EBB">
      <w:pPr>
        <w:spacing w:line="240" w:lineRule="auto"/>
        <w:rPr>
          <w:rFonts w:ascii="Bookman Old Style" w:hAnsi="Bookman Old Style" w:cs="Arial"/>
          <w:spacing w:val="-4"/>
        </w:rPr>
      </w:pPr>
      <w:r w:rsidRPr="00B35EBB">
        <w:rPr>
          <w:rFonts w:ascii="Bookman Old Style" w:hAnsi="Bookman Old Style" w:cs="Arial"/>
          <w:spacing w:val="-4"/>
        </w:rPr>
        <w:t>Que posteriormente, el Decreto 388 de 2007 fue modificado por el Decreto 1111 de 2008 ordenando que la conformación de las ADD se ponga en vigencia a más tardar dentro de los treinta (30) días siguientes  a la expedición del citado decreto;</w:t>
      </w:r>
    </w:p>
    <w:p w:rsidR="00B35EBB" w:rsidRPr="00B35EBB" w:rsidRDefault="00B35EBB" w:rsidP="00B35EBB">
      <w:pPr>
        <w:spacing w:line="240" w:lineRule="auto"/>
        <w:rPr>
          <w:rFonts w:ascii="Bookman Old Style" w:hAnsi="Bookman Old Style" w:cs="Arial"/>
          <w:spacing w:val="-4"/>
        </w:rPr>
      </w:pPr>
    </w:p>
    <w:p w:rsidR="001E4AE7" w:rsidRDefault="00B35EBB" w:rsidP="001E4AE7">
      <w:pPr>
        <w:spacing w:line="240" w:lineRule="auto"/>
        <w:rPr>
          <w:rFonts w:ascii="Bookman Old Style" w:hAnsi="Bookman Old Style" w:cs="Arial"/>
          <w:color w:val="000000"/>
        </w:rPr>
      </w:pPr>
      <w:r w:rsidRPr="00B35EBB">
        <w:rPr>
          <w:rFonts w:ascii="Bookman Old Style" w:hAnsi="Bookman Old Style" w:cs="Arial"/>
        </w:rPr>
        <w:t xml:space="preserve">Que la Comisión, en Sesión No. 375 del día 27 de mayo de 2008, aprobó </w:t>
      </w:r>
      <w:r w:rsidR="001E4AE7">
        <w:rPr>
          <w:rFonts w:ascii="Bookman Old Style" w:hAnsi="Bookman Old Style" w:cs="Arial"/>
        </w:rPr>
        <w:t xml:space="preserve">expedir la </w:t>
      </w:r>
      <w:r w:rsidR="009C4D80">
        <w:rPr>
          <w:rFonts w:ascii="Bookman Old Style" w:hAnsi="Bookman Old Style" w:cs="Arial"/>
        </w:rPr>
        <w:t xml:space="preserve">resolución </w:t>
      </w:r>
      <w:r w:rsidR="001E4AE7">
        <w:rPr>
          <w:rFonts w:ascii="Bookman Old Style" w:hAnsi="Bookman Old Style" w:cs="Arial"/>
        </w:rPr>
        <w:t>“</w:t>
      </w:r>
      <w:r w:rsidR="001E4AE7" w:rsidRPr="00B35EBB">
        <w:rPr>
          <w:rFonts w:ascii="Bookman Old Style" w:hAnsi="Bookman Old Style" w:cs="Arial"/>
          <w:color w:val="000000"/>
        </w:rPr>
        <w:t>Por la cual se establecen las Áreas de Distrib</w:t>
      </w:r>
      <w:r w:rsidR="001E4AE7">
        <w:rPr>
          <w:rFonts w:ascii="Bookman Old Style" w:hAnsi="Bookman Old Style" w:cs="Arial"/>
          <w:color w:val="000000"/>
        </w:rPr>
        <w:t xml:space="preserve">ución de Energía Eléctrica –ADD”, </w:t>
      </w:r>
      <w:r w:rsidR="009C4D80">
        <w:rPr>
          <w:rFonts w:ascii="Bookman Old Style" w:hAnsi="Bookman Old Style" w:cs="Arial"/>
          <w:color w:val="000000"/>
        </w:rPr>
        <w:t xml:space="preserve">la cual fue </w:t>
      </w:r>
      <w:r w:rsidR="001E4AE7">
        <w:rPr>
          <w:rFonts w:ascii="Bookman Old Style" w:hAnsi="Bookman Old Style" w:cs="Arial"/>
          <w:color w:val="000000"/>
        </w:rPr>
        <w:t xml:space="preserve">numerada como Resolución 058 del </w:t>
      </w:r>
      <w:r w:rsidR="00013F98">
        <w:rPr>
          <w:rFonts w:ascii="Bookman Old Style" w:hAnsi="Bookman Old Style" w:cs="Arial"/>
          <w:color w:val="000000"/>
        </w:rPr>
        <w:t>2</w:t>
      </w:r>
      <w:r w:rsidR="001E4AE7">
        <w:rPr>
          <w:rFonts w:ascii="Bookman Old Style" w:hAnsi="Bookman Old Style" w:cs="Arial"/>
          <w:color w:val="000000"/>
        </w:rPr>
        <w:t xml:space="preserve">7 de mayo de 2008 y </w:t>
      </w:r>
      <w:r w:rsidR="006C0B39">
        <w:rPr>
          <w:rFonts w:ascii="Bookman Old Style" w:hAnsi="Bookman Old Style" w:cs="Arial"/>
          <w:color w:val="000000"/>
        </w:rPr>
        <w:t xml:space="preserve">publicada en el </w:t>
      </w:r>
      <w:r w:rsidR="001E4AE7">
        <w:rPr>
          <w:rFonts w:ascii="Bookman Old Style" w:hAnsi="Bookman Old Style" w:cs="Arial"/>
          <w:color w:val="000000"/>
        </w:rPr>
        <w:t xml:space="preserve">Diario Oficial No. </w:t>
      </w:r>
      <w:r w:rsidR="009C4D80">
        <w:rPr>
          <w:rFonts w:ascii="Bookman Old Style" w:hAnsi="Bookman Old Style" w:cs="Arial"/>
          <w:color w:val="000000"/>
        </w:rPr>
        <w:t xml:space="preserve">47.004 del </w:t>
      </w:r>
      <w:r w:rsidR="00013F98">
        <w:rPr>
          <w:rFonts w:ascii="Bookman Old Style" w:hAnsi="Bookman Old Style" w:cs="Arial"/>
          <w:color w:val="000000"/>
        </w:rPr>
        <w:t>2</w:t>
      </w:r>
      <w:r w:rsidR="00F91221">
        <w:rPr>
          <w:rFonts w:ascii="Bookman Old Style" w:hAnsi="Bookman Old Style" w:cs="Arial"/>
          <w:color w:val="000000"/>
        </w:rPr>
        <w:t>9</w:t>
      </w:r>
      <w:r w:rsidR="009C4D80">
        <w:rPr>
          <w:rFonts w:ascii="Bookman Old Style" w:hAnsi="Bookman Old Style" w:cs="Arial"/>
          <w:color w:val="000000"/>
        </w:rPr>
        <w:t xml:space="preserve"> de mayo de 2008;</w:t>
      </w:r>
    </w:p>
    <w:p w:rsidR="0044102E" w:rsidRDefault="0044102E" w:rsidP="001E4AE7">
      <w:pPr>
        <w:spacing w:line="240" w:lineRule="auto"/>
        <w:rPr>
          <w:rFonts w:ascii="Bookman Old Style" w:hAnsi="Bookman Old Style" w:cs="Arial"/>
          <w:color w:val="000000"/>
        </w:rPr>
      </w:pPr>
    </w:p>
    <w:p w:rsidR="008C34B7" w:rsidRDefault="008C34B7" w:rsidP="008C34B7">
      <w:pPr>
        <w:spacing w:line="240" w:lineRule="auto"/>
        <w:rPr>
          <w:rFonts w:ascii="Bookman Old Style" w:hAnsi="Bookman Old Style" w:cs="Arial"/>
          <w:color w:val="000000"/>
        </w:rPr>
      </w:pPr>
      <w:r w:rsidRPr="00B35EBB">
        <w:rPr>
          <w:rFonts w:ascii="Bookman Old Style" w:hAnsi="Bookman Old Style" w:cs="Arial"/>
        </w:rPr>
        <w:lastRenderedPageBreak/>
        <w:t>Que la Comisión, en Sesión No. 37</w:t>
      </w:r>
      <w:r>
        <w:rPr>
          <w:rFonts w:ascii="Bookman Old Style" w:hAnsi="Bookman Old Style" w:cs="Arial"/>
        </w:rPr>
        <w:t>7</w:t>
      </w:r>
      <w:r w:rsidRPr="00B35EBB">
        <w:rPr>
          <w:rFonts w:ascii="Bookman Old Style" w:hAnsi="Bookman Old Style" w:cs="Arial"/>
        </w:rPr>
        <w:t xml:space="preserve"> </w:t>
      </w:r>
      <w:r>
        <w:rPr>
          <w:rFonts w:ascii="Bookman Old Style" w:hAnsi="Bookman Old Style" w:cs="Arial"/>
        </w:rPr>
        <w:t>del 23 de junio de 2008</w:t>
      </w:r>
      <w:r w:rsidRPr="00B35EBB">
        <w:rPr>
          <w:rFonts w:ascii="Bookman Old Style" w:hAnsi="Bookman Old Style" w:cs="Arial"/>
        </w:rPr>
        <w:t xml:space="preserve">, aprobó </w:t>
      </w:r>
      <w:r>
        <w:rPr>
          <w:rFonts w:ascii="Bookman Old Style" w:hAnsi="Bookman Old Style" w:cs="Arial"/>
        </w:rPr>
        <w:t>expedir la resolución “</w:t>
      </w:r>
      <w:r w:rsidRPr="00B35EBB">
        <w:rPr>
          <w:rFonts w:ascii="Bookman Old Style" w:hAnsi="Bookman Old Style" w:cs="Arial"/>
          <w:color w:val="000000"/>
        </w:rPr>
        <w:t xml:space="preserve">Por la cual se </w:t>
      </w:r>
      <w:r>
        <w:rPr>
          <w:rFonts w:ascii="Bookman Old Style" w:hAnsi="Bookman Old Style" w:cs="Arial"/>
          <w:color w:val="000000"/>
        </w:rPr>
        <w:t>corrige la Resolución CREG 058 de 2008”, la cual fue numerada como Resolución 068 de 2008;</w:t>
      </w:r>
    </w:p>
    <w:p w:rsidR="008C34B7" w:rsidRDefault="008C34B7" w:rsidP="008C34B7">
      <w:pPr>
        <w:spacing w:line="240" w:lineRule="auto"/>
        <w:rPr>
          <w:rFonts w:ascii="Bookman Old Style" w:hAnsi="Bookman Old Style" w:cs="Arial"/>
        </w:rPr>
      </w:pPr>
    </w:p>
    <w:p w:rsidR="003F111E" w:rsidRDefault="00E538B1" w:rsidP="00B05A0E">
      <w:pPr>
        <w:spacing w:line="240" w:lineRule="auto"/>
        <w:rPr>
          <w:rFonts w:ascii="Bookman Old Style" w:hAnsi="Bookman Old Style" w:cs="Arial"/>
        </w:rPr>
      </w:pPr>
      <w:r>
        <w:rPr>
          <w:rFonts w:ascii="Bookman Old Style" w:hAnsi="Bookman Old Style" w:cs="Arial"/>
        </w:rPr>
        <w:t>Que</w:t>
      </w:r>
      <w:r w:rsidR="003F111E">
        <w:rPr>
          <w:rFonts w:ascii="Bookman Old Style" w:hAnsi="Bookman Old Style" w:cs="Arial"/>
        </w:rPr>
        <w:t xml:space="preserve"> se recibieron comentarios del LAC con referencia a la no existencia de la información de las variables asociadas con el Nivel de Tensión de donde proviene la energía con la que se atienden los usuarios residenciales del Nivel de Tensión 1, necesaria para el cálculo del cargo unificado;</w:t>
      </w:r>
    </w:p>
    <w:p w:rsidR="003F111E" w:rsidRDefault="003F111E" w:rsidP="00B05A0E">
      <w:pPr>
        <w:spacing w:line="240" w:lineRule="auto"/>
        <w:rPr>
          <w:rFonts w:ascii="Bookman Old Style" w:hAnsi="Bookman Old Style" w:cs="Arial"/>
        </w:rPr>
      </w:pPr>
    </w:p>
    <w:p w:rsidR="00D37C78" w:rsidRDefault="00D37C78" w:rsidP="00B05A0E">
      <w:pPr>
        <w:spacing w:line="240" w:lineRule="auto"/>
        <w:rPr>
          <w:rFonts w:ascii="Bookman Old Style" w:hAnsi="Bookman Old Style" w:cs="Arial"/>
        </w:rPr>
      </w:pPr>
      <w:r>
        <w:rPr>
          <w:rFonts w:ascii="Bookman Old Style" w:hAnsi="Bookman Old Style" w:cs="Arial"/>
        </w:rPr>
        <w:t>Q</w:t>
      </w:r>
      <w:r w:rsidRPr="00D37C78">
        <w:rPr>
          <w:rFonts w:ascii="Bookman Old Style" w:hAnsi="Bookman Old Style" w:cs="Arial"/>
        </w:rPr>
        <w:t>ue se recibieron comentarios de la Superintendencia de Servicios Públicos Domiciliarios sobre problemas detectados en la calidad de la información comercial reportada por los agentes comercializadores al SUI, en particular para la registrada en el año 2007</w:t>
      </w:r>
      <w:r w:rsidR="00645475">
        <w:rPr>
          <w:rFonts w:ascii="Bookman Old Style" w:hAnsi="Bookman Old Style" w:cs="Arial"/>
        </w:rPr>
        <w:t>, con la sugerencia de utilizar la información de febrero de 2008</w:t>
      </w:r>
      <w:r>
        <w:rPr>
          <w:rFonts w:ascii="Bookman Old Style" w:hAnsi="Bookman Old Style" w:cs="Arial"/>
        </w:rPr>
        <w:t>;</w:t>
      </w:r>
    </w:p>
    <w:p w:rsidR="00D37C78" w:rsidRDefault="00D37C78" w:rsidP="00B05A0E">
      <w:pPr>
        <w:spacing w:line="240" w:lineRule="auto"/>
        <w:rPr>
          <w:rFonts w:ascii="Bookman Old Style" w:hAnsi="Bookman Old Style" w:cs="Arial"/>
        </w:rPr>
      </w:pPr>
    </w:p>
    <w:p w:rsidR="000A2050" w:rsidRDefault="000A2050" w:rsidP="00B05A0E">
      <w:pPr>
        <w:spacing w:line="240" w:lineRule="auto"/>
        <w:rPr>
          <w:rFonts w:ascii="Bookman Old Style" w:hAnsi="Bookman Old Style" w:cs="Arial"/>
        </w:rPr>
      </w:pPr>
      <w:r>
        <w:rPr>
          <w:rFonts w:ascii="Bookman Old Style" w:hAnsi="Bookman Old Style" w:cs="Arial"/>
        </w:rPr>
        <w:t>Que la liquidación de los ingresos de los Operadores de Red se efectúa con base en el ajuste posterior de los cargos unificados calculados inicialmente;</w:t>
      </w:r>
    </w:p>
    <w:p w:rsidR="000A2050" w:rsidRDefault="000A2050" w:rsidP="00B05A0E">
      <w:pPr>
        <w:spacing w:line="240" w:lineRule="auto"/>
        <w:rPr>
          <w:rFonts w:ascii="Bookman Old Style" w:hAnsi="Bookman Old Style" w:cs="Arial"/>
        </w:rPr>
      </w:pPr>
    </w:p>
    <w:p w:rsidR="00320FF6" w:rsidRDefault="00A93C8A" w:rsidP="00A93C8A">
      <w:pPr>
        <w:spacing w:line="240" w:lineRule="auto"/>
        <w:rPr>
          <w:rFonts w:ascii="Bookman Old Style" w:hAnsi="Bookman Old Style" w:cs="Arial"/>
        </w:rPr>
      </w:pPr>
      <w:r>
        <w:rPr>
          <w:rFonts w:ascii="Bookman Old Style" w:hAnsi="Bookman Old Style" w:cs="Arial"/>
        </w:rPr>
        <w:t xml:space="preserve">Que </w:t>
      </w:r>
      <w:r w:rsidR="002321E8">
        <w:rPr>
          <w:rFonts w:ascii="Bookman Old Style" w:hAnsi="Bookman Old Style" w:cs="Arial"/>
        </w:rPr>
        <w:t xml:space="preserve">por lo anterior, </w:t>
      </w:r>
      <w:r>
        <w:rPr>
          <w:rFonts w:ascii="Bookman Old Style" w:hAnsi="Bookman Old Style" w:cs="Arial"/>
        </w:rPr>
        <w:t xml:space="preserve">se hace necesario </w:t>
      </w:r>
      <w:r w:rsidR="002321E8">
        <w:rPr>
          <w:rFonts w:ascii="Bookman Old Style" w:hAnsi="Bookman Old Style" w:cs="Arial"/>
        </w:rPr>
        <w:t xml:space="preserve">modificar </w:t>
      </w:r>
      <w:r w:rsidR="00320FF6">
        <w:rPr>
          <w:rFonts w:ascii="Bookman Old Style" w:hAnsi="Bookman Old Style" w:cs="Arial"/>
        </w:rPr>
        <w:t>algunas condiciones para la primera aplicación de los cálculos de los cargos unificados;</w:t>
      </w:r>
    </w:p>
    <w:p w:rsidR="00320FF6" w:rsidRDefault="00320FF6" w:rsidP="00A93C8A">
      <w:pPr>
        <w:spacing w:line="240" w:lineRule="auto"/>
        <w:rPr>
          <w:rFonts w:ascii="Bookman Old Style" w:hAnsi="Bookman Old Style" w:cs="Arial"/>
        </w:rPr>
      </w:pPr>
    </w:p>
    <w:p w:rsidR="00B855D3" w:rsidRPr="00B05A0E" w:rsidRDefault="00B855D3" w:rsidP="00B05A0E">
      <w:pPr>
        <w:spacing w:line="240" w:lineRule="auto"/>
        <w:rPr>
          <w:rFonts w:ascii="Bookman Old Style" w:hAnsi="Bookman Old Style" w:cs="Arial"/>
        </w:rPr>
      </w:pPr>
      <w:r>
        <w:rPr>
          <w:rFonts w:ascii="Bookman Old Style" w:hAnsi="Bookman Old Style" w:cs="Arial"/>
        </w:rPr>
        <w:t xml:space="preserve">Que la Comisión, en su sesión </w:t>
      </w:r>
      <w:r w:rsidR="003A74D5">
        <w:rPr>
          <w:rFonts w:ascii="Bookman Old Style" w:hAnsi="Bookman Old Style" w:cs="Arial"/>
        </w:rPr>
        <w:t>378</w:t>
      </w:r>
      <w:r w:rsidR="00531352">
        <w:rPr>
          <w:rFonts w:ascii="Bookman Old Style" w:hAnsi="Bookman Old Style" w:cs="Arial"/>
        </w:rPr>
        <w:t xml:space="preserve"> </w:t>
      </w:r>
      <w:r>
        <w:rPr>
          <w:rFonts w:ascii="Bookman Old Style" w:hAnsi="Bookman Old Style" w:cs="Arial"/>
        </w:rPr>
        <w:t xml:space="preserve">del </w:t>
      </w:r>
      <w:r w:rsidR="00320FF6">
        <w:rPr>
          <w:rFonts w:ascii="Bookman Old Style" w:hAnsi="Bookman Old Style" w:cs="Arial"/>
        </w:rPr>
        <w:t>2</w:t>
      </w:r>
      <w:r>
        <w:rPr>
          <w:rFonts w:ascii="Bookman Old Style" w:hAnsi="Bookman Old Style" w:cs="Arial"/>
        </w:rPr>
        <w:t xml:space="preserve"> de ju</w:t>
      </w:r>
      <w:r w:rsidR="00320FF6">
        <w:rPr>
          <w:rFonts w:ascii="Bookman Old Style" w:hAnsi="Bookman Old Style" w:cs="Arial"/>
        </w:rPr>
        <w:t>l</w:t>
      </w:r>
      <w:r>
        <w:rPr>
          <w:rFonts w:ascii="Bookman Old Style" w:hAnsi="Bookman Old Style" w:cs="Arial"/>
        </w:rPr>
        <w:t>io de 2008, aprobó expedir la presente resolución;</w:t>
      </w:r>
    </w:p>
    <w:p w:rsidR="009C4D80" w:rsidRDefault="009C4D80" w:rsidP="001E4AE7">
      <w:pPr>
        <w:spacing w:line="240" w:lineRule="auto"/>
        <w:rPr>
          <w:rFonts w:ascii="Bookman Old Style" w:hAnsi="Bookman Old Style" w:cs="Arial"/>
          <w:color w:val="000000"/>
        </w:rPr>
      </w:pPr>
    </w:p>
    <w:p w:rsidR="00B35EBB" w:rsidRPr="00B35EBB" w:rsidRDefault="00B35EBB" w:rsidP="00B35EBB">
      <w:pPr>
        <w:spacing w:line="240" w:lineRule="auto"/>
        <w:jc w:val="center"/>
        <w:rPr>
          <w:rFonts w:ascii="Bookman Old Style" w:hAnsi="Bookman Old Style" w:cs="Arial"/>
        </w:rPr>
      </w:pPr>
      <w:r w:rsidRPr="00B35EBB">
        <w:rPr>
          <w:rFonts w:ascii="Bookman Old Style" w:hAnsi="Bookman Old Style" w:cs="Arial"/>
          <w:b/>
          <w:spacing w:val="80"/>
        </w:rPr>
        <w:t>RESUELVE</w:t>
      </w:r>
      <w:r w:rsidRPr="00B35EBB">
        <w:rPr>
          <w:rFonts w:ascii="Bookman Old Style" w:hAnsi="Bookman Old Style" w:cs="Arial"/>
        </w:rPr>
        <w:t>:</w:t>
      </w:r>
    </w:p>
    <w:p w:rsidR="00B35EBB" w:rsidRDefault="00B35EBB" w:rsidP="00B35EBB">
      <w:pPr>
        <w:spacing w:line="240" w:lineRule="auto"/>
        <w:rPr>
          <w:rFonts w:ascii="Bookman Old Style" w:hAnsi="Bookman Old Style" w:cs="Arial"/>
          <w:b/>
          <w:spacing w:val="-3"/>
        </w:rPr>
      </w:pPr>
    </w:p>
    <w:p w:rsidR="00A93C8A" w:rsidRDefault="00A93C8A" w:rsidP="00CD6C19">
      <w:pPr>
        <w:spacing w:line="240" w:lineRule="auto"/>
        <w:rPr>
          <w:rFonts w:ascii="Bookman Old Style" w:hAnsi="Bookman Old Style" w:cs="Arial"/>
          <w:b/>
        </w:rPr>
      </w:pPr>
    </w:p>
    <w:p w:rsidR="0044102E" w:rsidRPr="00207BB6" w:rsidRDefault="00E538B1" w:rsidP="0044102E">
      <w:pPr>
        <w:spacing w:line="240" w:lineRule="auto"/>
        <w:rPr>
          <w:rFonts w:ascii="Bookman Old Style" w:hAnsi="Bookman Old Style" w:cs="Arial"/>
          <w:spacing w:val="-3"/>
        </w:rPr>
      </w:pPr>
      <w:r w:rsidRPr="00B35EBB">
        <w:rPr>
          <w:rFonts w:ascii="Bookman Old Style" w:hAnsi="Bookman Old Style" w:cs="Arial"/>
          <w:b/>
        </w:rPr>
        <w:t xml:space="preserve">Artículo </w:t>
      </w:r>
      <w:r w:rsidR="00AD2372">
        <w:rPr>
          <w:rFonts w:ascii="Bookman Old Style" w:hAnsi="Bookman Old Style" w:cs="Arial"/>
          <w:b/>
        </w:rPr>
        <w:t>1</w:t>
      </w:r>
      <w:r w:rsidRPr="00B35EBB">
        <w:rPr>
          <w:rFonts w:ascii="Bookman Old Style" w:hAnsi="Bookman Old Style" w:cs="Arial"/>
          <w:b/>
        </w:rPr>
        <w:t>.</w:t>
      </w:r>
      <w:r w:rsidR="00CD6C19">
        <w:rPr>
          <w:rFonts w:ascii="Bookman Old Style" w:hAnsi="Bookman Old Style" w:cs="Arial"/>
          <w:b/>
        </w:rPr>
        <w:t xml:space="preserve"> </w:t>
      </w:r>
      <w:r w:rsidR="00AD2372">
        <w:rPr>
          <w:rFonts w:ascii="Bookman Old Style" w:hAnsi="Bookman Old Style" w:cs="Arial"/>
          <w:spacing w:val="-3"/>
        </w:rPr>
        <w:t>M</w:t>
      </w:r>
      <w:r w:rsidR="004134A0">
        <w:rPr>
          <w:rFonts w:ascii="Bookman Old Style" w:hAnsi="Bookman Old Style" w:cs="Arial"/>
          <w:spacing w:val="-3"/>
        </w:rPr>
        <w:t xml:space="preserve">odificar </w:t>
      </w:r>
      <w:r w:rsidR="0044102E" w:rsidRPr="00207BB6">
        <w:rPr>
          <w:rFonts w:ascii="Bookman Old Style" w:hAnsi="Bookman Old Style" w:cs="Arial"/>
          <w:spacing w:val="-3"/>
        </w:rPr>
        <w:t xml:space="preserve">el Artículo 7 de la Resolución CREG 058 de 2008, </w:t>
      </w:r>
      <w:r w:rsidR="007A4E91">
        <w:rPr>
          <w:rFonts w:ascii="Bookman Old Style" w:hAnsi="Bookman Old Style" w:cs="Arial"/>
          <w:spacing w:val="-3"/>
        </w:rPr>
        <w:t xml:space="preserve">modificado por la Resolución CREG 068 de 2008, </w:t>
      </w:r>
      <w:r w:rsidR="0044102E" w:rsidRPr="00207BB6">
        <w:rPr>
          <w:rFonts w:ascii="Bookman Old Style" w:hAnsi="Bookman Old Style" w:cs="Arial"/>
          <w:spacing w:val="-3"/>
        </w:rPr>
        <w:t>el cual quedará así:</w:t>
      </w:r>
    </w:p>
    <w:p w:rsidR="0044102E" w:rsidRDefault="0044102E" w:rsidP="0044102E">
      <w:pPr>
        <w:spacing w:line="240" w:lineRule="auto"/>
        <w:rPr>
          <w:rFonts w:ascii="Bookman Old Style" w:hAnsi="Bookman Old Style" w:cs="Arial"/>
          <w:b/>
          <w:spacing w:val="-3"/>
        </w:rPr>
      </w:pPr>
    </w:p>
    <w:p w:rsidR="0044102E" w:rsidRPr="00207BB6" w:rsidRDefault="0044102E" w:rsidP="0044102E">
      <w:pPr>
        <w:spacing w:line="240" w:lineRule="auto"/>
        <w:rPr>
          <w:rFonts w:ascii="Bookman Old Style" w:hAnsi="Bookman Old Style" w:cs="Arial"/>
          <w:i/>
        </w:rPr>
      </w:pPr>
      <w:r w:rsidRPr="00207BB6">
        <w:rPr>
          <w:rFonts w:ascii="Bookman Old Style" w:hAnsi="Bookman Old Style" w:cs="Arial"/>
          <w:b/>
          <w:i/>
        </w:rPr>
        <w:t>“Artículo 7.  Transición.</w:t>
      </w:r>
      <w:r w:rsidRPr="00207BB6">
        <w:rPr>
          <w:rFonts w:ascii="Bookman Old Style" w:hAnsi="Bookman Old Style" w:cs="Arial"/>
          <w:i/>
        </w:rPr>
        <w:t xml:space="preserve">  La presente resolución se aplicará en dos fases de la siguiente manera:</w:t>
      </w:r>
    </w:p>
    <w:p w:rsidR="0044102E" w:rsidRDefault="0044102E" w:rsidP="0044102E">
      <w:pPr>
        <w:rPr>
          <w:rFonts w:ascii="Bookman Old Style" w:hAnsi="Bookman Old Style" w:cs="Arial"/>
          <w:i/>
        </w:rPr>
      </w:pPr>
    </w:p>
    <w:p w:rsidR="0044102E" w:rsidRPr="00207BB6" w:rsidRDefault="0044102E" w:rsidP="0044102E">
      <w:pPr>
        <w:rPr>
          <w:rFonts w:ascii="Bookman Old Style" w:hAnsi="Bookman Old Style" w:cs="Arial"/>
          <w:b/>
          <w:i/>
        </w:rPr>
      </w:pPr>
      <w:r w:rsidRPr="00207BB6">
        <w:rPr>
          <w:rFonts w:ascii="Bookman Old Style" w:hAnsi="Bookman Old Style" w:cs="Arial"/>
          <w:b/>
          <w:i/>
        </w:rPr>
        <w:t>Fase 1</w:t>
      </w:r>
    </w:p>
    <w:p w:rsidR="0044102E" w:rsidRPr="00207BB6" w:rsidRDefault="0044102E" w:rsidP="0044102E">
      <w:pPr>
        <w:spacing w:line="240" w:lineRule="auto"/>
        <w:rPr>
          <w:rFonts w:ascii="Bookman Old Style" w:hAnsi="Bookman Old Style" w:cs="Arial"/>
          <w:b/>
          <w:i/>
        </w:rPr>
      </w:pPr>
    </w:p>
    <w:p w:rsidR="0044102E" w:rsidRPr="00207BB6" w:rsidRDefault="0044102E" w:rsidP="0044102E">
      <w:pPr>
        <w:spacing w:line="240" w:lineRule="auto"/>
        <w:rPr>
          <w:rFonts w:ascii="Bookman Old Style" w:hAnsi="Bookman Old Style" w:cs="Arial"/>
          <w:i/>
        </w:rPr>
      </w:pPr>
      <w:r w:rsidRPr="00207BB6">
        <w:rPr>
          <w:rFonts w:ascii="Bookman Old Style" w:hAnsi="Bookman Old Style" w:cs="Arial"/>
          <w:i/>
        </w:rPr>
        <w:t xml:space="preserve">A partir del mes de entrada en vigencia de la presente resolución y hasta que entren en vigencia los costos y cargos calculados con base en la nueva metodología de remuneración de la actividad de Distribución de todos los OR en un ADD, se calcularán los cargos por uso por nivel de tensión, en aquellos Departamentos donde exista más de un OR, según los siguientes reglas:  </w:t>
      </w:r>
    </w:p>
    <w:p w:rsidR="0044102E" w:rsidRPr="00207BB6" w:rsidRDefault="0044102E" w:rsidP="0044102E">
      <w:pPr>
        <w:widowControl/>
        <w:numPr>
          <w:ilvl w:val="0"/>
          <w:numId w:val="11"/>
        </w:numPr>
        <w:adjustRightInd/>
        <w:spacing w:before="160" w:after="160" w:line="240" w:lineRule="auto"/>
        <w:ind w:left="284" w:hanging="284"/>
        <w:textAlignment w:val="auto"/>
        <w:rPr>
          <w:rFonts w:ascii="Bookman Old Style" w:hAnsi="Bookman Old Style" w:cs="Arial"/>
          <w:i/>
        </w:rPr>
      </w:pPr>
      <w:r w:rsidRPr="00207BB6">
        <w:rPr>
          <w:rFonts w:ascii="Bookman Old Style" w:hAnsi="Bookman Old Style" w:cs="Arial"/>
          <w:i/>
        </w:rPr>
        <w:t xml:space="preserve">Cuando en un mismo </w:t>
      </w:r>
      <w:r>
        <w:rPr>
          <w:rFonts w:ascii="Bookman Old Style" w:hAnsi="Bookman Old Style" w:cs="Arial"/>
          <w:i/>
        </w:rPr>
        <w:t>d</w:t>
      </w:r>
      <w:r w:rsidRPr="00207BB6">
        <w:rPr>
          <w:rFonts w:ascii="Bookman Old Style" w:hAnsi="Bookman Old Style" w:cs="Arial"/>
          <w:i/>
        </w:rPr>
        <w:t>epartamento exista más de un OR y el Cargo por Uso, de un Nivel de Tensión determinado, de al menos uno de ellos sea inferior al Cargo Único del ADD y exista un OR con un cargo por uso superior al Cargo Unificado, los cargos del (los) OR Excedentario(s) se incrementarán mensualmente de manera proporcional con el incremento resultante según la Duración de la transición para el OR Excedentario con el cargo más bajo en el ADD</w:t>
      </w:r>
      <w:r>
        <w:rPr>
          <w:rFonts w:ascii="Bookman Old Style" w:hAnsi="Bookman Old Style" w:cs="Arial"/>
          <w:i/>
        </w:rPr>
        <w:t>,</w:t>
      </w:r>
      <w:r w:rsidRPr="00207BB6">
        <w:rPr>
          <w:rFonts w:ascii="Bookman Old Style" w:hAnsi="Bookman Old Style" w:cs="Arial"/>
          <w:i/>
        </w:rPr>
        <w:t xml:space="preserve"> como se determina más adelante.</w:t>
      </w:r>
    </w:p>
    <w:p w:rsidR="0044102E" w:rsidRDefault="0044102E" w:rsidP="0044102E">
      <w:pPr>
        <w:pStyle w:val="Prrafodelista"/>
        <w:numPr>
          <w:ilvl w:val="0"/>
          <w:numId w:val="11"/>
        </w:numPr>
        <w:ind w:left="284" w:hanging="284"/>
        <w:jc w:val="both"/>
        <w:rPr>
          <w:rFonts w:ascii="Bookman Old Style" w:hAnsi="Bookman Old Style" w:cs="Arial"/>
          <w:i/>
        </w:rPr>
      </w:pPr>
      <w:r w:rsidRPr="00207BB6">
        <w:rPr>
          <w:rFonts w:ascii="Bookman Old Style" w:hAnsi="Bookman Old Style" w:cs="Arial"/>
          <w:i/>
        </w:rPr>
        <w:t xml:space="preserve">Únicamente para los efectos de la presente transición, se entiende que un OR </w:t>
      </w:r>
      <w:r w:rsidR="00AD1EF7">
        <w:rPr>
          <w:rFonts w:ascii="Bookman Old Style" w:hAnsi="Bookman Old Style" w:cs="Arial"/>
          <w:i/>
        </w:rPr>
        <w:t>atiende</w:t>
      </w:r>
      <w:r w:rsidRPr="00207BB6">
        <w:rPr>
          <w:rFonts w:ascii="Bookman Old Style" w:hAnsi="Bookman Old Style" w:cs="Arial"/>
          <w:i/>
        </w:rPr>
        <w:t xml:space="preserve"> un </w:t>
      </w:r>
      <w:r>
        <w:rPr>
          <w:rFonts w:ascii="Bookman Old Style" w:hAnsi="Bookman Old Style" w:cs="Arial"/>
          <w:i/>
        </w:rPr>
        <w:t>d</w:t>
      </w:r>
      <w:r w:rsidRPr="00207BB6">
        <w:rPr>
          <w:rFonts w:ascii="Bookman Old Style" w:hAnsi="Bookman Old Style" w:cs="Arial"/>
          <w:i/>
        </w:rPr>
        <w:t xml:space="preserve">epartamento cuando </w:t>
      </w:r>
      <w:r w:rsidR="00872906">
        <w:rPr>
          <w:rFonts w:ascii="Bookman Old Style" w:hAnsi="Bookman Old Style" w:cs="Arial"/>
          <w:i/>
        </w:rPr>
        <w:t xml:space="preserve">a sus redes se encuentren conectados como mínimo </w:t>
      </w:r>
      <w:r w:rsidRPr="00207BB6">
        <w:rPr>
          <w:rFonts w:ascii="Bookman Old Style" w:hAnsi="Bookman Old Style" w:cs="Arial"/>
          <w:i/>
        </w:rPr>
        <w:t>el 50% de</w:t>
      </w:r>
      <w:r w:rsidR="00AD1EF7">
        <w:rPr>
          <w:rFonts w:ascii="Bookman Old Style" w:hAnsi="Bookman Old Style" w:cs="Arial"/>
          <w:i/>
        </w:rPr>
        <w:t xml:space="preserve"> </w:t>
      </w:r>
      <w:r w:rsidR="00872906">
        <w:rPr>
          <w:rFonts w:ascii="Bookman Old Style" w:hAnsi="Bookman Old Style" w:cs="Arial"/>
          <w:i/>
        </w:rPr>
        <w:t>l</w:t>
      </w:r>
      <w:r w:rsidR="00AD1EF7">
        <w:rPr>
          <w:rFonts w:ascii="Bookman Old Style" w:hAnsi="Bookman Old Style" w:cs="Arial"/>
          <w:i/>
        </w:rPr>
        <w:t xml:space="preserve">a totalidad de </w:t>
      </w:r>
      <w:r w:rsidR="00872906">
        <w:rPr>
          <w:rFonts w:ascii="Bookman Old Style" w:hAnsi="Bookman Old Style" w:cs="Arial"/>
          <w:i/>
        </w:rPr>
        <w:t xml:space="preserve">usuarios </w:t>
      </w:r>
      <w:r w:rsidRPr="00207BB6">
        <w:rPr>
          <w:rFonts w:ascii="Bookman Old Style" w:hAnsi="Bookman Old Style" w:cs="Arial"/>
          <w:i/>
        </w:rPr>
        <w:t xml:space="preserve">existentes al interior de los límites </w:t>
      </w:r>
      <w:r w:rsidRPr="00207BB6">
        <w:rPr>
          <w:rFonts w:ascii="Bookman Old Style" w:hAnsi="Bookman Old Style" w:cs="Arial"/>
          <w:i/>
        </w:rPr>
        <w:lastRenderedPageBreak/>
        <w:t xml:space="preserve">geográficos departamentales o, cuando más del 50% del número de </w:t>
      </w:r>
      <w:r w:rsidR="00872906">
        <w:rPr>
          <w:rFonts w:ascii="Bookman Old Style" w:hAnsi="Bookman Old Style" w:cs="Arial"/>
          <w:i/>
        </w:rPr>
        <w:t xml:space="preserve">usuarios conectados a un </w:t>
      </w:r>
      <w:r w:rsidRPr="00207BB6">
        <w:rPr>
          <w:rFonts w:ascii="Bookman Old Style" w:hAnsi="Bookman Old Style" w:cs="Arial"/>
          <w:i/>
        </w:rPr>
        <w:t xml:space="preserve">OR se encuentren al interior de los límites geográficos de un </w:t>
      </w:r>
      <w:r w:rsidR="00990B99">
        <w:rPr>
          <w:rFonts w:ascii="Bookman Old Style" w:hAnsi="Bookman Old Style" w:cs="Arial"/>
          <w:i/>
        </w:rPr>
        <w:t xml:space="preserve">mismo </w:t>
      </w:r>
      <w:r>
        <w:rPr>
          <w:rFonts w:ascii="Bookman Old Style" w:hAnsi="Bookman Old Style" w:cs="Arial"/>
          <w:i/>
        </w:rPr>
        <w:t>d</w:t>
      </w:r>
      <w:r w:rsidRPr="00207BB6">
        <w:rPr>
          <w:rFonts w:ascii="Bookman Old Style" w:hAnsi="Bookman Old Style" w:cs="Arial"/>
          <w:i/>
        </w:rPr>
        <w:t xml:space="preserve">epartamento.  </w:t>
      </w:r>
    </w:p>
    <w:p w:rsidR="004F528B" w:rsidRPr="004F528B" w:rsidRDefault="004F528B" w:rsidP="004F528B">
      <w:pPr>
        <w:rPr>
          <w:rFonts w:ascii="Bookman Old Style" w:hAnsi="Bookman Old Style" w:cs="Arial"/>
          <w:i/>
        </w:rPr>
      </w:pPr>
    </w:p>
    <w:p w:rsidR="0044102E" w:rsidRPr="00207BB6" w:rsidRDefault="0044102E" w:rsidP="0044102E">
      <w:pPr>
        <w:pStyle w:val="Prrafodelista"/>
        <w:numPr>
          <w:ilvl w:val="0"/>
          <w:numId w:val="11"/>
        </w:numPr>
        <w:ind w:left="284" w:hanging="284"/>
        <w:jc w:val="both"/>
        <w:rPr>
          <w:rFonts w:ascii="Bookman Old Style" w:hAnsi="Bookman Old Style" w:cs="Arial"/>
          <w:i/>
        </w:rPr>
      </w:pPr>
      <w:r w:rsidRPr="00207BB6">
        <w:rPr>
          <w:rFonts w:ascii="Bookman Old Style" w:hAnsi="Bookman Old Style" w:cs="Arial"/>
          <w:i/>
        </w:rPr>
        <w:t>Se calcularán los Cargos Únicos para cada Nivel de Tensión en todas las ADD, utilizando, para la determinación del EF</w:t>
      </w:r>
      <w:r w:rsidRPr="00207BB6">
        <w:rPr>
          <w:rFonts w:ascii="Bookman Old Style" w:hAnsi="Bookman Old Style" w:cs="Arial"/>
          <w:i/>
          <w:vertAlign w:val="subscript"/>
        </w:rPr>
        <w:t xml:space="preserve">j,1,m-2,l,b </w:t>
      </w:r>
      <w:r w:rsidRPr="00207BB6">
        <w:rPr>
          <w:rFonts w:ascii="Bookman Old Style" w:hAnsi="Bookman Old Style" w:cs="Arial"/>
          <w:i/>
        </w:rPr>
        <w:t xml:space="preserve">y de los </w:t>
      </w:r>
      <w:proofErr w:type="spellStart"/>
      <w:r w:rsidRPr="00207BB6">
        <w:rPr>
          <w:rFonts w:ascii="Bookman Old Style" w:hAnsi="Bookman Old Style"/>
          <w:i/>
        </w:rPr>
        <w:t>EF</w:t>
      </w:r>
      <w:r w:rsidRPr="00207BB6">
        <w:rPr>
          <w:rFonts w:ascii="Bookman Old Style" w:hAnsi="Bookman Old Style"/>
          <w:i/>
          <w:vertAlign w:val="subscript"/>
        </w:rPr>
        <w:t>j,n,m</w:t>
      </w:r>
      <w:proofErr w:type="spellEnd"/>
      <w:r w:rsidRPr="00207BB6">
        <w:rPr>
          <w:rFonts w:ascii="Bookman Old Style" w:hAnsi="Bookman Old Style"/>
          <w:i/>
          <w:vertAlign w:val="subscript"/>
        </w:rPr>
        <w:t>,</w:t>
      </w:r>
      <w:r w:rsidRPr="00207BB6">
        <w:rPr>
          <w:rFonts w:ascii="Bookman Old Style" w:hAnsi="Bookman Old Style" w:cs="Arial"/>
          <w:i/>
        </w:rPr>
        <w:t xml:space="preserve"> las ventas de los Comercializadores en cada mercado de comercialización tomado del SUI </w:t>
      </w:r>
      <w:r w:rsidR="000156B6">
        <w:rPr>
          <w:rFonts w:ascii="Bookman Old Style" w:hAnsi="Bookman Old Style" w:cs="Arial"/>
          <w:i/>
        </w:rPr>
        <w:t>correspondientes al mes de febrero de 2008</w:t>
      </w:r>
      <w:r w:rsidRPr="00207BB6">
        <w:rPr>
          <w:rFonts w:ascii="Bookman Old Style" w:hAnsi="Bookman Old Style" w:cs="Arial"/>
          <w:i/>
        </w:rPr>
        <w:t xml:space="preserve">.  Los Cargos Únicos para cada Nivel de Tensión resultantes permanecerán fijos durante la </w:t>
      </w:r>
      <w:r w:rsidR="008765F1">
        <w:rPr>
          <w:rFonts w:ascii="Bookman Old Style" w:hAnsi="Bookman Old Style" w:cs="Arial"/>
          <w:i/>
        </w:rPr>
        <w:t>fase</w:t>
      </w:r>
      <w:r w:rsidRPr="00207BB6">
        <w:rPr>
          <w:rFonts w:ascii="Bookman Old Style" w:hAnsi="Bookman Old Style" w:cs="Arial"/>
          <w:i/>
        </w:rPr>
        <w:t xml:space="preserve"> 1, actualizados únicamente por el IPP respectivo.</w:t>
      </w:r>
    </w:p>
    <w:p w:rsidR="0044102E" w:rsidRPr="00207BB6" w:rsidRDefault="0044102E" w:rsidP="0044102E">
      <w:pPr>
        <w:rPr>
          <w:rFonts w:ascii="Bookman Old Style" w:hAnsi="Bookman Old Style" w:cs="Arial"/>
          <w:i/>
        </w:rPr>
      </w:pPr>
    </w:p>
    <w:p w:rsidR="0044102E" w:rsidRPr="00207BB6" w:rsidRDefault="0044102E" w:rsidP="0044102E">
      <w:pPr>
        <w:pStyle w:val="Prrafodelista"/>
        <w:numPr>
          <w:ilvl w:val="0"/>
          <w:numId w:val="11"/>
        </w:numPr>
        <w:ind w:left="284" w:hanging="284"/>
        <w:jc w:val="both"/>
        <w:rPr>
          <w:rFonts w:ascii="Bookman Old Style" w:hAnsi="Bookman Old Style" w:cs="Arial"/>
          <w:i/>
        </w:rPr>
      </w:pPr>
      <w:r w:rsidRPr="00207BB6">
        <w:rPr>
          <w:rFonts w:ascii="Bookman Old Style" w:hAnsi="Bookman Old Style" w:cs="Arial"/>
          <w:i/>
        </w:rPr>
        <w:t xml:space="preserve">El aumento en el cargo de distribución de los OR Excedentarios se aplicará hasta que los OR deficitarios del Departamento alcancen el Cargo Único del ADD o </w:t>
      </w:r>
      <w:r>
        <w:rPr>
          <w:rFonts w:ascii="Bookman Old Style" w:hAnsi="Bookman Old Style" w:cs="Arial"/>
          <w:i/>
        </w:rPr>
        <w:t xml:space="preserve">hasta que </w:t>
      </w:r>
      <w:r w:rsidRPr="00207BB6">
        <w:rPr>
          <w:rFonts w:ascii="Bookman Old Style" w:hAnsi="Bookman Old Style" w:cs="Arial"/>
          <w:i/>
        </w:rPr>
        <w:t>el OR Excedentario con el cargo más bajo en el ADD</w:t>
      </w:r>
      <w:r>
        <w:rPr>
          <w:rFonts w:ascii="Bookman Old Style" w:hAnsi="Bookman Old Style" w:cs="Arial"/>
          <w:i/>
        </w:rPr>
        <w:t>,</w:t>
      </w:r>
      <w:r w:rsidRPr="00207BB6">
        <w:rPr>
          <w:rFonts w:ascii="Bookman Old Style" w:hAnsi="Bookman Old Style" w:cs="Arial"/>
          <w:i/>
        </w:rPr>
        <w:t xml:space="preserve"> alcance el Cargo Único Transitorio del departamento.  A partir de este momento comenzarán a utilizarse los </w:t>
      </w:r>
      <w:r w:rsidRPr="00207BB6">
        <w:rPr>
          <w:rFonts w:ascii="Symbol" w:hAnsi="Symbol"/>
          <w:i/>
        </w:rPr>
        <w:t></w:t>
      </w:r>
      <w:r w:rsidRPr="00207BB6">
        <w:rPr>
          <w:rFonts w:ascii="Symbol" w:hAnsi="Symbol"/>
          <w:i/>
        </w:rPr>
        <w:t></w:t>
      </w:r>
      <w:proofErr w:type="spellStart"/>
      <w:r w:rsidRPr="00207BB6">
        <w:rPr>
          <w:rFonts w:ascii="Bookman Old Style" w:hAnsi="Bookman Old Style"/>
          <w:i/>
          <w:vertAlign w:val="subscript"/>
        </w:rPr>
        <w:t>n</w:t>
      </w:r>
      <w:proofErr w:type="gramStart"/>
      <w:r w:rsidRPr="00207BB6">
        <w:rPr>
          <w:rFonts w:ascii="Bookman Old Style" w:hAnsi="Bookman Old Style"/>
          <w:i/>
          <w:vertAlign w:val="subscript"/>
        </w:rPr>
        <w:t>,m,a</w:t>
      </w:r>
      <w:proofErr w:type="spellEnd"/>
      <w:proofErr w:type="gramEnd"/>
      <w:r w:rsidRPr="00207BB6">
        <w:rPr>
          <w:rFonts w:ascii="Bookman Old Style" w:hAnsi="Bookman Old Style"/>
          <w:i/>
          <w:vertAlign w:val="subscript"/>
        </w:rPr>
        <w:t xml:space="preserve"> </w:t>
      </w:r>
      <w:r w:rsidRPr="00207BB6">
        <w:rPr>
          <w:rFonts w:ascii="Bookman Old Style" w:hAnsi="Bookman Old Style"/>
          <w:i/>
        </w:rPr>
        <w:t>y</w:t>
      </w:r>
      <w:r w:rsidRPr="00207BB6">
        <w:rPr>
          <w:rFonts w:ascii="Bookman Old Style" w:hAnsi="Bookman Old Style"/>
          <w:i/>
          <w:vertAlign w:val="subscript"/>
        </w:rPr>
        <w:t xml:space="preserve"> </w:t>
      </w:r>
      <w:r w:rsidRPr="00207BB6">
        <w:rPr>
          <w:rFonts w:ascii="Symbol" w:hAnsi="Symbol"/>
          <w:i/>
        </w:rPr>
        <w:t></w:t>
      </w:r>
      <w:r w:rsidRPr="00207BB6">
        <w:rPr>
          <w:rFonts w:ascii="Symbol" w:hAnsi="Symbol"/>
          <w:i/>
        </w:rPr>
        <w:t></w:t>
      </w:r>
      <w:r w:rsidRPr="00207BB6">
        <w:rPr>
          <w:rFonts w:ascii="Bookman Old Style" w:hAnsi="Bookman Old Style" w:cs="Arial"/>
          <w:i/>
          <w:vertAlign w:val="subscript"/>
        </w:rPr>
        <w:t>1,m,a</w:t>
      </w:r>
      <w:r w:rsidRPr="00207BB6">
        <w:rPr>
          <w:rFonts w:ascii="Bookman Old Style" w:hAnsi="Bookman Old Style" w:cs="Arial"/>
          <w:i/>
        </w:rPr>
        <w:t xml:space="preserve">. Cuando un OR Excedentario, que no tenga el cargo más bajo del ADD, alcance el Cargo Único Transitorio del departamento, no se le seguirá incrementando su tarifa, la </w:t>
      </w:r>
      <w:r>
        <w:rPr>
          <w:rFonts w:ascii="Bookman Old Style" w:hAnsi="Bookman Old Style" w:cs="Arial"/>
          <w:i/>
        </w:rPr>
        <w:t>cual</w:t>
      </w:r>
      <w:r w:rsidRPr="00207BB6">
        <w:rPr>
          <w:rFonts w:ascii="Bookman Old Style" w:hAnsi="Bookman Old Style" w:cs="Arial"/>
          <w:i/>
        </w:rPr>
        <w:t xml:space="preserve"> permanecerá constante hasta el inicio de la fase 2.  </w:t>
      </w:r>
    </w:p>
    <w:p w:rsidR="0044102E" w:rsidRPr="00207BB6" w:rsidRDefault="0044102E" w:rsidP="0044102E">
      <w:pPr>
        <w:pStyle w:val="Prrafodelista"/>
        <w:rPr>
          <w:rFonts w:ascii="Bookman Old Style" w:hAnsi="Bookman Old Style" w:cs="Arial"/>
          <w:i/>
        </w:rPr>
      </w:pPr>
    </w:p>
    <w:p w:rsidR="0044102E" w:rsidRPr="00207BB6" w:rsidRDefault="0044102E" w:rsidP="0044102E">
      <w:pPr>
        <w:pStyle w:val="Prrafodelista"/>
        <w:numPr>
          <w:ilvl w:val="0"/>
          <w:numId w:val="11"/>
        </w:numPr>
        <w:ind w:left="284" w:hanging="284"/>
        <w:jc w:val="both"/>
        <w:rPr>
          <w:rFonts w:ascii="Bookman Old Style" w:hAnsi="Bookman Old Style" w:cs="Arial"/>
          <w:i/>
        </w:rPr>
      </w:pPr>
      <w:r w:rsidRPr="00207BB6">
        <w:rPr>
          <w:rFonts w:ascii="Bookman Old Style" w:hAnsi="Bookman Old Style" w:cs="Arial"/>
          <w:i/>
        </w:rPr>
        <w:t xml:space="preserve">Con independencia de los aumentos o decrementos presentados por los cargos transitorios, todos los cargos serán actualizados con el IPP correspondiente. </w:t>
      </w:r>
    </w:p>
    <w:p w:rsidR="0044102E" w:rsidRPr="00207BB6" w:rsidRDefault="0044102E" w:rsidP="0044102E">
      <w:pPr>
        <w:pStyle w:val="Prrafodelista"/>
        <w:rPr>
          <w:rFonts w:ascii="Bookman Old Style" w:hAnsi="Bookman Old Style" w:cs="Arial"/>
          <w:i/>
        </w:rPr>
      </w:pPr>
    </w:p>
    <w:p w:rsidR="0044102E" w:rsidRPr="00207BB6" w:rsidRDefault="0044102E" w:rsidP="0044102E">
      <w:pPr>
        <w:pStyle w:val="Prrafodelista"/>
        <w:numPr>
          <w:ilvl w:val="0"/>
          <w:numId w:val="14"/>
        </w:numPr>
        <w:ind w:left="284" w:hanging="284"/>
        <w:jc w:val="both"/>
        <w:rPr>
          <w:rFonts w:ascii="Bookman Old Style" w:hAnsi="Bookman Old Style" w:cs="Arial"/>
          <w:i/>
        </w:rPr>
      </w:pPr>
      <w:r w:rsidRPr="00207BB6">
        <w:rPr>
          <w:rFonts w:ascii="Bookman Old Style" w:hAnsi="Bookman Old Style" w:cs="Arial"/>
          <w:i/>
        </w:rPr>
        <w:t>Los recursos adicionales, resultantes de la diferencia entre el cargo inicial del (los) OR Excedentario(s) y el cargo transitorio determinado, se distribuirán, para el cálculo del cargo por uso de los OR Deficitarios en el Departamento, de tal manera que el cargo por uso del OR más alto en el Departamento se disminuya hasta igualar el siguiente más alto del mismo Departamento y así sucesivamente.</w:t>
      </w:r>
    </w:p>
    <w:p w:rsidR="0044102E" w:rsidRPr="00207BB6" w:rsidRDefault="0044102E" w:rsidP="0044102E">
      <w:pPr>
        <w:ind w:left="360"/>
        <w:rPr>
          <w:rFonts w:ascii="Bookman Old Style" w:hAnsi="Bookman Old Style" w:cs="Arial"/>
          <w:i/>
        </w:rPr>
      </w:pPr>
    </w:p>
    <w:p w:rsidR="004F2567" w:rsidRPr="004F2567" w:rsidRDefault="0044102E" w:rsidP="004F528B">
      <w:pPr>
        <w:pStyle w:val="Prrafodelista"/>
        <w:numPr>
          <w:ilvl w:val="0"/>
          <w:numId w:val="13"/>
        </w:numPr>
        <w:ind w:left="284" w:hanging="284"/>
        <w:jc w:val="both"/>
        <w:rPr>
          <w:rFonts w:ascii="Bookman Old Style" w:hAnsi="Bookman Old Style"/>
          <w:i/>
        </w:rPr>
      </w:pPr>
      <w:r w:rsidRPr="00F34463">
        <w:rPr>
          <w:rFonts w:ascii="Bookman Old Style" w:hAnsi="Bookman Old Style" w:cs="Arial"/>
          <w:i/>
        </w:rPr>
        <w:t xml:space="preserve">Para el inicio de la aplicación de la presente resolución </w:t>
      </w:r>
      <w:r w:rsidR="004F528B" w:rsidRPr="00F34463">
        <w:rPr>
          <w:rFonts w:ascii="Bookman Old Style" w:hAnsi="Bookman Old Style" w:cs="Arial"/>
          <w:i/>
        </w:rPr>
        <w:t xml:space="preserve">el LAC usará la información de  ventas de energía por mercado de Comercialización y por nivel de tensión disponible en el SUI correspondiente al mes de febrero de 2008, con sujeción  a los siguientes parámetros: i) </w:t>
      </w:r>
      <w:r w:rsidR="00676CF4" w:rsidRPr="00F34463">
        <w:rPr>
          <w:rFonts w:ascii="Bookman Old Style" w:hAnsi="Bookman Old Style" w:cs="Arial"/>
          <w:i/>
        </w:rPr>
        <w:t>Para el cálculo de los cargos unificados del Nivel de Tensión 1 se asumirá que la totalidad de l</w:t>
      </w:r>
      <w:r w:rsidR="004F528B" w:rsidRPr="00F34463">
        <w:rPr>
          <w:rFonts w:ascii="Bookman Old Style" w:hAnsi="Bookman Old Style" w:cs="Arial"/>
          <w:i/>
        </w:rPr>
        <w:t>a energía</w:t>
      </w:r>
      <w:r w:rsidR="00676CF4" w:rsidRPr="00F34463">
        <w:rPr>
          <w:rFonts w:ascii="Bookman Old Style" w:hAnsi="Bookman Old Style" w:cs="Arial"/>
          <w:i/>
        </w:rPr>
        <w:t xml:space="preserve"> de los usuarios residenciales proviene del Nivel de Tensión 2,</w:t>
      </w:r>
      <w:r w:rsidR="00F34463" w:rsidRPr="00F34463">
        <w:rPr>
          <w:rFonts w:ascii="Bookman Old Style" w:hAnsi="Bookman Old Style" w:cs="Arial"/>
          <w:i/>
        </w:rPr>
        <w:t xml:space="preserve"> </w:t>
      </w:r>
      <w:proofErr w:type="spellStart"/>
      <w:r w:rsidR="00676CF4" w:rsidRPr="00F34463">
        <w:rPr>
          <w:rFonts w:ascii="Bookman Old Style" w:hAnsi="Bookman Old Style" w:cs="Arial"/>
          <w:i/>
        </w:rPr>
        <w:t>ii</w:t>
      </w:r>
      <w:proofErr w:type="spellEnd"/>
      <w:r w:rsidR="00676CF4" w:rsidRPr="00F34463">
        <w:rPr>
          <w:rFonts w:ascii="Bookman Old Style" w:hAnsi="Bookman Old Style" w:cs="Arial"/>
          <w:i/>
        </w:rPr>
        <w:t xml:space="preserve">) Para el cálculo de los cargos unificados del Nivel de Tensión 1, el Nivel de Tensión de donde proviene la energía para atender los usuarios no residenciales del Nivel de Tensión 1 se determinará </w:t>
      </w:r>
      <w:r w:rsidR="003A304E">
        <w:rPr>
          <w:rFonts w:ascii="Bookman Old Style" w:hAnsi="Bookman Old Style" w:cs="Arial"/>
          <w:i/>
        </w:rPr>
        <w:t>con</w:t>
      </w:r>
      <w:r w:rsidR="00676CF4" w:rsidRPr="00F34463">
        <w:rPr>
          <w:rFonts w:ascii="Bookman Old Style" w:hAnsi="Bookman Old Style" w:cs="Arial"/>
          <w:i/>
        </w:rPr>
        <w:t xml:space="preserve"> la información contenida en los formatos B1 y B2 reportados al SUI </w:t>
      </w:r>
      <w:r w:rsidR="00F34463" w:rsidRPr="00F34463">
        <w:rPr>
          <w:rFonts w:ascii="Bookman Old Style" w:hAnsi="Bookman Old Style" w:cs="Arial"/>
          <w:i/>
        </w:rPr>
        <w:t>para los usuarios correspondientes, en caso que no sea posible dicha correspondencia</w:t>
      </w:r>
      <w:r w:rsidR="003A304E">
        <w:rPr>
          <w:rFonts w:ascii="Bookman Old Style" w:hAnsi="Bookman Old Style" w:cs="Arial"/>
          <w:i/>
        </w:rPr>
        <w:t>,</w:t>
      </w:r>
      <w:r w:rsidR="00F34463" w:rsidRPr="00F34463">
        <w:rPr>
          <w:rFonts w:ascii="Bookman Old Style" w:hAnsi="Bookman Old Style" w:cs="Arial"/>
          <w:i/>
        </w:rPr>
        <w:t xml:space="preserve"> se asumirá que proviene del Nivel de Tensión 2</w:t>
      </w:r>
      <w:r w:rsidR="00F34463">
        <w:rPr>
          <w:rFonts w:ascii="Bookman Old Style" w:hAnsi="Bookman Old Style" w:cs="Arial"/>
          <w:i/>
        </w:rPr>
        <w:t xml:space="preserve">, </w:t>
      </w:r>
      <w:proofErr w:type="spellStart"/>
      <w:r w:rsidR="00676CF4" w:rsidRPr="00F34463">
        <w:rPr>
          <w:rFonts w:ascii="Bookman Old Style" w:hAnsi="Bookman Old Style" w:cs="Arial"/>
          <w:i/>
        </w:rPr>
        <w:t>iii</w:t>
      </w:r>
      <w:proofErr w:type="spellEnd"/>
      <w:r w:rsidR="00676CF4" w:rsidRPr="00F34463">
        <w:rPr>
          <w:rFonts w:ascii="Bookman Old Style" w:hAnsi="Bookman Old Style" w:cs="Arial"/>
          <w:i/>
        </w:rPr>
        <w:t xml:space="preserve">) </w:t>
      </w:r>
      <w:r w:rsidR="00CB7316" w:rsidRPr="00F34463">
        <w:rPr>
          <w:rFonts w:ascii="Bookman Old Style" w:hAnsi="Bookman Old Style" w:cs="Arial"/>
          <w:i/>
        </w:rPr>
        <w:t xml:space="preserve">cuando en el SUI se encuentre información asociada con usuarios para los cuales el OR no haya informado el cargo respectivo, el LAC no tendrá dicha información de energía en cuenta. </w:t>
      </w:r>
      <w:r w:rsidR="00C80E49" w:rsidRPr="00F34463">
        <w:rPr>
          <w:rFonts w:ascii="Bookman Old Style" w:hAnsi="Bookman Old Style" w:cs="Arial"/>
          <w:i/>
        </w:rPr>
        <w:t xml:space="preserve"> </w:t>
      </w:r>
    </w:p>
    <w:p w:rsidR="004F2567" w:rsidRPr="004F2567" w:rsidRDefault="004F2567" w:rsidP="004F2567">
      <w:pPr>
        <w:rPr>
          <w:rFonts w:ascii="Bookman Old Style" w:hAnsi="Bookman Old Style"/>
          <w:i/>
        </w:rPr>
      </w:pPr>
    </w:p>
    <w:p w:rsidR="00CB7316" w:rsidRPr="004F2567" w:rsidRDefault="00C80E49" w:rsidP="004F2567">
      <w:pPr>
        <w:spacing w:line="220" w:lineRule="atLeast"/>
        <w:ind w:left="284"/>
        <w:rPr>
          <w:rFonts w:ascii="Bookman Old Style" w:hAnsi="Bookman Old Style"/>
          <w:i/>
        </w:rPr>
      </w:pPr>
      <w:r w:rsidRPr="004F2567">
        <w:rPr>
          <w:rFonts w:ascii="Bookman Old Style" w:hAnsi="Bookman Old Style" w:cs="Arial"/>
          <w:i/>
        </w:rPr>
        <w:t xml:space="preserve">De cualquier manera, en caso que se encuentren aspectos no considerados o inconsistencias en la información que no permitan el cálculo de los cargos unificados según lo establecido en la presente resolución, el LAC efectuará los </w:t>
      </w:r>
      <w:r w:rsidR="003A304E" w:rsidRPr="004F2567">
        <w:rPr>
          <w:rFonts w:ascii="Bookman Old Style" w:hAnsi="Bookman Old Style" w:cs="Arial"/>
          <w:i/>
        </w:rPr>
        <w:t>cálculos con la mejor información disponible</w:t>
      </w:r>
      <w:r w:rsidRPr="004F2567">
        <w:rPr>
          <w:rFonts w:ascii="Bookman Old Style" w:hAnsi="Bookman Old Style" w:cs="Arial"/>
          <w:i/>
        </w:rPr>
        <w:t>.</w:t>
      </w:r>
    </w:p>
    <w:p w:rsidR="00C80E49" w:rsidRPr="00C80E49" w:rsidRDefault="00C80E49" w:rsidP="00C80E49">
      <w:pPr>
        <w:rPr>
          <w:rFonts w:ascii="Bookman Old Style" w:hAnsi="Bookman Old Style"/>
          <w:i/>
        </w:rPr>
      </w:pPr>
    </w:p>
    <w:p w:rsidR="0044102E" w:rsidRPr="00207BB6" w:rsidRDefault="0044102E" w:rsidP="004F528B">
      <w:pPr>
        <w:pStyle w:val="Prrafodelista"/>
        <w:numPr>
          <w:ilvl w:val="0"/>
          <w:numId w:val="13"/>
        </w:numPr>
        <w:ind w:left="284" w:hanging="284"/>
        <w:jc w:val="both"/>
        <w:rPr>
          <w:rFonts w:ascii="Bookman Old Style" w:hAnsi="Bookman Old Style"/>
          <w:i/>
        </w:rPr>
      </w:pPr>
      <w:r w:rsidRPr="00207BB6">
        <w:rPr>
          <w:rFonts w:ascii="Bookman Old Style" w:hAnsi="Bookman Old Style"/>
          <w:i/>
        </w:rPr>
        <w:t>Los plazos previstos en la presente resolución para el primer cálculo de los cargos únicos por nivel de tensión, recopilación y publicación de cargos unificados con su correspondiente información</w:t>
      </w:r>
      <w:r>
        <w:rPr>
          <w:rFonts w:ascii="Bookman Old Style" w:hAnsi="Bookman Old Style"/>
          <w:i/>
        </w:rPr>
        <w:t>,</w:t>
      </w:r>
      <w:r w:rsidRPr="00207BB6">
        <w:rPr>
          <w:rFonts w:ascii="Bookman Old Style" w:hAnsi="Bookman Old Style"/>
          <w:i/>
        </w:rPr>
        <w:t xml:space="preserve"> no serán de obligatorio cumplimiento y estarán sujetos a la disponibilidad de la información requerida por el LAC y a las herramientas que sean requeridas para efectuar todos los cálculos que debe realizar conforme a lo establecido en la presente resolución.</w:t>
      </w:r>
    </w:p>
    <w:p w:rsidR="0044102E" w:rsidRPr="00207BB6" w:rsidRDefault="0044102E" w:rsidP="0044102E">
      <w:pPr>
        <w:rPr>
          <w:rFonts w:ascii="Bookman Old Style" w:hAnsi="Bookman Old Style" w:cs="Arial"/>
          <w:i/>
        </w:rPr>
      </w:pPr>
    </w:p>
    <w:p w:rsidR="0044102E" w:rsidRPr="00207BB6" w:rsidRDefault="0044102E" w:rsidP="0044102E">
      <w:pPr>
        <w:pStyle w:val="Prrafodelista"/>
        <w:numPr>
          <w:ilvl w:val="0"/>
          <w:numId w:val="14"/>
        </w:numPr>
        <w:ind w:left="284" w:hanging="208"/>
        <w:jc w:val="both"/>
        <w:rPr>
          <w:rFonts w:ascii="Bookman Old Style" w:hAnsi="Bookman Old Style" w:cs="Arial"/>
          <w:i/>
        </w:rPr>
      </w:pPr>
      <w:r w:rsidRPr="00207BB6">
        <w:rPr>
          <w:rFonts w:ascii="Bookman Old Style" w:hAnsi="Bookman Old Style" w:cs="Arial"/>
          <w:i/>
        </w:rPr>
        <w:t xml:space="preserve">Antes del inicio de la fase 2, para el cálculo de los ingresos de los OR a </w:t>
      </w:r>
      <w:r>
        <w:rPr>
          <w:rFonts w:ascii="Bookman Old Style" w:hAnsi="Bookman Old Style" w:cs="Arial"/>
          <w:i/>
        </w:rPr>
        <w:t xml:space="preserve">quienes </w:t>
      </w:r>
      <w:r w:rsidRPr="00207BB6">
        <w:rPr>
          <w:rFonts w:ascii="Bookman Old Style" w:hAnsi="Bookman Old Style" w:cs="Arial"/>
          <w:i/>
        </w:rPr>
        <w:t xml:space="preserve">se les aplica la gradualidad descrita en la fase 1 que hayan obtenido aprobación de cargos con base en la nueva metodología y para efectos de la liquidación de ingresos de que trata la presente resolución, se les aplicará lo previsto según sus nuevos cargos e igualmente se les revisarán sus nuevos cargos respecto del cargo unificado del ADD y de ser necesario, se ajustará la duración y transición de que trata la fase 1. </w:t>
      </w:r>
    </w:p>
    <w:p w:rsidR="0044102E" w:rsidRPr="00207BB6" w:rsidRDefault="0044102E" w:rsidP="0044102E">
      <w:pPr>
        <w:pStyle w:val="Prrafodelista"/>
        <w:ind w:left="284"/>
        <w:jc w:val="both"/>
        <w:rPr>
          <w:rFonts w:ascii="Bookman Old Style" w:hAnsi="Bookman Old Style" w:cs="Arial"/>
          <w:i/>
        </w:rPr>
      </w:pPr>
    </w:p>
    <w:p w:rsidR="0044102E" w:rsidRPr="00207BB6" w:rsidRDefault="0044102E" w:rsidP="0044102E">
      <w:pPr>
        <w:spacing w:line="240" w:lineRule="auto"/>
        <w:ind w:left="284" w:hanging="142"/>
        <w:rPr>
          <w:rFonts w:ascii="Bookman Old Style" w:hAnsi="Bookman Old Style" w:cs="Arial"/>
          <w:i/>
        </w:rPr>
      </w:pPr>
      <w:r w:rsidRPr="00207BB6">
        <w:rPr>
          <w:rFonts w:ascii="Bookman Old Style" w:hAnsi="Bookman Old Style" w:cs="Arial"/>
          <w:i/>
        </w:rPr>
        <w:t xml:space="preserve">• Los cargos de un OR no serán objeto de modificación alguna por concepto de unificación y su cálculo, liquidación y recaudo seguirán efectuándose conforme a lo establecido en la Resolución CREG 082 de 2002, cuando: i) en un mismo Departamento exista más de un OR y los Cargos por Uso vigentes, para un mismo Nivel de Tensión, de todos los OR de ese Departamento sean iguales o superiores al Cargo Único del ADD, </w:t>
      </w:r>
      <w:proofErr w:type="spellStart"/>
      <w:r w:rsidRPr="00207BB6">
        <w:rPr>
          <w:rFonts w:ascii="Bookman Old Style" w:hAnsi="Bookman Old Style" w:cs="Arial"/>
          <w:i/>
        </w:rPr>
        <w:t>ii</w:t>
      </w:r>
      <w:proofErr w:type="spellEnd"/>
      <w:r w:rsidRPr="00207BB6">
        <w:rPr>
          <w:rFonts w:ascii="Bookman Old Style" w:hAnsi="Bookman Old Style" w:cs="Arial"/>
          <w:i/>
        </w:rPr>
        <w:t xml:space="preserve">) cuando en un Departamento exista un solo OR, </w:t>
      </w:r>
      <w:proofErr w:type="spellStart"/>
      <w:r w:rsidRPr="00207BB6">
        <w:rPr>
          <w:rFonts w:ascii="Bookman Old Style" w:hAnsi="Bookman Old Style" w:cs="Arial"/>
          <w:i/>
        </w:rPr>
        <w:t>iii</w:t>
      </w:r>
      <w:proofErr w:type="spellEnd"/>
      <w:r w:rsidRPr="00207BB6">
        <w:rPr>
          <w:rFonts w:ascii="Bookman Old Style" w:hAnsi="Bookman Old Style" w:cs="Arial"/>
          <w:i/>
        </w:rPr>
        <w:t xml:space="preserve">) cuando en un </w:t>
      </w:r>
      <w:r>
        <w:rPr>
          <w:rFonts w:ascii="Bookman Old Style" w:hAnsi="Bookman Old Style" w:cs="Arial"/>
          <w:i/>
        </w:rPr>
        <w:t>d</w:t>
      </w:r>
      <w:r w:rsidRPr="002714A3">
        <w:rPr>
          <w:rFonts w:ascii="Bookman Old Style" w:hAnsi="Bookman Old Style" w:cs="Arial"/>
          <w:i/>
        </w:rPr>
        <w:t>epartamento</w:t>
      </w:r>
      <w:r>
        <w:rPr>
          <w:rFonts w:ascii="Bookman Old Style" w:hAnsi="Bookman Old Style" w:cs="Arial"/>
          <w:i/>
        </w:rPr>
        <w:t xml:space="preserve"> </w:t>
      </w:r>
      <w:r w:rsidRPr="00207BB6">
        <w:rPr>
          <w:rFonts w:ascii="Bookman Old Style" w:hAnsi="Bookman Old Style" w:cs="Arial"/>
          <w:i/>
        </w:rPr>
        <w:t>existan dos o más OR y los cargos de todos ellos sean inferiores al cargo unificado</w:t>
      </w:r>
      <w:r w:rsidR="00E6318D">
        <w:rPr>
          <w:rFonts w:ascii="Bookman Old Style" w:hAnsi="Bookman Old Style" w:cs="Arial"/>
          <w:i/>
        </w:rPr>
        <w:t>,</w:t>
      </w:r>
      <w:r w:rsidRPr="00207BB6">
        <w:rPr>
          <w:rFonts w:ascii="Bookman Old Style" w:hAnsi="Bookman Old Style" w:cs="Arial"/>
          <w:i/>
        </w:rPr>
        <w:t xml:space="preserve"> </w:t>
      </w:r>
      <w:proofErr w:type="spellStart"/>
      <w:r w:rsidRPr="00207BB6">
        <w:rPr>
          <w:rFonts w:ascii="Bookman Old Style" w:hAnsi="Bookman Old Style" w:cs="Arial"/>
          <w:i/>
        </w:rPr>
        <w:t>iv</w:t>
      </w:r>
      <w:proofErr w:type="spellEnd"/>
      <w:r w:rsidRPr="00207BB6">
        <w:rPr>
          <w:rFonts w:ascii="Bookman Old Style" w:hAnsi="Bookman Old Style" w:cs="Arial"/>
          <w:i/>
        </w:rPr>
        <w:t>) Cuando un OR atienda dos o más departamentos, independientemente que en alguno de ellos se cumplan las condiciones para iniciar la fase 1 de la presente transición</w:t>
      </w:r>
      <w:r w:rsidR="00E6318D">
        <w:rPr>
          <w:rFonts w:ascii="Bookman Old Style" w:hAnsi="Bookman Old Style" w:cs="Arial"/>
          <w:i/>
        </w:rPr>
        <w:t xml:space="preserve">, o </w:t>
      </w:r>
      <w:r w:rsidR="00691A16">
        <w:rPr>
          <w:rFonts w:ascii="Bookman Old Style" w:hAnsi="Bookman Old Style" w:cs="Arial"/>
          <w:i/>
        </w:rPr>
        <w:t xml:space="preserve">v) cuando en un mismo departamento existan dos o más OR </w:t>
      </w:r>
      <w:r w:rsidR="002244EC">
        <w:rPr>
          <w:rFonts w:ascii="Bookman Old Style" w:hAnsi="Bookman Old Style" w:cs="Arial"/>
          <w:i/>
        </w:rPr>
        <w:t>y</w:t>
      </w:r>
      <w:r w:rsidR="00691A16">
        <w:rPr>
          <w:rFonts w:ascii="Bookman Old Style" w:hAnsi="Bookman Old Style" w:cs="Arial"/>
          <w:i/>
        </w:rPr>
        <w:t xml:space="preserve"> alguno de ellos no haya registrado </w:t>
      </w:r>
      <w:r w:rsidR="00FE57AC">
        <w:rPr>
          <w:rFonts w:ascii="Bookman Old Style" w:hAnsi="Bookman Old Style" w:cs="Arial"/>
          <w:i/>
        </w:rPr>
        <w:t>en el SUI la información requerida para la aplicación de la presente resolución.</w:t>
      </w:r>
    </w:p>
    <w:p w:rsidR="0044102E" w:rsidRDefault="0044102E" w:rsidP="0044102E">
      <w:pPr>
        <w:rPr>
          <w:rFonts w:ascii="Bookman Old Style" w:hAnsi="Bookman Old Style" w:cs="Arial"/>
          <w:b/>
          <w:i/>
        </w:rPr>
      </w:pPr>
    </w:p>
    <w:p w:rsidR="0044102E" w:rsidRPr="00207BB6" w:rsidRDefault="0044102E" w:rsidP="0044102E">
      <w:pPr>
        <w:rPr>
          <w:rFonts w:ascii="Bookman Old Style" w:hAnsi="Bookman Old Style" w:cs="Arial"/>
          <w:b/>
          <w:i/>
        </w:rPr>
      </w:pPr>
      <w:r w:rsidRPr="00207BB6">
        <w:rPr>
          <w:rFonts w:ascii="Bookman Old Style" w:hAnsi="Bookman Old Style" w:cs="Arial"/>
          <w:b/>
          <w:i/>
        </w:rPr>
        <w:t>Fase 2</w:t>
      </w:r>
    </w:p>
    <w:p w:rsidR="0044102E" w:rsidRPr="00207BB6" w:rsidRDefault="0044102E" w:rsidP="0044102E">
      <w:pPr>
        <w:rPr>
          <w:rFonts w:ascii="Bookman Old Style" w:hAnsi="Bookman Old Style" w:cs="Arial"/>
          <w:b/>
          <w:i/>
        </w:rPr>
      </w:pPr>
    </w:p>
    <w:p w:rsidR="0044102E" w:rsidRDefault="0044102E" w:rsidP="0044102E">
      <w:pPr>
        <w:spacing w:line="240" w:lineRule="auto"/>
        <w:rPr>
          <w:rFonts w:ascii="Bookman Old Style" w:hAnsi="Bookman Old Style" w:cs="Arial"/>
          <w:i/>
        </w:rPr>
      </w:pPr>
      <w:r w:rsidRPr="00207BB6">
        <w:rPr>
          <w:rFonts w:ascii="Bookman Old Style" w:hAnsi="Bookman Old Style" w:cs="Arial"/>
          <w:i/>
        </w:rPr>
        <w:t xml:space="preserve">A partir del mes siguiente al de entrada en vigencia de los cargos aprobados con base en la nueva metodología, para todos los OR de un ADD determinada, se efectuará una transición para que alcancen el Cargo Único en el número de meses que resulte de la diferencia entre el determinado en la </w:t>
      </w:r>
      <w:r>
        <w:rPr>
          <w:rFonts w:ascii="Bookman Old Style" w:hAnsi="Bookman Old Style" w:cs="Arial"/>
          <w:i/>
        </w:rPr>
        <w:t>D</w:t>
      </w:r>
      <w:r w:rsidRPr="00207BB6">
        <w:rPr>
          <w:rFonts w:ascii="Bookman Old Style" w:hAnsi="Bookman Old Style" w:cs="Arial"/>
          <w:i/>
        </w:rPr>
        <w:t>uración y el  número de meses en los cuales se ha aplicado la Fase 1.</w:t>
      </w:r>
    </w:p>
    <w:p w:rsidR="0044102E" w:rsidRPr="00207BB6" w:rsidRDefault="0044102E" w:rsidP="0044102E">
      <w:pPr>
        <w:spacing w:line="240" w:lineRule="auto"/>
        <w:rPr>
          <w:rFonts w:ascii="Bookman Old Style" w:hAnsi="Bookman Old Style" w:cs="Arial"/>
          <w:i/>
        </w:rPr>
      </w:pPr>
    </w:p>
    <w:p w:rsidR="0044102E" w:rsidRPr="00207BB6" w:rsidRDefault="0044102E" w:rsidP="0044102E">
      <w:pPr>
        <w:spacing w:line="240" w:lineRule="auto"/>
        <w:rPr>
          <w:rFonts w:ascii="Bookman Old Style" w:hAnsi="Bookman Old Style" w:cs="Arial"/>
          <w:i/>
        </w:rPr>
      </w:pPr>
      <w:r w:rsidRPr="00207BB6">
        <w:rPr>
          <w:rFonts w:ascii="Bookman Old Style" w:hAnsi="Bookman Old Style" w:cs="Arial"/>
          <w:i/>
        </w:rPr>
        <w:t>Para tal fin, el LAC calculará los Cargos Únicos por Nivel de Tensión, para cada ADD, con base en los cargos a la fecha de inicio de la Fase 2 y calculará para cada OR los cargos por uso transitorios, según los siguientes parámetros:</w:t>
      </w:r>
    </w:p>
    <w:p w:rsidR="0044102E" w:rsidRPr="00207BB6" w:rsidRDefault="0044102E" w:rsidP="0044102E">
      <w:pPr>
        <w:spacing w:line="240" w:lineRule="auto"/>
        <w:rPr>
          <w:rFonts w:ascii="Bookman Old Style" w:hAnsi="Bookman Old Style" w:cs="Arial"/>
          <w:i/>
        </w:rPr>
      </w:pPr>
    </w:p>
    <w:p w:rsidR="0044102E" w:rsidRDefault="0044102E" w:rsidP="0044102E">
      <w:pPr>
        <w:pStyle w:val="Prrafodelista"/>
        <w:numPr>
          <w:ilvl w:val="0"/>
          <w:numId w:val="12"/>
        </w:numPr>
        <w:spacing w:before="160" w:after="160"/>
        <w:ind w:left="426" w:hanging="426"/>
        <w:contextualSpacing/>
        <w:jc w:val="both"/>
        <w:rPr>
          <w:rFonts w:ascii="Bookman Old Style" w:hAnsi="Bookman Old Style" w:cs="Arial"/>
          <w:i/>
        </w:rPr>
      </w:pPr>
      <w:r w:rsidRPr="00207BB6">
        <w:rPr>
          <w:rFonts w:ascii="Bookman Old Style" w:hAnsi="Bookman Old Style" w:cs="Arial"/>
          <w:i/>
        </w:rPr>
        <w:t>Para el OR excedentario con el cargo por uso más bajo en el ADD, se calculará el porcentaje de incremento mensual que deberá cumplir para llegar al Cargo Único.</w:t>
      </w:r>
    </w:p>
    <w:p w:rsidR="008D4C02" w:rsidRDefault="008D4C02" w:rsidP="008D4C02">
      <w:pPr>
        <w:pStyle w:val="Prrafodelista"/>
        <w:spacing w:before="160" w:after="160"/>
        <w:ind w:left="426"/>
        <w:contextualSpacing/>
        <w:jc w:val="both"/>
        <w:rPr>
          <w:rFonts w:ascii="Bookman Old Style" w:hAnsi="Bookman Old Style" w:cs="Arial"/>
          <w:i/>
        </w:rPr>
      </w:pPr>
    </w:p>
    <w:p w:rsidR="0044102E" w:rsidRPr="00207BB6" w:rsidRDefault="0044102E" w:rsidP="0044102E">
      <w:pPr>
        <w:pStyle w:val="Prrafodelista"/>
        <w:numPr>
          <w:ilvl w:val="0"/>
          <w:numId w:val="12"/>
        </w:numPr>
        <w:spacing w:before="160" w:after="160"/>
        <w:ind w:left="426" w:hanging="426"/>
        <w:contextualSpacing/>
        <w:jc w:val="both"/>
        <w:rPr>
          <w:rFonts w:ascii="Bookman Old Style" w:hAnsi="Bookman Old Style" w:cs="Arial"/>
          <w:i/>
        </w:rPr>
      </w:pPr>
      <w:r w:rsidRPr="00207BB6">
        <w:rPr>
          <w:rFonts w:ascii="Bookman Old Style" w:hAnsi="Bookman Old Style" w:cs="Arial"/>
          <w:i/>
        </w:rPr>
        <w:t>El porcentaje de incremento resultante se aplicará a los cargos por uso de todos los OR Excedentarios, hasta que cada OR alcance el Cargo Único.</w:t>
      </w:r>
    </w:p>
    <w:p w:rsidR="0044102E" w:rsidRPr="00207BB6" w:rsidRDefault="0044102E" w:rsidP="0044102E">
      <w:pPr>
        <w:pStyle w:val="Prrafodelista"/>
        <w:rPr>
          <w:rFonts w:ascii="Bookman Old Style" w:hAnsi="Bookman Old Style" w:cs="Arial"/>
          <w:i/>
        </w:rPr>
      </w:pPr>
    </w:p>
    <w:p w:rsidR="0044102E" w:rsidRPr="00207BB6" w:rsidRDefault="0044102E" w:rsidP="0044102E">
      <w:pPr>
        <w:pStyle w:val="Prrafodelista"/>
        <w:numPr>
          <w:ilvl w:val="0"/>
          <w:numId w:val="12"/>
        </w:numPr>
        <w:spacing w:before="160" w:after="160"/>
        <w:ind w:left="426" w:hanging="426"/>
        <w:contextualSpacing/>
        <w:jc w:val="both"/>
        <w:rPr>
          <w:rFonts w:ascii="Bookman Old Style" w:hAnsi="Bookman Old Style" w:cs="Arial"/>
          <w:i/>
        </w:rPr>
      </w:pPr>
      <w:r w:rsidRPr="00207BB6">
        <w:rPr>
          <w:rFonts w:ascii="Bookman Old Style" w:hAnsi="Bookman Old Style" w:cs="Arial"/>
          <w:i/>
        </w:rPr>
        <w:t>Los recursos obtenidos, resultantes de la diferencia entre los cargos transitorios de un mes determinado y el cargo del OR Excedentario, se distribuirán, para el cálculo del cargo por uso, entre los OR que cuenten con cargos superiores al Cargo Único (OR Deficitarios) en el ADD, de tal manera que el cargo por uso del OR más alto en el ADD se disminuya hasta igualar el siguiente más alto y así sucesivamente hasta que los cargos alcancen el Cargo Único del ADD.</w:t>
      </w:r>
    </w:p>
    <w:p w:rsidR="0044102E" w:rsidRPr="00207BB6" w:rsidRDefault="0044102E" w:rsidP="0044102E">
      <w:pPr>
        <w:pStyle w:val="Prrafodelista"/>
        <w:rPr>
          <w:rFonts w:ascii="Bookman Old Style" w:hAnsi="Bookman Old Style" w:cs="Arial"/>
          <w:i/>
        </w:rPr>
      </w:pPr>
    </w:p>
    <w:p w:rsidR="0044102E" w:rsidRPr="00207BB6" w:rsidRDefault="0044102E" w:rsidP="0044102E">
      <w:pPr>
        <w:spacing w:line="240" w:lineRule="auto"/>
        <w:rPr>
          <w:rFonts w:ascii="Bookman Old Style" w:hAnsi="Bookman Old Style" w:cs="Arial"/>
          <w:b/>
          <w:i/>
        </w:rPr>
      </w:pPr>
      <w:r w:rsidRPr="00207BB6">
        <w:rPr>
          <w:rFonts w:ascii="Bookman Old Style" w:hAnsi="Bookman Old Style" w:cs="Arial"/>
          <w:b/>
          <w:i/>
        </w:rPr>
        <w:t>Duración</w:t>
      </w:r>
    </w:p>
    <w:p w:rsidR="0044102E" w:rsidRPr="00207BB6" w:rsidRDefault="0044102E" w:rsidP="0044102E">
      <w:pPr>
        <w:spacing w:line="240" w:lineRule="auto"/>
        <w:rPr>
          <w:rFonts w:ascii="Bookman Old Style" w:hAnsi="Bookman Old Style" w:cs="Arial"/>
          <w:b/>
          <w:i/>
        </w:rPr>
      </w:pPr>
    </w:p>
    <w:p w:rsidR="0044102E" w:rsidRPr="00207BB6" w:rsidRDefault="0044102E" w:rsidP="0044102E">
      <w:pPr>
        <w:spacing w:line="240" w:lineRule="auto"/>
        <w:rPr>
          <w:rFonts w:ascii="Bookman Old Style" w:hAnsi="Bookman Old Style" w:cs="Arial"/>
          <w:i/>
        </w:rPr>
      </w:pPr>
      <w:r w:rsidRPr="00207BB6">
        <w:rPr>
          <w:rFonts w:ascii="Bookman Old Style" w:hAnsi="Bookman Old Style" w:cs="Arial"/>
          <w:i/>
        </w:rPr>
        <w:t>Los meses de duración de la transición (</w:t>
      </w:r>
      <w:proofErr w:type="spellStart"/>
      <w:r w:rsidRPr="00207BB6">
        <w:rPr>
          <w:rFonts w:ascii="Bookman Old Style" w:hAnsi="Bookman Old Style" w:cs="Arial"/>
          <w:i/>
        </w:rPr>
        <w:t>m</w:t>
      </w:r>
      <w:r w:rsidRPr="00207BB6">
        <w:rPr>
          <w:rFonts w:ascii="Bookman Old Style" w:hAnsi="Bookman Old Style" w:cs="Arial"/>
          <w:i/>
          <w:vertAlign w:val="subscript"/>
        </w:rPr>
        <w:t>t</w:t>
      </w:r>
      <w:proofErr w:type="spellEnd"/>
      <w:r w:rsidRPr="00207BB6">
        <w:rPr>
          <w:rFonts w:ascii="Bookman Old Style" w:hAnsi="Bookman Old Style" w:cs="Arial"/>
          <w:i/>
        </w:rPr>
        <w:t>) en un ADD y en un nivel de tensión determinados, dependerán de la diferencia entre el cargo por uso del OR Excedentario con el cargo más bajo y el Cargo Único Transitorio del Departamento perteneciente a un ADD, según las siguientes expresiones:</w:t>
      </w:r>
    </w:p>
    <w:p w:rsidR="0044102E" w:rsidRPr="00207BB6" w:rsidRDefault="0044102E" w:rsidP="0044102E">
      <w:pPr>
        <w:spacing w:line="240" w:lineRule="auto"/>
        <w:rPr>
          <w:rFonts w:ascii="Bookman Old Style" w:hAnsi="Bookman Old Style" w:cs="Arial"/>
          <w:i/>
        </w:rPr>
      </w:pPr>
    </w:p>
    <w:p w:rsidR="0044102E" w:rsidRPr="00207BB6" w:rsidRDefault="0044102E" w:rsidP="0044102E">
      <w:pPr>
        <w:spacing w:line="240" w:lineRule="auto"/>
        <w:rPr>
          <w:rFonts w:ascii="Bookman Old Style" w:hAnsi="Bookman Old Style" w:cs="Arial"/>
          <w:i/>
        </w:rPr>
      </w:pPr>
      <w:r w:rsidRPr="00207BB6">
        <w:rPr>
          <w:rFonts w:ascii="Bookman Old Style" w:hAnsi="Bookman Old Style" w:cs="Arial"/>
          <w:i/>
        </w:rPr>
        <w:t>La diferencia entre el cargo por uso de un nivel de tensión determinado de un OR Excedentario y el Cargo Único Transitorio del departamento de un ADD es:</w:t>
      </w:r>
    </w:p>
    <w:p w:rsidR="0044102E" w:rsidRDefault="0044102E" w:rsidP="0044102E">
      <w:pPr>
        <w:spacing w:line="240" w:lineRule="auto"/>
        <w:jc w:val="center"/>
        <w:rPr>
          <w:rFonts w:ascii="Bookman Old Style" w:hAnsi="Bookman Old Style" w:cs="Arial"/>
          <w:i/>
        </w:rPr>
      </w:pPr>
    </w:p>
    <w:p w:rsidR="008D4C02" w:rsidRDefault="008D4C02" w:rsidP="0044102E">
      <w:pPr>
        <w:spacing w:line="240" w:lineRule="auto"/>
        <w:jc w:val="center"/>
        <w:rPr>
          <w:rFonts w:ascii="Bookman Old Style" w:hAnsi="Bookman Old Style" w:cs="Arial"/>
          <w:i/>
        </w:rPr>
      </w:pPr>
    </w:p>
    <w:p w:rsidR="008D4C02" w:rsidRPr="00207BB6" w:rsidRDefault="008D4C02" w:rsidP="0044102E">
      <w:pPr>
        <w:spacing w:line="240" w:lineRule="auto"/>
        <w:jc w:val="center"/>
        <w:rPr>
          <w:rFonts w:ascii="Bookman Old Style" w:hAnsi="Bookman Old Style" w:cs="Arial"/>
          <w:i/>
        </w:rPr>
      </w:pPr>
    </w:p>
    <w:p w:rsidR="0044102E" w:rsidRPr="00207BB6" w:rsidRDefault="00A86728" w:rsidP="0044102E">
      <w:pPr>
        <w:spacing w:line="240" w:lineRule="auto"/>
        <w:jc w:val="center"/>
        <w:rPr>
          <w:rFonts w:ascii="Bookman Old Style" w:hAnsi="Bookman Old Style"/>
          <w:i/>
        </w:rPr>
      </w:pPr>
      <m:oMathPara>
        <m:oMath>
          <m:sSub>
            <m:sSubPr>
              <m:ctrlPr>
                <w:rPr>
                  <w:rFonts w:ascii="Cambria Math" w:hAnsi="Cambria Math" w:cs="Arial"/>
                  <w:i/>
                  <w:lang w:val="en-US"/>
                </w:rPr>
              </m:ctrlPr>
            </m:sSubPr>
            <m:e>
              <m:r>
                <w:rPr>
                  <w:rFonts w:ascii="Cambria Math" w:hAnsi="Cambria Math" w:cs="Arial"/>
                  <w:lang w:val="en-US"/>
                </w:rPr>
                <m:t>DIF</m:t>
              </m:r>
            </m:e>
            <m:sub>
              <m:r>
                <w:rPr>
                  <w:rFonts w:ascii="Cambria Math" w:hAnsi="Cambria Math" w:cs="Arial"/>
                  <w:lang w:val="en-US"/>
                </w:rPr>
                <m:t>j,n</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DtUNT</m:t>
              </m:r>
            </m:e>
            <m:sub>
              <m:r>
                <w:rPr>
                  <w:rFonts w:ascii="Cambria Math" w:hAnsi="Cambria Math" w:cs="Arial"/>
                  <w:lang w:val="en-US"/>
                </w:rPr>
                <m:t>n,m,a</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Dt</m:t>
              </m:r>
            </m:e>
            <m:sub>
              <m:r>
                <w:rPr>
                  <w:rFonts w:ascii="Cambria Math" w:hAnsi="Cambria Math" w:cs="Arial"/>
                  <w:lang w:val="en-US"/>
                </w:rPr>
                <m:t>j,n,m,k</m:t>
              </m:r>
            </m:sub>
          </m:sSub>
          <m:r>
            <w:rPr>
              <w:rFonts w:ascii="Cambria Math" w:hAnsi="Cambria Math" w:cs="Arial"/>
              <w:lang w:val="en-US"/>
            </w:rPr>
            <m:t xml:space="preserve"> </m:t>
          </m:r>
        </m:oMath>
      </m:oMathPara>
    </w:p>
    <w:p w:rsidR="0044102E" w:rsidRDefault="0044102E" w:rsidP="0044102E">
      <w:pPr>
        <w:spacing w:line="240" w:lineRule="auto"/>
        <w:rPr>
          <w:rFonts w:ascii="Bookman Old Style" w:hAnsi="Bookman Old Style" w:cs="Arial"/>
          <w:i/>
          <w:lang w:val="en-US"/>
        </w:rPr>
      </w:pPr>
    </w:p>
    <w:p w:rsidR="008D4C02" w:rsidRDefault="008D4C02" w:rsidP="0044102E">
      <w:pPr>
        <w:spacing w:line="240" w:lineRule="auto"/>
        <w:rPr>
          <w:rFonts w:ascii="Bookman Old Style" w:hAnsi="Bookman Old Style" w:cs="Arial"/>
          <w:i/>
          <w:lang w:val="en-US"/>
        </w:rPr>
      </w:pPr>
    </w:p>
    <w:p w:rsidR="008D4C02" w:rsidRPr="00207BB6" w:rsidRDefault="008D4C02" w:rsidP="0044102E">
      <w:pPr>
        <w:spacing w:line="240" w:lineRule="auto"/>
        <w:rPr>
          <w:rFonts w:ascii="Bookman Old Style" w:hAnsi="Bookman Old Style" w:cs="Arial"/>
          <w:i/>
          <w:lang w:val="en-US"/>
        </w:rPr>
      </w:pPr>
    </w:p>
    <w:p w:rsidR="0044102E" w:rsidRPr="00207BB6" w:rsidRDefault="0044102E" w:rsidP="0044102E">
      <w:pPr>
        <w:spacing w:line="240" w:lineRule="auto"/>
        <w:rPr>
          <w:rFonts w:ascii="Bookman Old Style" w:hAnsi="Bookman Old Style" w:cs="Arial"/>
          <w:i/>
        </w:rPr>
      </w:pPr>
      <w:proofErr w:type="gramStart"/>
      <w:r w:rsidRPr="00207BB6">
        <w:rPr>
          <w:rFonts w:ascii="Bookman Old Style" w:hAnsi="Bookman Old Style" w:cs="Arial"/>
          <w:i/>
        </w:rPr>
        <w:t>y</w:t>
      </w:r>
      <w:proofErr w:type="gramEnd"/>
      <w:r w:rsidRPr="00207BB6">
        <w:rPr>
          <w:rFonts w:ascii="Bookman Old Style" w:hAnsi="Bookman Old Style" w:cs="Arial"/>
          <w:i/>
        </w:rPr>
        <w:t xml:space="preserve"> Cuando     </w:t>
      </w:r>
      <m:oMath>
        <m:f>
          <m:fPr>
            <m:ctrlPr>
              <w:rPr>
                <w:rFonts w:ascii="Cambria Math" w:hAnsi="Cambria Math" w:cs="Arial"/>
                <w:i/>
                <w:lang w:val="en-US"/>
              </w:rPr>
            </m:ctrlPr>
          </m:fPr>
          <m:num>
            <m:sSub>
              <m:sSubPr>
                <m:ctrlPr>
                  <w:rPr>
                    <w:rFonts w:ascii="Cambria Math" w:hAnsi="Cambria Math" w:cs="Arial"/>
                    <w:i/>
                    <w:lang w:val="en-US"/>
                  </w:rPr>
                </m:ctrlPr>
              </m:sSubPr>
              <m:e>
                <m:r>
                  <w:rPr>
                    <w:rFonts w:ascii="Cambria Math" w:hAnsi="Cambria Math" w:cs="Arial"/>
                    <w:lang w:val="en-US"/>
                  </w:rPr>
                  <m:t>DIF</m:t>
                </m:r>
              </m:e>
              <m:sub>
                <m:r>
                  <w:rPr>
                    <w:rFonts w:ascii="Cambria Math" w:hAnsi="Cambria Math" w:cs="Arial"/>
                    <w:lang w:val="en-US"/>
                  </w:rPr>
                  <m:t>j</m:t>
                </m:r>
                <m:r>
                  <w:rPr>
                    <w:rFonts w:ascii="Cambria Math" w:hAnsi="Cambria Math" w:cs="Arial"/>
                  </w:rPr>
                  <m:t>,</m:t>
                </m:r>
                <m:r>
                  <w:rPr>
                    <w:rFonts w:ascii="Cambria Math" w:hAnsi="Cambria Math" w:cs="Arial"/>
                    <w:lang w:val="en-US"/>
                  </w:rPr>
                  <m:t>n</m:t>
                </m:r>
              </m:sub>
            </m:sSub>
            <m:r>
              <w:rPr>
                <w:rFonts w:ascii="Cambria Math" w:hAnsi="Cambria Math" w:cs="Arial"/>
              </w:rPr>
              <m:t xml:space="preserve"> </m:t>
            </m:r>
          </m:num>
          <m:den>
            <m:sSub>
              <m:sSubPr>
                <m:ctrlPr>
                  <w:rPr>
                    <w:rFonts w:ascii="Cambria Math" w:hAnsi="Cambria Math" w:cs="Arial"/>
                    <w:i/>
                    <w:lang w:val="en-US"/>
                  </w:rPr>
                </m:ctrlPr>
              </m:sSubPr>
              <m:e>
                <m:r>
                  <w:rPr>
                    <w:rFonts w:ascii="Cambria Math" w:hAnsi="Cambria Math" w:cs="Arial"/>
                    <w:lang w:val="en-US"/>
                  </w:rPr>
                  <m:t>Dt</m:t>
                </m:r>
              </m:e>
              <m:sub>
                <m:r>
                  <w:rPr>
                    <w:rFonts w:ascii="Cambria Math" w:hAnsi="Cambria Math" w:cs="Arial"/>
                    <w:lang w:val="en-US"/>
                  </w:rPr>
                  <m:t>j</m:t>
                </m:r>
                <m:r>
                  <w:rPr>
                    <w:rFonts w:ascii="Cambria Math" w:hAnsi="Cambria Math" w:cs="Arial"/>
                  </w:rPr>
                  <m:t>,</m:t>
                </m:r>
                <m:r>
                  <w:rPr>
                    <w:rFonts w:ascii="Cambria Math" w:hAnsi="Cambria Math" w:cs="Arial"/>
                    <w:lang w:val="en-US"/>
                  </w:rPr>
                  <m:t>n</m:t>
                </m:r>
                <m:r>
                  <w:rPr>
                    <w:rFonts w:ascii="Cambria Math" w:hAnsi="Cambria Math" w:cs="Arial"/>
                  </w:rPr>
                  <m:t>,</m:t>
                </m:r>
                <m:r>
                  <w:rPr>
                    <w:rFonts w:ascii="Cambria Math" w:hAnsi="Cambria Math" w:cs="Arial"/>
                    <w:lang w:val="en-US"/>
                  </w:rPr>
                  <m:t>m</m:t>
                </m:r>
                <m:r>
                  <w:rPr>
                    <w:rFonts w:ascii="Cambria Math" w:hAnsi="Cambria Math" w:cs="Arial"/>
                  </w:rPr>
                  <m:t>,</m:t>
                </m:r>
                <m:r>
                  <w:rPr>
                    <w:rFonts w:ascii="Cambria Math" w:hAnsi="Cambria Math" w:cs="Arial"/>
                    <w:lang w:val="en-US"/>
                  </w:rPr>
                  <m:t>k</m:t>
                </m:r>
              </m:sub>
            </m:sSub>
          </m:den>
        </m:f>
        <m:r>
          <w:rPr>
            <w:rFonts w:ascii="Cambria Math" w:hAnsi="Cambria Math" w:cs="Arial"/>
          </w:rPr>
          <m:t xml:space="preserve"> ≥0.25</m:t>
        </m:r>
      </m:oMath>
      <w:r w:rsidRPr="00207BB6">
        <w:rPr>
          <w:rFonts w:ascii="Bookman Old Style" w:hAnsi="Bookman Old Style" w:cs="Arial"/>
          <w:i/>
        </w:rPr>
        <w:t>,</w:t>
      </w:r>
      <w:r w:rsidRPr="00207BB6">
        <w:rPr>
          <w:rFonts w:ascii="Bookman Old Style" w:hAnsi="Bookman Old Style" w:cs="Arial"/>
          <w:i/>
        </w:rPr>
        <w:tab/>
        <w:t xml:space="preserve">   entonces  m</w:t>
      </w:r>
      <w:r w:rsidRPr="00207BB6">
        <w:rPr>
          <w:rFonts w:ascii="Bookman Old Style" w:hAnsi="Bookman Old Style" w:cs="Arial"/>
          <w:i/>
          <w:vertAlign w:val="subscript"/>
        </w:rPr>
        <w:t>t</w:t>
      </w:r>
      <w:r w:rsidRPr="00207BB6">
        <w:rPr>
          <w:rFonts w:ascii="Bookman Old Style" w:hAnsi="Bookman Old Style" w:cs="Arial"/>
          <w:i/>
        </w:rPr>
        <w:t xml:space="preserve"> = 60</w:t>
      </w:r>
    </w:p>
    <w:p w:rsidR="0044102E" w:rsidRDefault="0044102E" w:rsidP="0044102E">
      <w:pPr>
        <w:spacing w:line="240" w:lineRule="auto"/>
        <w:rPr>
          <w:rFonts w:ascii="Bookman Old Style" w:hAnsi="Bookman Old Style" w:cs="Arial"/>
          <w:i/>
        </w:rPr>
      </w:pPr>
    </w:p>
    <w:p w:rsidR="008D4C02" w:rsidRPr="00207BB6" w:rsidRDefault="008D4C02" w:rsidP="0044102E">
      <w:pPr>
        <w:spacing w:line="240" w:lineRule="auto"/>
        <w:rPr>
          <w:rFonts w:ascii="Bookman Old Style" w:hAnsi="Bookman Old Style" w:cs="Arial"/>
          <w:i/>
        </w:rPr>
      </w:pPr>
    </w:p>
    <w:p w:rsidR="0044102E" w:rsidRPr="00207BB6" w:rsidRDefault="0044102E" w:rsidP="0044102E">
      <w:pPr>
        <w:spacing w:line="240" w:lineRule="auto"/>
        <w:rPr>
          <w:rFonts w:ascii="Bookman Old Style" w:hAnsi="Bookman Old Style" w:cs="Arial"/>
          <w:i/>
        </w:rPr>
      </w:pPr>
      <w:r w:rsidRPr="00207BB6">
        <w:rPr>
          <w:rFonts w:ascii="Bookman Old Style" w:hAnsi="Bookman Old Style" w:cs="Arial"/>
          <w:i/>
        </w:rPr>
        <w:t xml:space="preserve">Cuando    </w:t>
      </w:r>
      <m:oMath>
        <m:r>
          <w:rPr>
            <w:rFonts w:ascii="Cambria Math" w:hAnsi="Cambria Math" w:cs="Arial"/>
          </w:rPr>
          <m:t>0.25&gt;</m:t>
        </m:r>
        <m:f>
          <m:fPr>
            <m:ctrlPr>
              <w:rPr>
                <w:rFonts w:ascii="Cambria Math" w:hAnsi="Cambria Math" w:cs="Arial"/>
                <w:i/>
                <w:lang w:val="en-US"/>
              </w:rPr>
            </m:ctrlPr>
          </m:fPr>
          <m:num>
            <m:sSub>
              <m:sSubPr>
                <m:ctrlPr>
                  <w:rPr>
                    <w:rFonts w:ascii="Cambria Math" w:hAnsi="Cambria Math" w:cs="Arial"/>
                    <w:i/>
                    <w:lang w:val="en-US"/>
                  </w:rPr>
                </m:ctrlPr>
              </m:sSubPr>
              <m:e>
                <m:r>
                  <w:rPr>
                    <w:rFonts w:ascii="Cambria Math" w:hAnsi="Cambria Math" w:cs="Arial"/>
                    <w:lang w:val="en-US"/>
                  </w:rPr>
                  <m:t>DIF</m:t>
                </m:r>
              </m:e>
              <m:sub>
                <m:r>
                  <w:rPr>
                    <w:rFonts w:ascii="Cambria Math" w:hAnsi="Cambria Math" w:cs="Arial"/>
                    <w:lang w:val="en-US"/>
                  </w:rPr>
                  <m:t>j</m:t>
                </m:r>
                <m:r>
                  <w:rPr>
                    <w:rFonts w:ascii="Cambria Math" w:hAnsi="Cambria Math" w:cs="Arial"/>
                  </w:rPr>
                  <m:t>,</m:t>
                </m:r>
                <m:r>
                  <w:rPr>
                    <w:rFonts w:ascii="Cambria Math" w:hAnsi="Cambria Math" w:cs="Arial"/>
                    <w:lang w:val="en-US"/>
                  </w:rPr>
                  <m:t>n</m:t>
                </m:r>
              </m:sub>
            </m:sSub>
            <m:r>
              <w:rPr>
                <w:rFonts w:ascii="Cambria Math" w:hAnsi="Cambria Math" w:cs="Arial"/>
              </w:rPr>
              <m:t xml:space="preserve"> </m:t>
            </m:r>
          </m:num>
          <m:den>
            <m:sSub>
              <m:sSubPr>
                <m:ctrlPr>
                  <w:rPr>
                    <w:rFonts w:ascii="Cambria Math" w:hAnsi="Cambria Math" w:cs="Arial"/>
                    <w:i/>
                    <w:lang w:val="en-US"/>
                  </w:rPr>
                </m:ctrlPr>
              </m:sSubPr>
              <m:e>
                <m:r>
                  <w:rPr>
                    <w:rFonts w:ascii="Cambria Math" w:hAnsi="Cambria Math" w:cs="Arial"/>
                    <w:lang w:val="en-US"/>
                  </w:rPr>
                  <m:t>Dt</m:t>
                </m:r>
              </m:e>
              <m:sub>
                <m:r>
                  <w:rPr>
                    <w:rFonts w:ascii="Cambria Math" w:hAnsi="Cambria Math" w:cs="Arial"/>
                    <w:lang w:val="en-US"/>
                  </w:rPr>
                  <m:t>j</m:t>
                </m:r>
                <m:r>
                  <w:rPr>
                    <w:rFonts w:ascii="Cambria Math" w:hAnsi="Cambria Math" w:cs="Arial"/>
                  </w:rPr>
                  <m:t>,</m:t>
                </m:r>
                <m:r>
                  <w:rPr>
                    <w:rFonts w:ascii="Cambria Math" w:hAnsi="Cambria Math" w:cs="Arial"/>
                    <w:lang w:val="en-US"/>
                  </w:rPr>
                  <m:t>n</m:t>
                </m:r>
                <m:r>
                  <w:rPr>
                    <w:rFonts w:ascii="Cambria Math" w:hAnsi="Cambria Math" w:cs="Arial"/>
                  </w:rPr>
                  <m:t>,</m:t>
                </m:r>
                <m:r>
                  <w:rPr>
                    <w:rFonts w:ascii="Cambria Math" w:hAnsi="Cambria Math" w:cs="Arial"/>
                    <w:lang w:val="en-US"/>
                  </w:rPr>
                  <m:t>m</m:t>
                </m:r>
                <m:r>
                  <w:rPr>
                    <w:rFonts w:ascii="Cambria Math" w:hAnsi="Cambria Math" w:cs="Arial"/>
                  </w:rPr>
                  <m:t>,</m:t>
                </m:r>
                <m:r>
                  <w:rPr>
                    <w:rFonts w:ascii="Cambria Math" w:hAnsi="Cambria Math" w:cs="Arial"/>
                    <w:lang w:val="en-US"/>
                  </w:rPr>
                  <m:t>k</m:t>
                </m:r>
              </m:sub>
            </m:sSub>
          </m:den>
        </m:f>
        <m:r>
          <w:rPr>
            <w:rFonts w:ascii="Cambria Math" w:hAnsi="Cambria Math" w:cs="Arial"/>
          </w:rPr>
          <m:t xml:space="preserve"> ≥0.15</m:t>
        </m:r>
      </m:oMath>
      <w:r w:rsidRPr="00207BB6">
        <w:rPr>
          <w:rFonts w:ascii="Bookman Old Style" w:hAnsi="Bookman Old Style" w:cs="Arial"/>
          <w:i/>
        </w:rPr>
        <w:t>,  entonces  m</w:t>
      </w:r>
      <w:r w:rsidRPr="00207BB6">
        <w:rPr>
          <w:rFonts w:ascii="Bookman Old Style" w:hAnsi="Bookman Old Style" w:cs="Arial"/>
          <w:i/>
          <w:vertAlign w:val="subscript"/>
        </w:rPr>
        <w:t>t</w:t>
      </w:r>
      <w:r w:rsidRPr="00207BB6">
        <w:rPr>
          <w:rFonts w:ascii="Bookman Old Style" w:hAnsi="Bookman Old Style" w:cs="Arial"/>
          <w:i/>
        </w:rPr>
        <w:t xml:space="preserve"> = 12</w:t>
      </w:r>
    </w:p>
    <w:p w:rsidR="0044102E" w:rsidRDefault="0044102E" w:rsidP="0044102E">
      <w:pPr>
        <w:spacing w:line="240" w:lineRule="auto"/>
        <w:rPr>
          <w:rFonts w:ascii="Bookman Old Style" w:hAnsi="Bookman Old Style" w:cs="Arial"/>
          <w:i/>
        </w:rPr>
      </w:pPr>
    </w:p>
    <w:p w:rsidR="008D4C02" w:rsidRPr="00207BB6" w:rsidRDefault="008D4C02" w:rsidP="0044102E">
      <w:pPr>
        <w:spacing w:line="240" w:lineRule="auto"/>
        <w:rPr>
          <w:rFonts w:ascii="Bookman Old Style" w:hAnsi="Bookman Old Style" w:cs="Arial"/>
          <w:i/>
        </w:rPr>
      </w:pPr>
    </w:p>
    <w:p w:rsidR="0044102E" w:rsidRPr="00207BB6" w:rsidRDefault="0044102E" w:rsidP="0044102E">
      <w:pPr>
        <w:spacing w:line="240" w:lineRule="auto"/>
        <w:rPr>
          <w:rFonts w:ascii="Bookman Old Style" w:hAnsi="Bookman Old Style" w:cs="Arial"/>
          <w:i/>
        </w:rPr>
      </w:pPr>
      <w:r w:rsidRPr="00207BB6">
        <w:rPr>
          <w:rFonts w:ascii="Bookman Old Style" w:hAnsi="Bookman Old Style" w:cs="Arial"/>
          <w:i/>
        </w:rPr>
        <w:t xml:space="preserve">Cuando    </w:t>
      </w:r>
      <m:oMath>
        <m:r>
          <w:rPr>
            <w:rFonts w:ascii="Cambria Math" w:hAnsi="Cambria Math" w:cs="Arial"/>
          </w:rPr>
          <m:t>0.15&gt;</m:t>
        </m:r>
        <m:f>
          <m:fPr>
            <m:ctrlPr>
              <w:rPr>
                <w:rFonts w:ascii="Cambria Math" w:hAnsi="Cambria Math" w:cs="Arial"/>
                <w:i/>
                <w:lang w:val="en-US"/>
              </w:rPr>
            </m:ctrlPr>
          </m:fPr>
          <m:num>
            <m:sSub>
              <m:sSubPr>
                <m:ctrlPr>
                  <w:rPr>
                    <w:rFonts w:ascii="Cambria Math" w:hAnsi="Cambria Math" w:cs="Arial"/>
                    <w:i/>
                    <w:lang w:val="en-US"/>
                  </w:rPr>
                </m:ctrlPr>
              </m:sSubPr>
              <m:e>
                <m:r>
                  <w:rPr>
                    <w:rFonts w:ascii="Cambria Math" w:hAnsi="Cambria Math" w:cs="Arial"/>
                    <w:lang w:val="en-US"/>
                  </w:rPr>
                  <m:t>DIF</m:t>
                </m:r>
              </m:e>
              <m:sub>
                <m:r>
                  <w:rPr>
                    <w:rFonts w:ascii="Cambria Math" w:hAnsi="Cambria Math" w:cs="Arial"/>
                    <w:lang w:val="en-US"/>
                  </w:rPr>
                  <m:t>j</m:t>
                </m:r>
                <m:r>
                  <w:rPr>
                    <w:rFonts w:ascii="Cambria Math" w:hAnsi="Cambria Math" w:cs="Arial"/>
                  </w:rPr>
                  <m:t>,</m:t>
                </m:r>
                <m:r>
                  <w:rPr>
                    <w:rFonts w:ascii="Cambria Math" w:hAnsi="Cambria Math" w:cs="Arial"/>
                    <w:lang w:val="en-US"/>
                  </w:rPr>
                  <m:t>n</m:t>
                </m:r>
              </m:sub>
            </m:sSub>
            <m:r>
              <w:rPr>
                <w:rFonts w:ascii="Cambria Math" w:hAnsi="Cambria Math" w:cs="Arial"/>
              </w:rPr>
              <m:t xml:space="preserve"> </m:t>
            </m:r>
          </m:num>
          <m:den>
            <m:sSub>
              <m:sSubPr>
                <m:ctrlPr>
                  <w:rPr>
                    <w:rFonts w:ascii="Cambria Math" w:hAnsi="Cambria Math" w:cs="Arial"/>
                    <w:i/>
                    <w:lang w:val="en-US"/>
                  </w:rPr>
                </m:ctrlPr>
              </m:sSubPr>
              <m:e>
                <m:r>
                  <w:rPr>
                    <w:rFonts w:ascii="Cambria Math" w:hAnsi="Cambria Math" w:cs="Arial"/>
                    <w:lang w:val="en-US"/>
                  </w:rPr>
                  <m:t>Dt</m:t>
                </m:r>
              </m:e>
              <m:sub>
                <m:r>
                  <w:rPr>
                    <w:rFonts w:ascii="Cambria Math" w:hAnsi="Cambria Math" w:cs="Arial"/>
                    <w:lang w:val="en-US"/>
                  </w:rPr>
                  <m:t>j</m:t>
                </m:r>
                <m:r>
                  <w:rPr>
                    <w:rFonts w:ascii="Cambria Math" w:hAnsi="Cambria Math" w:cs="Arial"/>
                  </w:rPr>
                  <m:t>,</m:t>
                </m:r>
                <m:r>
                  <w:rPr>
                    <w:rFonts w:ascii="Cambria Math" w:hAnsi="Cambria Math" w:cs="Arial"/>
                    <w:lang w:val="en-US"/>
                  </w:rPr>
                  <m:t>n</m:t>
                </m:r>
                <m:r>
                  <w:rPr>
                    <w:rFonts w:ascii="Cambria Math" w:hAnsi="Cambria Math" w:cs="Arial"/>
                  </w:rPr>
                  <m:t>,</m:t>
                </m:r>
                <m:r>
                  <w:rPr>
                    <w:rFonts w:ascii="Cambria Math" w:hAnsi="Cambria Math" w:cs="Arial"/>
                    <w:lang w:val="en-US"/>
                  </w:rPr>
                  <m:t>m</m:t>
                </m:r>
                <m:r>
                  <w:rPr>
                    <w:rFonts w:ascii="Cambria Math" w:hAnsi="Cambria Math" w:cs="Arial"/>
                  </w:rPr>
                  <m:t>,</m:t>
                </m:r>
                <m:r>
                  <w:rPr>
                    <w:rFonts w:ascii="Cambria Math" w:hAnsi="Cambria Math" w:cs="Arial"/>
                    <w:lang w:val="en-US"/>
                  </w:rPr>
                  <m:t>k</m:t>
                </m:r>
              </m:sub>
            </m:sSub>
          </m:den>
        </m:f>
        <m:r>
          <w:rPr>
            <w:rFonts w:ascii="Cambria Math" w:hAnsi="Cambria Math" w:cs="Arial"/>
          </w:rPr>
          <m:t xml:space="preserve"> </m:t>
        </m:r>
      </m:oMath>
      <w:r w:rsidRPr="00207BB6">
        <w:rPr>
          <w:rFonts w:ascii="Bookman Old Style" w:hAnsi="Bookman Old Style" w:cs="Arial"/>
          <w:i/>
        </w:rPr>
        <w:t xml:space="preserve">, </w:t>
      </w:r>
      <w:r w:rsidRPr="00207BB6">
        <w:rPr>
          <w:rFonts w:ascii="Bookman Old Style" w:hAnsi="Bookman Old Style" w:cs="Arial"/>
          <w:i/>
        </w:rPr>
        <w:tab/>
        <w:t xml:space="preserve">   entonces  m</w:t>
      </w:r>
      <w:r w:rsidRPr="00207BB6">
        <w:rPr>
          <w:rFonts w:ascii="Bookman Old Style" w:hAnsi="Bookman Old Style" w:cs="Arial"/>
          <w:i/>
          <w:vertAlign w:val="subscript"/>
        </w:rPr>
        <w:t>t</w:t>
      </w:r>
      <w:r w:rsidRPr="00207BB6">
        <w:rPr>
          <w:rFonts w:ascii="Bookman Old Style" w:hAnsi="Bookman Old Style" w:cs="Arial"/>
          <w:i/>
        </w:rPr>
        <w:t xml:space="preserve"> = 0 </w:t>
      </w:r>
    </w:p>
    <w:p w:rsidR="0044102E" w:rsidRDefault="0044102E" w:rsidP="0044102E">
      <w:pPr>
        <w:spacing w:line="240" w:lineRule="auto"/>
        <w:rPr>
          <w:rFonts w:ascii="Bookman Old Style" w:hAnsi="Bookman Old Style" w:cs="Arial"/>
          <w:i/>
        </w:rPr>
      </w:pPr>
    </w:p>
    <w:p w:rsidR="008D4C02" w:rsidRPr="00207BB6" w:rsidRDefault="008D4C02" w:rsidP="0044102E">
      <w:pPr>
        <w:spacing w:line="240" w:lineRule="auto"/>
        <w:rPr>
          <w:rFonts w:ascii="Bookman Old Style" w:hAnsi="Bookman Old Style" w:cs="Arial"/>
          <w:i/>
        </w:rPr>
      </w:pPr>
    </w:p>
    <w:p w:rsidR="0044102E" w:rsidRPr="00207BB6" w:rsidRDefault="0044102E" w:rsidP="0044102E">
      <w:pPr>
        <w:spacing w:line="240" w:lineRule="auto"/>
        <w:rPr>
          <w:rFonts w:ascii="Bookman Old Style" w:hAnsi="Bookman Old Style" w:cs="Arial"/>
          <w:i/>
        </w:rPr>
      </w:pPr>
      <w:r w:rsidRPr="00207BB6">
        <w:rPr>
          <w:rFonts w:ascii="Bookman Old Style" w:hAnsi="Bookman Old Style" w:cs="Arial"/>
          <w:i/>
        </w:rPr>
        <w:t>Con:</w:t>
      </w:r>
    </w:p>
    <w:p w:rsidR="0044102E" w:rsidRDefault="0044102E" w:rsidP="0044102E">
      <w:pPr>
        <w:spacing w:line="240" w:lineRule="auto"/>
        <w:rPr>
          <w:rFonts w:ascii="Bookman Old Style" w:hAnsi="Bookman Old Style" w:cs="Arial"/>
          <w:i/>
        </w:rPr>
      </w:pPr>
    </w:p>
    <w:p w:rsidR="008D4C02" w:rsidRPr="00207BB6" w:rsidRDefault="008D4C02" w:rsidP="0044102E">
      <w:pPr>
        <w:spacing w:line="240" w:lineRule="auto"/>
        <w:rPr>
          <w:rFonts w:ascii="Bookman Old Style" w:hAnsi="Bookman Old Style" w:cs="Arial"/>
          <w:i/>
        </w:rPr>
      </w:pPr>
    </w:p>
    <w:p w:rsidR="0044102E" w:rsidRPr="00207BB6" w:rsidRDefault="0044102E" w:rsidP="0044102E">
      <w:pPr>
        <w:spacing w:before="120" w:line="240" w:lineRule="auto"/>
        <w:ind w:left="1418" w:hanging="1418"/>
        <w:rPr>
          <w:rFonts w:ascii="Bookman Old Style" w:hAnsi="Bookman Old Style"/>
          <w:i/>
        </w:rPr>
      </w:pPr>
      <w:proofErr w:type="spellStart"/>
      <w:r w:rsidRPr="00207BB6">
        <w:rPr>
          <w:rFonts w:ascii="Bookman Old Style" w:hAnsi="Bookman Old Style"/>
          <w:i/>
        </w:rPr>
        <w:t>DtUNT</w:t>
      </w:r>
      <w:r w:rsidRPr="00207BB6">
        <w:rPr>
          <w:rFonts w:ascii="Bookman Old Style" w:hAnsi="Bookman Old Style"/>
          <w:i/>
          <w:vertAlign w:val="subscript"/>
        </w:rPr>
        <w:t>n</w:t>
      </w:r>
      <w:proofErr w:type="gramStart"/>
      <w:r w:rsidRPr="00207BB6">
        <w:rPr>
          <w:rFonts w:ascii="Bookman Old Style" w:hAnsi="Bookman Old Style"/>
          <w:i/>
          <w:vertAlign w:val="subscript"/>
        </w:rPr>
        <w:t>,m,a</w:t>
      </w:r>
      <w:proofErr w:type="spellEnd"/>
      <w:proofErr w:type="gramEnd"/>
      <w:r w:rsidRPr="00207BB6">
        <w:rPr>
          <w:rFonts w:ascii="Bookman Old Style" w:hAnsi="Bookman Old Style"/>
          <w:i/>
        </w:rPr>
        <w:t>:</w:t>
      </w:r>
      <w:r w:rsidRPr="00207BB6">
        <w:rPr>
          <w:rFonts w:ascii="Bookman Old Style" w:hAnsi="Bookman Old Style"/>
          <w:i/>
        </w:rPr>
        <w:tab/>
        <w:t xml:space="preserve">Cargo por Uso Único Transitorio del Nivel de Tensión n en un Departamento, aplicado en el mes m en el ADD a, calculado igual que el </w:t>
      </w:r>
      <w:proofErr w:type="spellStart"/>
      <w:r w:rsidRPr="00207BB6">
        <w:rPr>
          <w:rFonts w:ascii="Bookman Old Style" w:hAnsi="Bookman Old Style"/>
          <w:i/>
        </w:rPr>
        <w:t>DtUN</w:t>
      </w:r>
      <w:r w:rsidRPr="00207BB6">
        <w:rPr>
          <w:rFonts w:ascii="Bookman Old Style" w:hAnsi="Bookman Old Style"/>
          <w:i/>
          <w:vertAlign w:val="subscript"/>
        </w:rPr>
        <w:t>n,m,a</w:t>
      </w:r>
      <w:proofErr w:type="spellEnd"/>
      <w:r w:rsidRPr="00207BB6">
        <w:rPr>
          <w:rFonts w:ascii="Bookman Old Style" w:hAnsi="Bookman Old Style"/>
          <w:i/>
          <w:vertAlign w:val="subscript"/>
        </w:rPr>
        <w:t xml:space="preserve"> </w:t>
      </w:r>
      <w:r w:rsidRPr="00207BB6">
        <w:rPr>
          <w:rFonts w:ascii="Bookman Old Style" w:hAnsi="Bookman Old Style"/>
          <w:i/>
        </w:rPr>
        <w:t>considerando únicamente los OR del Departamento a quienes se les aplique la transición en la fase 1.</w:t>
      </w:r>
    </w:p>
    <w:p w:rsidR="0044102E" w:rsidRPr="00207BB6" w:rsidRDefault="0044102E" w:rsidP="0044102E">
      <w:pPr>
        <w:spacing w:line="240" w:lineRule="auto"/>
        <w:rPr>
          <w:rFonts w:ascii="Bookman Old Style" w:hAnsi="Bookman Old Style" w:cs="Arial"/>
          <w:i/>
        </w:rPr>
      </w:pPr>
    </w:p>
    <w:p w:rsidR="0044102E" w:rsidRPr="00207BB6" w:rsidRDefault="0044102E" w:rsidP="0044102E">
      <w:pPr>
        <w:spacing w:before="120" w:line="240" w:lineRule="auto"/>
        <w:ind w:left="1418" w:hanging="1418"/>
        <w:rPr>
          <w:rFonts w:ascii="Bookman Old Style" w:hAnsi="Bookman Old Style"/>
          <w:i/>
        </w:rPr>
      </w:pPr>
      <w:proofErr w:type="spellStart"/>
      <w:r w:rsidRPr="00207BB6">
        <w:rPr>
          <w:rFonts w:ascii="Bookman Old Style" w:hAnsi="Bookman Old Style"/>
          <w:i/>
        </w:rPr>
        <w:t>Dt</w:t>
      </w:r>
      <w:r w:rsidRPr="00207BB6">
        <w:rPr>
          <w:rFonts w:ascii="Bookman Old Style" w:hAnsi="Bookman Old Style"/>
          <w:i/>
          <w:vertAlign w:val="subscript"/>
        </w:rPr>
        <w:t>j</w:t>
      </w:r>
      <w:proofErr w:type="gramStart"/>
      <w:r w:rsidRPr="00207BB6">
        <w:rPr>
          <w:rFonts w:ascii="Bookman Old Style" w:hAnsi="Bookman Old Style"/>
          <w:i/>
          <w:vertAlign w:val="subscript"/>
        </w:rPr>
        <w:t>,n,m,k</w:t>
      </w:r>
      <w:proofErr w:type="spellEnd"/>
      <w:proofErr w:type="gramEnd"/>
      <w:r w:rsidRPr="00207BB6">
        <w:rPr>
          <w:rFonts w:ascii="Bookman Old Style" w:hAnsi="Bookman Old Style"/>
          <w:i/>
        </w:rPr>
        <w:t>:</w:t>
      </w:r>
      <w:r w:rsidRPr="00207BB6">
        <w:rPr>
          <w:rFonts w:ascii="Bookman Old Style" w:hAnsi="Bookman Old Style"/>
          <w:i/>
        </w:rPr>
        <w:tab/>
        <w:t>Cargo por Uso del OR j, del Nivel de Tensión n, correspondiente al mes m del año k.</w:t>
      </w:r>
    </w:p>
    <w:p w:rsidR="0044102E" w:rsidRDefault="0044102E" w:rsidP="0044102E">
      <w:pPr>
        <w:spacing w:before="120" w:line="240" w:lineRule="auto"/>
        <w:ind w:left="1418" w:hanging="1418"/>
        <w:rPr>
          <w:rFonts w:ascii="Bookman Old Style" w:hAnsi="Bookman Old Style"/>
          <w:i/>
        </w:rPr>
      </w:pPr>
    </w:p>
    <w:p w:rsidR="0044102E" w:rsidRPr="00207BB6" w:rsidRDefault="0044102E" w:rsidP="0044102E">
      <w:pPr>
        <w:spacing w:line="240" w:lineRule="auto"/>
        <w:rPr>
          <w:rFonts w:ascii="Bookman Old Style" w:hAnsi="Bookman Old Style" w:cs="Arial"/>
          <w:i/>
        </w:rPr>
      </w:pPr>
      <w:r w:rsidRPr="00207BB6">
        <w:rPr>
          <w:rFonts w:ascii="Bookman Old Style" w:hAnsi="Bookman Old Style" w:cs="Arial"/>
          <w:b/>
          <w:i/>
        </w:rPr>
        <w:t>Parágrafo.</w:t>
      </w:r>
      <w:r w:rsidRPr="00207BB6">
        <w:rPr>
          <w:rFonts w:ascii="Bookman Old Style" w:hAnsi="Bookman Old Style" w:cs="Arial"/>
          <w:i/>
        </w:rPr>
        <w:t xml:space="preserve">  </w:t>
      </w:r>
      <w:r>
        <w:rPr>
          <w:rFonts w:ascii="Bookman Old Style" w:hAnsi="Bookman Old Style" w:cs="Arial"/>
          <w:i/>
        </w:rPr>
        <w:t xml:space="preserve">El LAC </w:t>
      </w:r>
      <w:r w:rsidR="00AC6641" w:rsidRPr="00AC6641">
        <w:rPr>
          <w:rFonts w:ascii="Bookman Old Style" w:hAnsi="Bookman Old Style" w:cs="Arial"/>
          <w:i/>
        </w:rPr>
        <w:t>calculará</w:t>
      </w:r>
      <w:r>
        <w:rPr>
          <w:rFonts w:ascii="Bookman Old Style" w:hAnsi="Bookman Old Style" w:cs="Arial"/>
          <w:i/>
        </w:rPr>
        <w:t xml:space="preserve"> l</w:t>
      </w:r>
      <w:r w:rsidRPr="00207BB6">
        <w:rPr>
          <w:rFonts w:ascii="Bookman Old Style" w:hAnsi="Bookman Old Style" w:cs="Arial"/>
          <w:i/>
        </w:rPr>
        <w:t xml:space="preserve">a duración de la transición al inicio de </w:t>
      </w:r>
      <w:r>
        <w:rPr>
          <w:rFonts w:ascii="Bookman Old Style" w:hAnsi="Bookman Old Style" w:cs="Arial"/>
          <w:i/>
        </w:rPr>
        <w:t xml:space="preserve">la </w:t>
      </w:r>
      <w:r w:rsidRPr="00207BB6">
        <w:rPr>
          <w:rFonts w:ascii="Bookman Old Style" w:hAnsi="Bookman Old Style" w:cs="Arial"/>
          <w:i/>
        </w:rPr>
        <w:t>aplicación de la presente resolución y podrá ser ajustada al momento de inicio de la fase 2.</w:t>
      </w:r>
    </w:p>
    <w:p w:rsidR="0044102E" w:rsidRDefault="0044102E" w:rsidP="0044102E">
      <w:pPr>
        <w:spacing w:line="240" w:lineRule="auto"/>
        <w:rPr>
          <w:rFonts w:ascii="Bookman Old Style" w:hAnsi="Bookman Old Style" w:cs="Arial"/>
          <w:i/>
        </w:rPr>
      </w:pPr>
    </w:p>
    <w:p w:rsidR="008D4C02" w:rsidRPr="00207BB6" w:rsidRDefault="008D4C02" w:rsidP="0044102E">
      <w:pPr>
        <w:spacing w:line="240" w:lineRule="auto"/>
        <w:rPr>
          <w:rFonts w:ascii="Bookman Old Style" w:hAnsi="Bookman Old Style" w:cs="Arial"/>
          <w:i/>
        </w:rPr>
      </w:pPr>
    </w:p>
    <w:p w:rsidR="0044102E" w:rsidRPr="00207BB6" w:rsidRDefault="0044102E" w:rsidP="0044102E">
      <w:pPr>
        <w:spacing w:line="240" w:lineRule="auto"/>
        <w:rPr>
          <w:rFonts w:ascii="Bookman Old Style" w:hAnsi="Bookman Old Style" w:cs="Arial"/>
          <w:i/>
        </w:rPr>
      </w:pPr>
      <w:r w:rsidRPr="00207BB6">
        <w:rPr>
          <w:rFonts w:ascii="Bookman Old Style" w:hAnsi="Bookman Old Style" w:cs="Arial"/>
          <w:i/>
        </w:rPr>
        <w:t>La CREG podrá revisar la conformación de las ADD y los parámetros de aumento y duración de la transición, al momento de contar con los nuevos cargos para todos los OR de una misma ADD.</w:t>
      </w:r>
      <w:r>
        <w:rPr>
          <w:rFonts w:ascii="Bookman Old Style" w:hAnsi="Bookman Old Style" w:cs="Arial"/>
          <w:i/>
        </w:rPr>
        <w:t>”</w:t>
      </w:r>
    </w:p>
    <w:p w:rsidR="00E538B1" w:rsidRDefault="00E538B1" w:rsidP="00B35EBB">
      <w:pPr>
        <w:rPr>
          <w:rFonts w:ascii="Bookman Old Style" w:hAnsi="Bookman Old Style" w:cs="Arial"/>
        </w:rPr>
      </w:pPr>
    </w:p>
    <w:p w:rsidR="008D4C02" w:rsidRDefault="008D4C02" w:rsidP="00B35EBB">
      <w:pPr>
        <w:spacing w:line="240" w:lineRule="auto"/>
        <w:rPr>
          <w:rFonts w:ascii="Bookman Old Style" w:hAnsi="Bookman Old Style" w:cs="Arial"/>
          <w:b/>
        </w:rPr>
      </w:pPr>
    </w:p>
    <w:p w:rsidR="008D4C02" w:rsidRDefault="008D4C02" w:rsidP="00B35EBB">
      <w:pPr>
        <w:spacing w:line="240" w:lineRule="auto"/>
        <w:rPr>
          <w:rFonts w:ascii="Bookman Old Style" w:hAnsi="Bookman Old Style" w:cs="Arial"/>
          <w:b/>
        </w:rPr>
      </w:pPr>
    </w:p>
    <w:p w:rsidR="00B35EBB" w:rsidRPr="00B35EBB" w:rsidRDefault="00B35EBB" w:rsidP="00B35EBB">
      <w:pPr>
        <w:spacing w:line="240" w:lineRule="auto"/>
        <w:rPr>
          <w:rFonts w:ascii="Bookman Old Style" w:hAnsi="Bookman Old Style" w:cs="Arial"/>
        </w:rPr>
      </w:pPr>
      <w:r w:rsidRPr="00B35EBB">
        <w:rPr>
          <w:rFonts w:ascii="Bookman Old Style" w:hAnsi="Bookman Old Style" w:cs="Arial"/>
          <w:b/>
        </w:rPr>
        <w:t xml:space="preserve">Artículo </w:t>
      </w:r>
      <w:r w:rsidR="00CD6C19">
        <w:rPr>
          <w:rFonts w:ascii="Bookman Old Style" w:hAnsi="Bookman Old Style" w:cs="Arial"/>
          <w:b/>
        </w:rPr>
        <w:t>3</w:t>
      </w:r>
      <w:r w:rsidRPr="00B35EBB">
        <w:rPr>
          <w:rFonts w:ascii="Bookman Old Style" w:hAnsi="Bookman Old Style" w:cs="Arial"/>
          <w:b/>
        </w:rPr>
        <w:t>. Vigencia:</w:t>
      </w:r>
      <w:r w:rsidRPr="00B35EBB">
        <w:rPr>
          <w:rFonts w:ascii="Bookman Old Style" w:hAnsi="Bookman Old Style" w:cs="Arial"/>
        </w:rPr>
        <w:t xml:space="preserve"> La presente resolución rige a partir de su publicación en el Diario Oficial y deroga las disposiciones que le sean contrarias.</w:t>
      </w:r>
    </w:p>
    <w:p w:rsidR="00B35EBB" w:rsidRPr="00B35EBB" w:rsidRDefault="00B35EBB" w:rsidP="00B35EBB">
      <w:pPr>
        <w:rPr>
          <w:rFonts w:ascii="Bookman Old Style" w:hAnsi="Bookman Old Style" w:cs="Arial"/>
        </w:rPr>
      </w:pPr>
    </w:p>
    <w:p w:rsidR="00B35EBB" w:rsidRPr="00B35EBB" w:rsidRDefault="00B35EBB" w:rsidP="00B35EBB">
      <w:pPr>
        <w:rPr>
          <w:rFonts w:ascii="Bookman Old Style" w:hAnsi="Bookman Old Style" w:cs="Arial"/>
        </w:rPr>
      </w:pPr>
    </w:p>
    <w:p w:rsidR="00B35EBB" w:rsidRPr="00B35EBB" w:rsidRDefault="00B35EBB" w:rsidP="00B35EBB">
      <w:pPr>
        <w:widowControl/>
        <w:adjustRightInd/>
        <w:spacing w:line="240" w:lineRule="auto"/>
        <w:jc w:val="center"/>
        <w:textAlignment w:val="auto"/>
        <w:rPr>
          <w:rFonts w:ascii="Bookman Old Style" w:hAnsi="Bookman Old Style"/>
          <w:color w:val="000000"/>
          <w:lang w:val="es-CO" w:eastAsia="es-CO"/>
        </w:rPr>
      </w:pPr>
      <w:r w:rsidRPr="00B35EBB">
        <w:rPr>
          <w:rFonts w:ascii="Bookman Old Style" w:hAnsi="Bookman Old Style"/>
          <w:b/>
          <w:bCs/>
          <w:color w:val="000000"/>
          <w:lang w:val="es-CO" w:eastAsia="es-CO"/>
        </w:rPr>
        <w:t>PUBLÍQUESE Y CÚMPLASE</w:t>
      </w:r>
    </w:p>
    <w:p w:rsidR="00B35EBB" w:rsidRPr="00B35EBB" w:rsidRDefault="00B35EBB" w:rsidP="00B35EBB">
      <w:pPr>
        <w:rPr>
          <w:rFonts w:ascii="Bookman Old Style" w:hAnsi="Bookman Old Style" w:cs="Arial"/>
        </w:rPr>
      </w:pPr>
      <w:r w:rsidRPr="00B35EBB">
        <w:rPr>
          <w:rFonts w:ascii="Bookman Old Style" w:hAnsi="Bookman Old Style"/>
          <w:color w:val="000000"/>
          <w:lang w:val="es-CO" w:eastAsia="es-CO"/>
        </w:rPr>
        <w:br/>
        <w:t>Dada en Bogotá, D.C.,</w:t>
      </w:r>
    </w:p>
    <w:p w:rsidR="00B35EBB" w:rsidRPr="00B35EBB" w:rsidRDefault="00B35EBB" w:rsidP="00B35EBB">
      <w:pPr>
        <w:rPr>
          <w:rFonts w:ascii="Bookman Old Style" w:hAnsi="Bookman Old Style" w:cs="Arial"/>
        </w:rPr>
      </w:pPr>
    </w:p>
    <w:p w:rsidR="00B35EBB" w:rsidRDefault="00B35EBB" w:rsidP="00B35EBB">
      <w:pPr>
        <w:jc w:val="center"/>
        <w:rPr>
          <w:rFonts w:ascii="Bookman Old Style" w:hAnsi="Bookman Old Style" w:cs="Arial"/>
          <w:b/>
        </w:rPr>
      </w:pPr>
    </w:p>
    <w:p w:rsidR="00B35EBB" w:rsidRPr="00B35EBB" w:rsidRDefault="00B35EBB" w:rsidP="00B35EBB">
      <w:pPr>
        <w:jc w:val="center"/>
        <w:rPr>
          <w:rFonts w:ascii="Bookman Old Style" w:hAnsi="Bookman Old Style" w:cs="Arial"/>
          <w:b/>
        </w:rPr>
      </w:pPr>
    </w:p>
    <w:tbl>
      <w:tblPr>
        <w:tblW w:w="0" w:type="auto"/>
        <w:jc w:val="center"/>
        <w:tblLayout w:type="fixed"/>
        <w:tblCellMar>
          <w:left w:w="70" w:type="dxa"/>
          <w:right w:w="70" w:type="dxa"/>
        </w:tblCellMar>
        <w:tblLook w:val="0000"/>
      </w:tblPr>
      <w:tblGrid>
        <w:gridCol w:w="5188"/>
        <w:gridCol w:w="3794"/>
      </w:tblGrid>
      <w:tr w:rsidR="00B35EBB" w:rsidRPr="00B35EBB" w:rsidTr="00311C7F">
        <w:trPr>
          <w:trHeight w:val="329"/>
          <w:jc w:val="center"/>
        </w:trPr>
        <w:tc>
          <w:tcPr>
            <w:tcW w:w="5188" w:type="dxa"/>
          </w:tcPr>
          <w:p w:rsidR="00B35EBB" w:rsidRPr="00B35EBB" w:rsidRDefault="00B35EBB" w:rsidP="00311C7F">
            <w:pPr>
              <w:spacing w:line="240" w:lineRule="auto"/>
              <w:jc w:val="center"/>
              <w:rPr>
                <w:rFonts w:ascii="Bookman Old Style" w:hAnsi="Bookman Old Style" w:cs="Arial"/>
                <w:b/>
              </w:rPr>
            </w:pPr>
            <w:r w:rsidRPr="00B35EBB">
              <w:rPr>
                <w:rFonts w:ascii="Bookman Old Style" w:hAnsi="Bookman Old Style" w:cs="Arial"/>
                <w:b/>
              </w:rPr>
              <w:t>MANUEL MAIGUASHCA OLANO</w:t>
            </w:r>
          </w:p>
        </w:tc>
        <w:tc>
          <w:tcPr>
            <w:tcW w:w="3794" w:type="dxa"/>
            <w:vAlign w:val="center"/>
          </w:tcPr>
          <w:p w:rsidR="00B35EBB" w:rsidRPr="00B35EBB" w:rsidRDefault="00B35EBB" w:rsidP="00311C7F">
            <w:pPr>
              <w:spacing w:line="240" w:lineRule="auto"/>
              <w:jc w:val="center"/>
              <w:rPr>
                <w:rFonts w:ascii="Bookman Old Style" w:hAnsi="Bookman Old Style" w:cs="Arial"/>
                <w:b/>
              </w:rPr>
            </w:pPr>
            <w:r w:rsidRPr="00B35EBB">
              <w:rPr>
                <w:rFonts w:ascii="Bookman Old Style" w:hAnsi="Bookman Old Style" w:cs="Arial"/>
                <w:b/>
              </w:rPr>
              <w:t>HERNÁN MOLINA VALENCIA</w:t>
            </w:r>
          </w:p>
        </w:tc>
      </w:tr>
      <w:tr w:rsidR="00B35EBB" w:rsidRPr="00B35EBB" w:rsidTr="00311C7F">
        <w:trPr>
          <w:trHeight w:val="254"/>
          <w:jc w:val="center"/>
        </w:trPr>
        <w:tc>
          <w:tcPr>
            <w:tcW w:w="5188" w:type="dxa"/>
          </w:tcPr>
          <w:p w:rsidR="00B35EBB" w:rsidRPr="00B35EBB" w:rsidRDefault="00B35EBB" w:rsidP="00311C7F">
            <w:pPr>
              <w:spacing w:line="240" w:lineRule="auto"/>
              <w:jc w:val="center"/>
              <w:rPr>
                <w:rFonts w:ascii="Bookman Old Style" w:hAnsi="Bookman Old Style" w:cs="Arial"/>
              </w:rPr>
            </w:pPr>
            <w:r w:rsidRPr="00B35EBB">
              <w:rPr>
                <w:rFonts w:ascii="Bookman Old Style" w:hAnsi="Bookman Old Style" w:cs="Arial"/>
              </w:rPr>
              <w:t>Viceministro de Minas y Energía</w:t>
            </w:r>
          </w:p>
        </w:tc>
        <w:tc>
          <w:tcPr>
            <w:tcW w:w="3794" w:type="dxa"/>
            <w:vAlign w:val="center"/>
          </w:tcPr>
          <w:p w:rsidR="00B35EBB" w:rsidRPr="00B35EBB" w:rsidRDefault="00B35EBB" w:rsidP="00311C7F">
            <w:pPr>
              <w:spacing w:line="240" w:lineRule="auto"/>
              <w:jc w:val="center"/>
              <w:rPr>
                <w:rFonts w:ascii="Bookman Old Style" w:hAnsi="Bookman Old Style" w:cs="Arial"/>
              </w:rPr>
            </w:pPr>
            <w:r w:rsidRPr="00B35EBB">
              <w:rPr>
                <w:rFonts w:ascii="Bookman Old Style" w:hAnsi="Bookman Old Style" w:cs="Arial"/>
              </w:rPr>
              <w:t>Director Ejecutivo</w:t>
            </w:r>
          </w:p>
        </w:tc>
      </w:tr>
      <w:tr w:rsidR="00B35EBB" w:rsidRPr="00B35EBB" w:rsidTr="00311C7F">
        <w:trPr>
          <w:trHeight w:val="73"/>
          <w:jc w:val="center"/>
        </w:trPr>
        <w:tc>
          <w:tcPr>
            <w:tcW w:w="5188" w:type="dxa"/>
          </w:tcPr>
          <w:p w:rsidR="00B35EBB" w:rsidRPr="00B35EBB" w:rsidRDefault="00B35EBB" w:rsidP="00311C7F">
            <w:pPr>
              <w:spacing w:line="240" w:lineRule="auto"/>
              <w:jc w:val="center"/>
              <w:rPr>
                <w:rFonts w:ascii="Bookman Old Style" w:hAnsi="Bookman Old Style" w:cs="Arial"/>
              </w:rPr>
            </w:pPr>
            <w:r w:rsidRPr="00B35EBB">
              <w:rPr>
                <w:rFonts w:ascii="Bookman Old Style" w:hAnsi="Bookman Old Style" w:cs="Arial"/>
              </w:rPr>
              <w:t>Delegado del Ministro de Minas y Energía</w:t>
            </w:r>
          </w:p>
          <w:p w:rsidR="00B35EBB" w:rsidRPr="00B35EBB" w:rsidRDefault="00B35EBB" w:rsidP="00311C7F">
            <w:pPr>
              <w:spacing w:line="240" w:lineRule="auto"/>
              <w:jc w:val="center"/>
              <w:rPr>
                <w:rFonts w:ascii="Bookman Old Style" w:hAnsi="Bookman Old Style" w:cs="Arial"/>
              </w:rPr>
            </w:pPr>
            <w:r w:rsidRPr="00B35EBB">
              <w:rPr>
                <w:rFonts w:ascii="Bookman Old Style" w:hAnsi="Bookman Old Style" w:cs="Arial"/>
              </w:rPr>
              <w:t>Presidente</w:t>
            </w:r>
          </w:p>
        </w:tc>
        <w:tc>
          <w:tcPr>
            <w:tcW w:w="3794" w:type="dxa"/>
            <w:vAlign w:val="center"/>
          </w:tcPr>
          <w:p w:rsidR="00B35EBB" w:rsidRPr="00B35EBB" w:rsidRDefault="00B35EBB" w:rsidP="00311C7F">
            <w:pPr>
              <w:spacing w:line="240" w:lineRule="auto"/>
              <w:jc w:val="center"/>
              <w:rPr>
                <w:rFonts w:ascii="Bookman Old Style" w:hAnsi="Bookman Old Style" w:cs="Arial"/>
                <w:b/>
                <w:bCs/>
                <w:caps/>
              </w:rPr>
            </w:pPr>
          </w:p>
        </w:tc>
      </w:tr>
    </w:tbl>
    <w:p w:rsidR="00B35EBB" w:rsidRPr="00DD0FA5" w:rsidRDefault="00B35EBB" w:rsidP="00B35EBB">
      <w:pPr>
        <w:tabs>
          <w:tab w:val="left" w:pos="8931"/>
        </w:tabs>
        <w:ind w:right="-93"/>
        <w:jc w:val="center"/>
        <w:rPr>
          <w:rFonts w:ascii="Bookman Old Style" w:hAnsi="Bookman Old Style" w:cs="Arial"/>
        </w:rPr>
      </w:pPr>
    </w:p>
    <w:p w:rsidR="00287B34" w:rsidRPr="00287B34" w:rsidRDefault="00287B34" w:rsidP="00B35EBB">
      <w:pPr>
        <w:tabs>
          <w:tab w:val="left" w:pos="8931"/>
        </w:tabs>
        <w:ind w:right="-93"/>
        <w:jc w:val="center"/>
        <w:rPr>
          <w:rFonts w:ascii="Bookman Old Style" w:hAnsi="Bookman Old Style" w:cs="Arial"/>
        </w:rPr>
      </w:pPr>
    </w:p>
    <w:sectPr w:rsidR="00287B34" w:rsidRPr="00287B34" w:rsidSect="0044102E">
      <w:headerReference w:type="default" r:id="rId8"/>
      <w:footerReference w:type="even" r:id="rId9"/>
      <w:footerReference w:type="default" r:id="rId10"/>
      <w:pgSz w:w="12240" w:h="20160" w:code="5"/>
      <w:pgMar w:top="2552" w:right="1134" w:bottom="2835" w:left="1701" w:header="1814" w:footer="0" w:gutter="0"/>
      <w:pgBorders w:display="notFirstPage">
        <w:top w:val="single" w:sz="12" w:space="10" w:color="auto"/>
        <w:left w:val="single" w:sz="12" w:space="15" w:color="auto"/>
        <w:bottom w:val="single" w:sz="12" w:space="0" w:color="auto"/>
        <w:right w:val="single" w:sz="12" w:space="10"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A77" w:rsidRDefault="00845A77">
      <w:r>
        <w:separator/>
      </w:r>
    </w:p>
  </w:endnote>
  <w:endnote w:type="continuationSeparator" w:id="1">
    <w:p w:rsidR="00845A77" w:rsidRDefault="00845A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8B" w:rsidRDefault="00A86728">
    <w:pPr>
      <w:pStyle w:val="Piedepgina"/>
      <w:framePr w:wrap="around" w:vAnchor="text" w:hAnchor="margin" w:xAlign="right" w:y="1"/>
      <w:rPr>
        <w:rStyle w:val="Nmerodepgina"/>
      </w:rPr>
    </w:pPr>
    <w:r>
      <w:rPr>
        <w:rStyle w:val="Nmerodepgina"/>
      </w:rPr>
      <w:fldChar w:fldCharType="begin"/>
    </w:r>
    <w:r w:rsidR="004F528B">
      <w:rPr>
        <w:rStyle w:val="Nmerodepgina"/>
      </w:rPr>
      <w:instrText xml:space="preserve">PAGE  </w:instrText>
    </w:r>
    <w:r>
      <w:rPr>
        <w:rStyle w:val="Nmerodepgina"/>
      </w:rPr>
      <w:fldChar w:fldCharType="end"/>
    </w:r>
  </w:p>
  <w:p w:rsidR="004F528B" w:rsidRDefault="004F528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8B" w:rsidRPr="002036FF" w:rsidRDefault="004F528B" w:rsidP="002036FF">
    <w:pPr>
      <w:pStyle w:val="Piedepgina"/>
      <w:ind w:right="-66"/>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A77" w:rsidRDefault="00845A77">
      <w:r>
        <w:separator/>
      </w:r>
    </w:p>
  </w:footnote>
  <w:footnote w:type="continuationSeparator" w:id="1">
    <w:p w:rsidR="00845A77" w:rsidRDefault="00845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8B" w:rsidRPr="00092E7E" w:rsidRDefault="004F528B" w:rsidP="00D9132F">
    <w:pPr>
      <w:pStyle w:val="Encabezado"/>
      <w:framePr w:w="9976" w:h="436" w:hRule="exact" w:wrap="around" w:vAnchor="text" w:hAnchor="page" w:x="1381" w:y="-853"/>
      <w:rPr>
        <w:rStyle w:val="Nmerodepgina"/>
        <w:rFonts w:ascii="Bookman Old Style" w:hAnsi="Bookman Old Style"/>
        <w:b w:val="0"/>
        <w:sz w:val="22"/>
        <w:szCs w:val="22"/>
      </w:rPr>
    </w:pPr>
    <w:r>
      <w:rPr>
        <w:rStyle w:val="Nmerodepgina"/>
        <w:rFonts w:ascii="Bookman Old Style" w:hAnsi="Bookman Old Style"/>
        <w:b w:val="0"/>
        <w:sz w:val="22"/>
        <w:szCs w:val="22"/>
      </w:rPr>
      <w:t xml:space="preserve">RESOLUCIÓN No. ________________ DE _________________                      HOJA No.   </w:t>
    </w:r>
    <w:r w:rsidR="00A86728" w:rsidRPr="00092E7E">
      <w:rPr>
        <w:rStyle w:val="Nmerodepgina"/>
        <w:rFonts w:ascii="Bookman Old Style" w:hAnsi="Bookman Old Style"/>
        <w:b w:val="0"/>
        <w:sz w:val="22"/>
        <w:szCs w:val="22"/>
      </w:rPr>
      <w:fldChar w:fldCharType="begin"/>
    </w:r>
    <w:r w:rsidRPr="00092E7E">
      <w:rPr>
        <w:rStyle w:val="Nmerodepgina"/>
        <w:rFonts w:ascii="Bookman Old Style" w:hAnsi="Bookman Old Style"/>
        <w:b w:val="0"/>
        <w:sz w:val="22"/>
        <w:szCs w:val="22"/>
      </w:rPr>
      <w:instrText xml:space="preserve">PAGE  </w:instrText>
    </w:r>
    <w:r w:rsidR="00A86728" w:rsidRPr="00092E7E">
      <w:rPr>
        <w:rStyle w:val="Nmerodepgina"/>
        <w:rFonts w:ascii="Bookman Old Style" w:hAnsi="Bookman Old Style"/>
        <w:b w:val="0"/>
        <w:sz w:val="22"/>
        <w:szCs w:val="22"/>
      </w:rPr>
      <w:fldChar w:fldCharType="separate"/>
    </w:r>
    <w:r w:rsidR="00B638B6">
      <w:rPr>
        <w:rStyle w:val="Nmerodepgina"/>
        <w:rFonts w:ascii="Bookman Old Style" w:hAnsi="Bookman Old Style"/>
        <w:b w:val="0"/>
        <w:noProof/>
        <w:sz w:val="22"/>
        <w:szCs w:val="22"/>
      </w:rPr>
      <w:t>6</w:t>
    </w:r>
    <w:r w:rsidR="00A86728" w:rsidRPr="00092E7E">
      <w:rPr>
        <w:rStyle w:val="Nmerodepgina"/>
        <w:rFonts w:ascii="Bookman Old Style" w:hAnsi="Bookman Old Style"/>
        <w:b w:val="0"/>
        <w:sz w:val="22"/>
        <w:szCs w:val="22"/>
      </w:rPr>
      <w:fldChar w:fldCharType="end"/>
    </w:r>
    <w:r w:rsidRPr="00092E7E">
      <w:rPr>
        <w:rStyle w:val="Nmerodepgina"/>
        <w:rFonts w:ascii="Bookman Old Style" w:hAnsi="Bookman Old Style"/>
        <w:b w:val="0"/>
        <w:sz w:val="22"/>
        <w:szCs w:val="22"/>
      </w:rPr>
      <w:t>/</w:t>
    </w:r>
    <w:r>
      <w:rPr>
        <w:rStyle w:val="Nmerodepgina"/>
        <w:rFonts w:ascii="Bookman Old Style" w:hAnsi="Bookman Old Style"/>
        <w:b w:val="0"/>
        <w:sz w:val="22"/>
        <w:szCs w:val="22"/>
      </w:rPr>
      <w:t>6</w:t>
    </w:r>
  </w:p>
  <w:p w:rsidR="004F528B" w:rsidRPr="000A25B9" w:rsidRDefault="004F528B" w:rsidP="002105A4">
    <w:pPr>
      <w:spacing w:line="240" w:lineRule="auto"/>
      <w:jc w:val="left"/>
      <w:rPr>
        <w:rFonts w:ascii="Bookman Old Style" w:hAnsi="Bookman Old Style" w:cs="Arial"/>
        <w:color w:val="000000"/>
        <w:sz w:val="22"/>
        <w:szCs w:val="22"/>
      </w:rPr>
    </w:pPr>
    <w:r w:rsidRPr="000A25B9">
      <w:rPr>
        <w:rFonts w:ascii="Bookman Old Style" w:hAnsi="Bookman Old Style" w:cs="Arial"/>
        <w:color w:val="000000"/>
        <w:sz w:val="22"/>
        <w:szCs w:val="22"/>
      </w:rPr>
      <w:t xml:space="preserve">Por la cual se </w:t>
    </w:r>
    <w:r w:rsidR="00D46501">
      <w:rPr>
        <w:rFonts w:ascii="Bookman Old Style" w:hAnsi="Bookman Old Style" w:cs="Arial"/>
        <w:color w:val="000000"/>
        <w:sz w:val="22"/>
        <w:szCs w:val="22"/>
      </w:rPr>
      <w:t>modifica</w:t>
    </w:r>
    <w:r>
      <w:rPr>
        <w:rFonts w:ascii="Bookman Old Style" w:hAnsi="Bookman Old Style" w:cs="Arial"/>
        <w:color w:val="000000"/>
        <w:sz w:val="22"/>
        <w:szCs w:val="22"/>
      </w:rPr>
      <w:t xml:space="preserve"> la Resolución CREG 058 de 2008</w:t>
    </w:r>
  </w:p>
  <w:p w:rsidR="004F528B" w:rsidRPr="000A25B9" w:rsidRDefault="004F528B" w:rsidP="007D401E">
    <w:pPr>
      <w:pStyle w:val="Textoindependiente2"/>
      <w:pBdr>
        <w:bottom w:val="single" w:sz="4" w:space="1" w:color="000000"/>
      </w:pBdr>
      <w:spacing w:line="240" w:lineRule="auto"/>
      <w:ind w:right="51"/>
      <w:rPr>
        <w:rFonts w:ascii="Times New Roman" w:hAnsi="Times New Roman"/>
        <w:b/>
        <w:bCs/>
        <w:szCs w:val="2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2">
    <w:nsid w:val="0943013E"/>
    <w:multiLevelType w:val="hybridMultilevel"/>
    <w:tmpl w:val="5AD40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C92F62"/>
    <w:multiLevelType w:val="hybridMultilevel"/>
    <w:tmpl w:val="D89A1A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AF437E"/>
    <w:multiLevelType w:val="hybridMultilevel"/>
    <w:tmpl w:val="E898AB4A"/>
    <w:name w:val="WW8Num642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A765BA5"/>
    <w:multiLevelType w:val="multilevel"/>
    <w:tmpl w:val="6F22C6A4"/>
    <w:lvl w:ilvl="0">
      <w:start w:val="1"/>
      <w:numFmt w:val="decimal"/>
      <w:lvlText w:val="%1."/>
      <w:lvlJc w:val="left"/>
      <w:pPr>
        <w:tabs>
          <w:tab w:val="num" w:pos="360"/>
        </w:tabs>
        <w:ind w:left="0" w:firstLine="0"/>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2042367"/>
    <w:multiLevelType w:val="hybridMultilevel"/>
    <w:tmpl w:val="0958DF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DD4E98"/>
    <w:multiLevelType w:val="hybridMultilevel"/>
    <w:tmpl w:val="BA362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CB81FEB"/>
    <w:multiLevelType w:val="hybridMultilevel"/>
    <w:tmpl w:val="D5B41246"/>
    <w:lvl w:ilvl="0" w:tplc="04BE5384">
      <w:start w:val="1"/>
      <w:numFmt w:val="upperLetter"/>
      <w:pStyle w:val="Ttulo2"/>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14F31CC"/>
    <w:multiLevelType w:val="hybridMultilevel"/>
    <w:tmpl w:val="24CE76F8"/>
    <w:name w:val="WW8Num6423"/>
    <w:lvl w:ilvl="0" w:tplc="0C0A0001">
      <w:start w:val="1"/>
      <w:numFmt w:val="lowerLetter"/>
      <w:lvlText w:val="%1)"/>
      <w:lvlJc w:val="left"/>
      <w:pPr>
        <w:tabs>
          <w:tab w:val="num" w:pos="720"/>
        </w:tabs>
        <w:ind w:left="720" w:hanging="36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1">
    <w:nsid w:val="574B27F7"/>
    <w:multiLevelType w:val="singleLevel"/>
    <w:tmpl w:val="1DA49EBA"/>
    <w:name w:val="SECCION22"/>
    <w:lvl w:ilvl="0">
      <w:start w:val="1"/>
      <w:numFmt w:val="lowerLetter"/>
      <w:lvlText w:val="%1)"/>
      <w:legacy w:legacy="1" w:legacySpace="0" w:legacyIndent="360"/>
      <w:lvlJc w:val="left"/>
      <w:pPr>
        <w:ind w:left="360" w:hanging="360"/>
      </w:pPr>
    </w:lvl>
  </w:abstractNum>
  <w:abstractNum w:abstractNumId="12">
    <w:nsid w:val="582378F4"/>
    <w:multiLevelType w:val="hybridMultilevel"/>
    <w:tmpl w:val="C0DE914A"/>
    <w:lvl w:ilvl="0" w:tplc="0C0A000D">
      <w:start w:val="1"/>
      <w:numFmt w:val="decimal"/>
      <w:lvlText w:val="%1."/>
      <w:lvlJc w:val="left"/>
      <w:pPr>
        <w:ind w:left="360" w:hanging="360"/>
      </w:pPr>
      <w:rPr>
        <w:rFonts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13">
    <w:nsid w:val="59B81F6F"/>
    <w:multiLevelType w:val="hybridMultilevel"/>
    <w:tmpl w:val="3BC683EA"/>
    <w:lvl w:ilvl="0" w:tplc="C87CCA8E">
      <w:start w:val="1"/>
      <w:numFmt w:val="bullet"/>
      <w:lvlText w:val=""/>
      <w:lvlJc w:val="left"/>
      <w:pPr>
        <w:ind w:left="1080" w:hanging="360"/>
      </w:pPr>
      <w:rPr>
        <w:rFonts w:ascii="Symbol" w:hAnsi="Symbol" w:hint="default"/>
      </w:rPr>
    </w:lvl>
    <w:lvl w:ilvl="1" w:tplc="2C0E9E5E" w:tentative="1">
      <w:start w:val="1"/>
      <w:numFmt w:val="bullet"/>
      <w:lvlText w:val="o"/>
      <w:lvlJc w:val="left"/>
      <w:pPr>
        <w:ind w:left="1800" w:hanging="360"/>
      </w:pPr>
      <w:rPr>
        <w:rFonts w:ascii="Courier New" w:hAnsi="Courier New" w:cs="Courier New" w:hint="default"/>
      </w:rPr>
    </w:lvl>
    <w:lvl w:ilvl="2" w:tplc="F65266C8" w:tentative="1">
      <w:start w:val="1"/>
      <w:numFmt w:val="bullet"/>
      <w:lvlText w:val=""/>
      <w:lvlJc w:val="left"/>
      <w:pPr>
        <w:ind w:left="2520" w:hanging="360"/>
      </w:pPr>
      <w:rPr>
        <w:rFonts w:ascii="Wingdings" w:hAnsi="Wingdings" w:hint="default"/>
      </w:rPr>
    </w:lvl>
    <w:lvl w:ilvl="3" w:tplc="5E381482" w:tentative="1">
      <w:start w:val="1"/>
      <w:numFmt w:val="bullet"/>
      <w:lvlText w:val=""/>
      <w:lvlJc w:val="left"/>
      <w:pPr>
        <w:ind w:left="3240" w:hanging="360"/>
      </w:pPr>
      <w:rPr>
        <w:rFonts w:ascii="Symbol" w:hAnsi="Symbol" w:hint="default"/>
      </w:rPr>
    </w:lvl>
    <w:lvl w:ilvl="4" w:tplc="0B1A6A34" w:tentative="1">
      <w:start w:val="1"/>
      <w:numFmt w:val="bullet"/>
      <w:lvlText w:val="o"/>
      <w:lvlJc w:val="left"/>
      <w:pPr>
        <w:ind w:left="3960" w:hanging="360"/>
      </w:pPr>
      <w:rPr>
        <w:rFonts w:ascii="Courier New" w:hAnsi="Courier New" w:cs="Courier New" w:hint="default"/>
      </w:rPr>
    </w:lvl>
    <w:lvl w:ilvl="5" w:tplc="E0BAF2C8" w:tentative="1">
      <w:start w:val="1"/>
      <w:numFmt w:val="bullet"/>
      <w:lvlText w:val=""/>
      <w:lvlJc w:val="left"/>
      <w:pPr>
        <w:ind w:left="4680" w:hanging="360"/>
      </w:pPr>
      <w:rPr>
        <w:rFonts w:ascii="Wingdings" w:hAnsi="Wingdings" w:hint="default"/>
      </w:rPr>
    </w:lvl>
    <w:lvl w:ilvl="6" w:tplc="A3581296" w:tentative="1">
      <w:start w:val="1"/>
      <w:numFmt w:val="bullet"/>
      <w:lvlText w:val=""/>
      <w:lvlJc w:val="left"/>
      <w:pPr>
        <w:ind w:left="5400" w:hanging="360"/>
      </w:pPr>
      <w:rPr>
        <w:rFonts w:ascii="Symbol" w:hAnsi="Symbol" w:hint="default"/>
      </w:rPr>
    </w:lvl>
    <w:lvl w:ilvl="7" w:tplc="63EA788C" w:tentative="1">
      <w:start w:val="1"/>
      <w:numFmt w:val="bullet"/>
      <w:lvlText w:val="o"/>
      <w:lvlJc w:val="left"/>
      <w:pPr>
        <w:ind w:left="6120" w:hanging="360"/>
      </w:pPr>
      <w:rPr>
        <w:rFonts w:ascii="Courier New" w:hAnsi="Courier New" w:cs="Courier New" w:hint="default"/>
      </w:rPr>
    </w:lvl>
    <w:lvl w:ilvl="8" w:tplc="F998D7E0" w:tentative="1">
      <w:start w:val="1"/>
      <w:numFmt w:val="bullet"/>
      <w:lvlText w:val=""/>
      <w:lvlJc w:val="left"/>
      <w:pPr>
        <w:ind w:left="6840" w:hanging="360"/>
      </w:pPr>
      <w:rPr>
        <w:rFonts w:ascii="Wingdings" w:hAnsi="Wingdings" w:hint="default"/>
      </w:rPr>
    </w:lvl>
  </w:abstractNum>
  <w:abstractNum w:abstractNumId="14">
    <w:nsid w:val="62760887"/>
    <w:multiLevelType w:val="hybridMultilevel"/>
    <w:tmpl w:val="A3AA2F7C"/>
    <w:name w:val="SECCION22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3D706E1"/>
    <w:multiLevelType w:val="multilevel"/>
    <w:tmpl w:val="512ED3F2"/>
    <w:name w:val="WW8Num642322"/>
    <w:lvl w:ilvl="0">
      <w:start w:val="18"/>
      <w:numFmt w:val="decimal"/>
      <w:lvlText w:val="Artículo %1."/>
      <w:lvlJc w:val="right"/>
      <w:pPr>
        <w:tabs>
          <w:tab w:val="num" w:pos="1834"/>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360"/>
        </w:tabs>
        <w:ind w:left="0" w:firstLine="0"/>
      </w:pPr>
      <w:rPr>
        <w:rFonts w:hint="default"/>
      </w:rPr>
    </w:lvl>
    <w:lvl w:ilvl="3">
      <w:start w:val="1"/>
      <w:numFmt w:val="lowerRoman"/>
      <w:lvlText w:val="(%4)"/>
      <w:lvlJc w:val="righ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6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6">
    <w:nsid w:val="657D38B4"/>
    <w:multiLevelType w:val="multilevel"/>
    <w:tmpl w:val="052E2E18"/>
    <w:name w:val="SECCION2"/>
    <w:lvl w:ilvl="0">
      <w:start w:val="1"/>
      <w:numFmt w:val="decimal"/>
      <w:lvlText w:val="Artículo %1."/>
      <w:lvlJc w:val="right"/>
      <w:pPr>
        <w:tabs>
          <w:tab w:val="num" w:pos="1721"/>
        </w:tabs>
        <w:ind w:left="0" w:firstLine="1361"/>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7">
    <w:nsid w:val="69995A84"/>
    <w:multiLevelType w:val="hybridMultilevel"/>
    <w:tmpl w:val="C0DE914A"/>
    <w:lvl w:ilvl="0" w:tplc="0C0A0001">
      <w:start w:val="1"/>
      <w:numFmt w:val="decimal"/>
      <w:lvlText w:val="%1."/>
      <w:lvlJc w:val="left"/>
      <w:pPr>
        <w:ind w:left="360" w:hanging="360"/>
      </w:pPr>
      <w:rPr>
        <w:rFonts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18">
    <w:nsid w:val="6FD57C4C"/>
    <w:multiLevelType w:val="multilevel"/>
    <w:tmpl w:val="01D496D4"/>
    <w:name w:val="WW8Num6422"/>
    <w:lvl w:ilvl="0">
      <w:start w:val="29"/>
      <w:numFmt w:val="decimal"/>
      <w:lvlText w:val="Artículo %1."/>
      <w:lvlJc w:val="right"/>
      <w:pPr>
        <w:tabs>
          <w:tab w:val="num" w:pos="1834"/>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360"/>
        </w:tabs>
        <w:ind w:left="0" w:firstLine="0"/>
      </w:pPr>
      <w:rPr>
        <w:rFonts w:hint="default"/>
      </w:rPr>
    </w:lvl>
    <w:lvl w:ilvl="3">
      <w:start w:val="1"/>
      <w:numFmt w:val="lowerRoman"/>
      <w:lvlText w:val="(%4)"/>
      <w:lvlJc w:val="righ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6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9">
    <w:nsid w:val="71E124C7"/>
    <w:multiLevelType w:val="hybridMultilevel"/>
    <w:tmpl w:val="C0DE914A"/>
    <w:lvl w:ilvl="0" w:tplc="0C0A0001">
      <w:start w:val="1"/>
      <w:numFmt w:val="decimal"/>
      <w:lvlText w:val="%1."/>
      <w:lvlJc w:val="left"/>
      <w:pPr>
        <w:ind w:left="360" w:hanging="360"/>
      </w:pPr>
      <w:rPr>
        <w:rFonts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20">
    <w:nsid w:val="7A903C40"/>
    <w:multiLevelType w:val="multilevel"/>
    <w:tmpl w:val="C4D24A30"/>
    <w:lvl w:ilvl="0">
      <w:start w:val="1"/>
      <w:numFmt w:val="decimal"/>
      <w:lvlText w:val="%1)"/>
      <w:lvlJc w:val="left"/>
      <w:pPr>
        <w:ind w:left="720" w:hanging="360"/>
      </w:pPr>
      <w:rPr>
        <w:lang w:val="es-C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nsid w:val="7AF44242"/>
    <w:multiLevelType w:val="hybridMultilevel"/>
    <w:tmpl w:val="48EE4318"/>
    <w:lvl w:ilvl="0" w:tplc="C87CCA8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0"/>
  </w:num>
  <w:num w:numId="5">
    <w:abstractNumId w:val="20"/>
  </w:num>
  <w:num w:numId="6">
    <w:abstractNumId w:val="19"/>
  </w:num>
  <w:num w:numId="7">
    <w:abstractNumId w:val="17"/>
  </w:num>
  <w:num w:numId="8">
    <w:abstractNumId w:val="12"/>
  </w:num>
  <w:num w:numId="9">
    <w:abstractNumId w:val="13"/>
  </w:num>
  <w:num w:numId="10">
    <w:abstractNumId w:val="21"/>
  </w:num>
  <w:num w:numId="11">
    <w:abstractNumId w:val="6"/>
  </w:num>
  <w:num w:numId="12">
    <w:abstractNumId w:val="3"/>
  </w:num>
  <w:num w:numId="13">
    <w:abstractNumId w:val="7"/>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Footer/>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481" fill="f" fillcolor="white" stroke="f">
      <v:fill color="white" on="f"/>
      <v:stroke on="f"/>
    </o:shapedefaults>
  </w:hdrShapeDefaults>
  <w:footnotePr>
    <w:footnote w:id="0"/>
    <w:footnote w:id="1"/>
  </w:footnotePr>
  <w:endnotePr>
    <w:endnote w:id="0"/>
    <w:endnote w:id="1"/>
  </w:endnotePr>
  <w:compat/>
  <w:rsids>
    <w:rsidRoot w:val="00F63A43"/>
    <w:rsid w:val="00005681"/>
    <w:rsid w:val="00013F98"/>
    <w:rsid w:val="000156B6"/>
    <w:rsid w:val="00023D14"/>
    <w:rsid w:val="000306E6"/>
    <w:rsid w:val="00034F1F"/>
    <w:rsid w:val="0003682E"/>
    <w:rsid w:val="00037D8D"/>
    <w:rsid w:val="0004512B"/>
    <w:rsid w:val="000479EE"/>
    <w:rsid w:val="00047DC0"/>
    <w:rsid w:val="00053D5A"/>
    <w:rsid w:val="00055EF8"/>
    <w:rsid w:val="00056FD9"/>
    <w:rsid w:val="00057C6C"/>
    <w:rsid w:val="00062057"/>
    <w:rsid w:val="000633E0"/>
    <w:rsid w:val="000642C8"/>
    <w:rsid w:val="000677FB"/>
    <w:rsid w:val="00071F1F"/>
    <w:rsid w:val="0007233E"/>
    <w:rsid w:val="00075EAE"/>
    <w:rsid w:val="00080119"/>
    <w:rsid w:val="00080DB3"/>
    <w:rsid w:val="00092DC9"/>
    <w:rsid w:val="00092E7E"/>
    <w:rsid w:val="000934B0"/>
    <w:rsid w:val="00093EE3"/>
    <w:rsid w:val="00096577"/>
    <w:rsid w:val="0009777A"/>
    <w:rsid w:val="000979BB"/>
    <w:rsid w:val="000A0011"/>
    <w:rsid w:val="000A140D"/>
    <w:rsid w:val="000A2050"/>
    <w:rsid w:val="000A25B9"/>
    <w:rsid w:val="000A6466"/>
    <w:rsid w:val="000A73C1"/>
    <w:rsid w:val="000B4D05"/>
    <w:rsid w:val="000B50DE"/>
    <w:rsid w:val="000C0730"/>
    <w:rsid w:val="000D2773"/>
    <w:rsid w:val="000E212F"/>
    <w:rsid w:val="000F09A3"/>
    <w:rsid w:val="000F3ACE"/>
    <w:rsid w:val="0010088C"/>
    <w:rsid w:val="00101928"/>
    <w:rsid w:val="001051ED"/>
    <w:rsid w:val="00120930"/>
    <w:rsid w:val="00120DEB"/>
    <w:rsid w:val="00124F00"/>
    <w:rsid w:val="00125A6B"/>
    <w:rsid w:val="00134377"/>
    <w:rsid w:val="00134DCF"/>
    <w:rsid w:val="001441CF"/>
    <w:rsid w:val="00165027"/>
    <w:rsid w:val="00166FD9"/>
    <w:rsid w:val="00170A33"/>
    <w:rsid w:val="001715EF"/>
    <w:rsid w:val="001914D6"/>
    <w:rsid w:val="00192919"/>
    <w:rsid w:val="00193AFC"/>
    <w:rsid w:val="00195B20"/>
    <w:rsid w:val="00196EEF"/>
    <w:rsid w:val="00197AB6"/>
    <w:rsid w:val="001A4ACF"/>
    <w:rsid w:val="001B159B"/>
    <w:rsid w:val="001B69F4"/>
    <w:rsid w:val="001C04FC"/>
    <w:rsid w:val="001C370C"/>
    <w:rsid w:val="001C4CB1"/>
    <w:rsid w:val="001D05D7"/>
    <w:rsid w:val="001D2392"/>
    <w:rsid w:val="001E4AE7"/>
    <w:rsid w:val="001E69B2"/>
    <w:rsid w:val="001F4718"/>
    <w:rsid w:val="001F4AE3"/>
    <w:rsid w:val="00202253"/>
    <w:rsid w:val="002036FF"/>
    <w:rsid w:val="00207BB6"/>
    <w:rsid w:val="002105A4"/>
    <w:rsid w:val="00214BE2"/>
    <w:rsid w:val="00215704"/>
    <w:rsid w:val="00221BFC"/>
    <w:rsid w:val="00222BAA"/>
    <w:rsid w:val="00223254"/>
    <w:rsid w:val="002244EC"/>
    <w:rsid w:val="00225B2D"/>
    <w:rsid w:val="00230556"/>
    <w:rsid w:val="002321E8"/>
    <w:rsid w:val="00233716"/>
    <w:rsid w:val="00252200"/>
    <w:rsid w:val="002555C8"/>
    <w:rsid w:val="00255E4F"/>
    <w:rsid w:val="00256B27"/>
    <w:rsid w:val="0025785C"/>
    <w:rsid w:val="00257B54"/>
    <w:rsid w:val="00263D47"/>
    <w:rsid w:val="00267C5B"/>
    <w:rsid w:val="002709A8"/>
    <w:rsid w:val="002714A3"/>
    <w:rsid w:val="00273817"/>
    <w:rsid w:val="00276BC5"/>
    <w:rsid w:val="00281769"/>
    <w:rsid w:val="00281D67"/>
    <w:rsid w:val="00287B34"/>
    <w:rsid w:val="00292220"/>
    <w:rsid w:val="002925CA"/>
    <w:rsid w:val="002928ED"/>
    <w:rsid w:val="002940CC"/>
    <w:rsid w:val="002A29B7"/>
    <w:rsid w:val="002A35C8"/>
    <w:rsid w:val="002A3DA5"/>
    <w:rsid w:val="002A4986"/>
    <w:rsid w:val="002A56F2"/>
    <w:rsid w:val="002B14D3"/>
    <w:rsid w:val="002B1CF4"/>
    <w:rsid w:val="002C1982"/>
    <w:rsid w:val="002C1D4F"/>
    <w:rsid w:val="002C228E"/>
    <w:rsid w:val="002C3D45"/>
    <w:rsid w:val="002C6558"/>
    <w:rsid w:val="002C6FEC"/>
    <w:rsid w:val="002E590F"/>
    <w:rsid w:val="002E5E57"/>
    <w:rsid w:val="002F01BD"/>
    <w:rsid w:val="002F0B06"/>
    <w:rsid w:val="002F7A74"/>
    <w:rsid w:val="00302CA1"/>
    <w:rsid w:val="00304B23"/>
    <w:rsid w:val="00306494"/>
    <w:rsid w:val="00311554"/>
    <w:rsid w:val="00311C7F"/>
    <w:rsid w:val="003147C0"/>
    <w:rsid w:val="00314FC3"/>
    <w:rsid w:val="00316535"/>
    <w:rsid w:val="00320FF6"/>
    <w:rsid w:val="003222D9"/>
    <w:rsid w:val="00326C01"/>
    <w:rsid w:val="00327489"/>
    <w:rsid w:val="003324F9"/>
    <w:rsid w:val="00341DB3"/>
    <w:rsid w:val="003445B3"/>
    <w:rsid w:val="0034639F"/>
    <w:rsid w:val="003473FD"/>
    <w:rsid w:val="00350328"/>
    <w:rsid w:val="00354C6A"/>
    <w:rsid w:val="00360726"/>
    <w:rsid w:val="0036402F"/>
    <w:rsid w:val="00367FA7"/>
    <w:rsid w:val="00385792"/>
    <w:rsid w:val="0039079C"/>
    <w:rsid w:val="00394430"/>
    <w:rsid w:val="003A304E"/>
    <w:rsid w:val="003A74D5"/>
    <w:rsid w:val="003B2C2F"/>
    <w:rsid w:val="003C0F33"/>
    <w:rsid w:val="003C7C58"/>
    <w:rsid w:val="003D1C7E"/>
    <w:rsid w:val="003D4065"/>
    <w:rsid w:val="003D6ABC"/>
    <w:rsid w:val="003D7C5D"/>
    <w:rsid w:val="003E31C5"/>
    <w:rsid w:val="003E4245"/>
    <w:rsid w:val="003E6D6C"/>
    <w:rsid w:val="003E792E"/>
    <w:rsid w:val="003E7F22"/>
    <w:rsid w:val="003F111E"/>
    <w:rsid w:val="003F4421"/>
    <w:rsid w:val="003F5BDC"/>
    <w:rsid w:val="003F5E6F"/>
    <w:rsid w:val="003F7831"/>
    <w:rsid w:val="004019B8"/>
    <w:rsid w:val="00402329"/>
    <w:rsid w:val="00410D30"/>
    <w:rsid w:val="004111AD"/>
    <w:rsid w:val="004134A0"/>
    <w:rsid w:val="0041473E"/>
    <w:rsid w:val="004169EE"/>
    <w:rsid w:val="00416DF6"/>
    <w:rsid w:val="004170AD"/>
    <w:rsid w:val="00426836"/>
    <w:rsid w:val="004353B0"/>
    <w:rsid w:val="0044102E"/>
    <w:rsid w:val="00443086"/>
    <w:rsid w:val="00443604"/>
    <w:rsid w:val="004502A7"/>
    <w:rsid w:val="004523DD"/>
    <w:rsid w:val="00453A4A"/>
    <w:rsid w:val="00456DAD"/>
    <w:rsid w:val="00465406"/>
    <w:rsid w:val="00474828"/>
    <w:rsid w:val="00476433"/>
    <w:rsid w:val="00483507"/>
    <w:rsid w:val="004838DF"/>
    <w:rsid w:val="00493F71"/>
    <w:rsid w:val="004945B1"/>
    <w:rsid w:val="004A02AE"/>
    <w:rsid w:val="004A3AE4"/>
    <w:rsid w:val="004A3B26"/>
    <w:rsid w:val="004B43CC"/>
    <w:rsid w:val="004B5BCF"/>
    <w:rsid w:val="004B5E51"/>
    <w:rsid w:val="004B7AD7"/>
    <w:rsid w:val="004C01E9"/>
    <w:rsid w:val="004C48E2"/>
    <w:rsid w:val="004C4AD9"/>
    <w:rsid w:val="004C50EE"/>
    <w:rsid w:val="004E1E3B"/>
    <w:rsid w:val="004E751F"/>
    <w:rsid w:val="004F129A"/>
    <w:rsid w:val="004F15D0"/>
    <w:rsid w:val="004F1D08"/>
    <w:rsid w:val="004F2567"/>
    <w:rsid w:val="004F528B"/>
    <w:rsid w:val="004F6B49"/>
    <w:rsid w:val="0050057E"/>
    <w:rsid w:val="005016DF"/>
    <w:rsid w:val="00502892"/>
    <w:rsid w:val="00504588"/>
    <w:rsid w:val="00504CAE"/>
    <w:rsid w:val="00505FD2"/>
    <w:rsid w:val="00514746"/>
    <w:rsid w:val="00515087"/>
    <w:rsid w:val="00524183"/>
    <w:rsid w:val="0052534D"/>
    <w:rsid w:val="00531352"/>
    <w:rsid w:val="00534FA3"/>
    <w:rsid w:val="005365F0"/>
    <w:rsid w:val="00541B6C"/>
    <w:rsid w:val="0054372B"/>
    <w:rsid w:val="00545401"/>
    <w:rsid w:val="005479DE"/>
    <w:rsid w:val="00553627"/>
    <w:rsid w:val="005545AC"/>
    <w:rsid w:val="00555DF3"/>
    <w:rsid w:val="00556308"/>
    <w:rsid w:val="00556F8D"/>
    <w:rsid w:val="00561B18"/>
    <w:rsid w:val="00562733"/>
    <w:rsid w:val="00562ECF"/>
    <w:rsid w:val="00566E65"/>
    <w:rsid w:val="00566ED9"/>
    <w:rsid w:val="00573F74"/>
    <w:rsid w:val="00575946"/>
    <w:rsid w:val="00582420"/>
    <w:rsid w:val="00584B61"/>
    <w:rsid w:val="005902FE"/>
    <w:rsid w:val="0059392E"/>
    <w:rsid w:val="005A0927"/>
    <w:rsid w:val="005A10EC"/>
    <w:rsid w:val="005A3F80"/>
    <w:rsid w:val="005B28FD"/>
    <w:rsid w:val="005B72E2"/>
    <w:rsid w:val="005C1264"/>
    <w:rsid w:val="005C4F3C"/>
    <w:rsid w:val="005C7D49"/>
    <w:rsid w:val="005D1CEC"/>
    <w:rsid w:val="005D4011"/>
    <w:rsid w:val="005E36E0"/>
    <w:rsid w:val="005E3BA5"/>
    <w:rsid w:val="005E7D5F"/>
    <w:rsid w:val="005F02E6"/>
    <w:rsid w:val="005F089B"/>
    <w:rsid w:val="005F18AE"/>
    <w:rsid w:val="005F2F77"/>
    <w:rsid w:val="005F308C"/>
    <w:rsid w:val="005F59E4"/>
    <w:rsid w:val="00600D71"/>
    <w:rsid w:val="0060311E"/>
    <w:rsid w:val="00605FA1"/>
    <w:rsid w:val="006068F5"/>
    <w:rsid w:val="006102F0"/>
    <w:rsid w:val="006114FF"/>
    <w:rsid w:val="006239ED"/>
    <w:rsid w:val="00625267"/>
    <w:rsid w:val="00625557"/>
    <w:rsid w:val="00625AD3"/>
    <w:rsid w:val="00635D23"/>
    <w:rsid w:val="00636B0E"/>
    <w:rsid w:val="00641FCA"/>
    <w:rsid w:val="006438FB"/>
    <w:rsid w:val="00643CDF"/>
    <w:rsid w:val="00645475"/>
    <w:rsid w:val="00650286"/>
    <w:rsid w:val="006514FA"/>
    <w:rsid w:val="00651DDD"/>
    <w:rsid w:val="00651EEC"/>
    <w:rsid w:val="006623A9"/>
    <w:rsid w:val="00663897"/>
    <w:rsid w:val="006657ED"/>
    <w:rsid w:val="00666F74"/>
    <w:rsid w:val="006712A7"/>
    <w:rsid w:val="00676CF4"/>
    <w:rsid w:val="00677497"/>
    <w:rsid w:val="0067768C"/>
    <w:rsid w:val="00684506"/>
    <w:rsid w:val="00691A16"/>
    <w:rsid w:val="00694F70"/>
    <w:rsid w:val="006A1D3F"/>
    <w:rsid w:val="006A2821"/>
    <w:rsid w:val="006A2FD9"/>
    <w:rsid w:val="006A349D"/>
    <w:rsid w:val="006A6BF6"/>
    <w:rsid w:val="006B1425"/>
    <w:rsid w:val="006B76C8"/>
    <w:rsid w:val="006C03C9"/>
    <w:rsid w:val="006C0B39"/>
    <w:rsid w:val="006C0C5B"/>
    <w:rsid w:val="006C5C0F"/>
    <w:rsid w:val="006C6A9E"/>
    <w:rsid w:val="006D2200"/>
    <w:rsid w:val="006E17C7"/>
    <w:rsid w:val="006E614F"/>
    <w:rsid w:val="006E62AA"/>
    <w:rsid w:val="006F2052"/>
    <w:rsid w:val="006F7F31"/>
    <w:rsid w:val="00701D23"/>
    <w:rsid w:val="0070412E"/>
    <w:rsid w:val="00704E9D"/>
    <w:rsid w:val="00707085"/>
    <w:rsid w:val="00710B0B"/>
    <w:rsid w:val="00710CF4"/>
    <w:rsid w:val="007203F0"/>
    <w:rsid w:val="007228CF"/>
    <w:rsid w:val="00722996"/>
    <w:rsid w:val="0072643B"/>
    <w:rsid w:val="00726CB9"/>
    <w:rsid w:val="00732886"/>
    <w:rsid w:val="00733F2E"/>
    <w:rsid w:val="00740584"/>
    <w:rsid w:val="007421A2"/>
    <w:rsid w:val="00755869"/>
    <w:rsid w:val="0075672B"/>
    <w:rsid w:val="00756EA6"/>
    <w:rsid w:val="0077136F"/>
    <w:rsid w:val="00775BE7"/>
    <w:rsid w:val="00775C36"/>
    <w:rsid w:val="00776680"/>
    <w:rsid w:val="007808C5"/>
    <w:rsid w:val="0078248E"/>
    <w:rsid w:val="00784010"/>
    <w:rsid w:val="007846BB"/>
    <w:rsid w:val="00787659"/>
    <w:rsid w:val="00797B32"/>
    <w:rsid w:val="007A4E91"/>
    <w:rsid w:val="007A5559"/>
    <w:rsid w:val="007B1A8A"/>
    <w:rsid w:val="007C1BF3"/>
    <w:rsid w:val="007C3AF8"/>
    <w:rsid w:val="007C520C"/>
    <w:rsid w:val="007C6B51"/>
    <w:rsid w:val="007D1B9B"/>
    <w:rsid w:val="007D401E"/>
    <w:rsid w:val="007E2865"/>
    <w:rsid w:val="007E2C2A"/>
    <w:rsid w:val="007E2D37"/>
    <w:rsid w:val="007E30C5"/>
    <w:rsid w:val="007E5B06"/>
    <w:rsid w:val="007E6B5E"/>
    <w:rsid w:val="007F075F"/>
    <w:rsid w:val="007F5223"/>
    <w:rsid w:val="008023E2"/>
    <w:rsid w:val="008035D1"/>
    <w:rsid w:val="008045B5"/>
    <w:rsid w:val="0080769F"/>
    <w:rsid w:val="0082737A"/>
    <w:rsid w:val="00835E5F"/>
    <w:rsid w:val="00841547"/>
    <w:rsid w:val="00845A77"/>
    <w:rsid w:val="00847379"/>
    <w:rsid w:val="00862964"/>
    <w:rsid w:val="00863638"/>
    <w:rsid w:val="00867668"/>
    <w:rsid w:val="00867E38"/>
    <w:rsid w:val="00872906"/>
    <w:rsid w:val="008742E3"/>
    <w:rsid w:val="00874BFD"/>
    <w:rsid w:val="00874DC2"/>
    <w:rsid w:val="008752C9"/>
    <w:rsid w:val="008765F1"/>
    <w:rsid w:val="008802D6"/>
    <w:rsid w:val="00881335"/>
    <w:rsid w:val="008823F9"/>
    <w:rsid w:val="008870E0"/>
    <w:rsid w:val="008A1A41"/>
    <w:rsid w:val="008A6881"/>
    <w:rsid w:val="008A72A0"/>
    <w:rsid w:val="008A76F8"/>
    <w:rsid w:val="008A78AC"/>
    <w:rsid w:val="008C072C"/>
    <w:rsid w:val="008C34B7"/>
    <w:rsid w:val="008C3687"/>
    <w:rsid w:val="008C6213"/>
    <w:rsid w:val="008D1360"/>
    <w:rsid w:val="008D2025"/>
    <w:rsid w:val="008D4C02"/>
    <w:rsid w:val="008E0AB4"/>
    <w:rsid w:val="008E0D75"/>
    <w:rsid w:val="008E2188"/>
    <w:rsid w:val="008E2FE7"/>
    <w:rsid w:val="008E3482"/>
    <w:rsid w:val="008E4A9F"/>
    <w:rsid w:val="008E4D1A"/>
    <w:rsid w:val="008F07C3"/>
    <w:rsid w:val="008F3A6F"/>
    <w:rsid w:val="008F5977"/>
    <w:rsid w:val="008F59A2"/>
    <w:rsid w:val="008F6F08"/>
    <w:rsid w:val="008F7AB0"/>
    <w:rsid w:val="00900CB1"/>
    <w:rsid w:val="009111AD"/>
    <w:rsid w:val="0091737D"/>
    <w:rsid w:val="0092425E"/>
    <w:rsid w:val="0092541F"/>
    <w:rsid w:val="00925624"/>
    <w:rsid w:val="0093050B"/>
    <w:rsid w:val="00930ABD"/>
    <w:rsid w:val="00942716"/>
    <w:rsid w:val="00942B01"/>
    <w:rsid w:val="00945110"/>
    <w:rsid w:val="0094714E"/>
    <w:rsid w:val="00951786"/>
    <w:rsid w:val="009553F3"/>
    <w:rsid w:val="009554DD"/>
    <w:rsid w:val="00966880"/>
    <w:rsid w:val="0097273F"/>
    <w:rsid w:val="009771C0"/>
    <w:rsid w:val="00981835"/>
    <w:rsid w:val="00982192"/>
    <w:rsid w:val="00982BE2"/>
    <w:rsid w:val="00984CB0"/>
    <w:rsid w:val="00985AF0"/>
    <w:rsid w:val="00985E9B"/>
    <w:rsid w:val="00990B99"/>
    <w:rsid w:val="009A22C4"/>
    <w:rsid w:val="009A3FE6"/>
    <w:rsid w:val="009B1B52"/>
    <w:rsid w:val="009B24C4"/>
    <w:rsid w:val="009B3982"/>
    <w:rsid w:val="009B47A4"/>
    <w:rsid w:val="009B70FE"/>
    <w:rsid w:val="009B77DD"/>
    <w:rsid w:val="009C323E"/>
    <w:rsid w:val="009C42CF"/>
    <w:rsid w:val="009C4AD2"/>
    <w:rsid w:val="009C4D80"/>
    <w:rsid w:val="009C4FA7"/>
    <w:rsid w:val="009C7C8F"/>
    <w:rsid w:val="009D01E5"/>
    <w:rsid w:val="009D0BE6"/>
    <w:rsid w:val="009D2A7E"/>
    <w:rsid w:val="009D3DF0"/>
    <w:rsid w:val="009D7029"/>
    <w:rsid w:val="009E740C"/>
    <w:rsid w:val="00A00F9D"/>
    <w:rsid w:val="00A03F05"/>
    <w:rsid w:val="00A04626"/>
    <w:rsid w:val="00A04AFA"/>
    <w:rsid w:val="00A1770D"/>
    <w:rsid w:val="00A2074E"/>
    <w:rsid w:val="00A22E02"/>
    <w:rsid w:val="00A23E29"/>
    <w:rsid w:val="00A24994"/>
    <w:rsid w:val="00A32B47"/>
    <w:rsid w:val="00A32F5B"/>
    <w:rsid w:val="00A35790"/>
    <w:rsid w:val="00A36424"/>
    <w:rsid w:val="00A40297"/>
    <w:rsid w:val="00A437BD"/>
    <w:rsid w:val="00A45C43"/>
    <w:rsid w:val="00A469E2"/>
    <w:rsid w:val="00A505B5"/>
    <w:rsid w:val="00A600EA"/>
    <w:rsid w:val="00A6250E"/>
    <w:rsid w:val="00A664A3"/>
    <w:rsid w:val="00A66D1C"/>
    <w:rsid w:val="00A66F22"/>
    <w:rsid w:val="00A7354C"/>
    <w:rsid w:val="00A73BE0"/>
    <w:rsid w:val="00A76924"/>
    <w:rsid w:val="00A816B2"/>
    <w:rsid w:val="00A8544A"/>
    <w:rsid w:val="00A86728"/>
    <w:rsid w:val="00A879C0"/>
    <w:rsid w:val="00A912BB"/>
    <w:rsid w:val="00A923F6"/>
    <w:rsid w:val="00A926F2"/>
    <w:rsid w:val="00A92AF4"/>
    <w:rsid w:val="00A93C8A"/>
    <w:rsid w:val="00A95178"/>
    <w:rsid w:val="00A95B32"/>
    <w:rsid w:val="00AA1926"/>
    <w:rsid w:val="00AA5D1E"/>
    <w:rsid w:val="00AB0FA5"/>
    <w:rsid w:val="00AB141E"/>
    <w:rsid w:val="00AB2BEF"/>
    <w:rsid w:val="00AB4DA7"/>
    <w:rsid w:val="00AB5D8D"/>
    <w:rsid w:val="00AB70DC"/>
    <w:rsid w:val="00AC18D4"/>
    <w:rsid w:val="00AC59A3"/>
    <w:rsid w:val="00AC6641"/>
    <w:rsid w:val="00AC72CA"/>
    <w:rsid w:val="00AD03F9"/>
    <w:rsid w:val="00AD1EF7"/>
    <w:rsid w:val="00AD2372"/>
    <w:rsid w:val="00AE2B39"/>
    <w:rsid w:val="00AE2BB4"/>
    <w:rsid w:val="00AE7072"/>
    <w:rsid w:val="00AF241F"/>
    <w:rsid w:val="00AF2863"/>
    <w:rsid w:val="00AF36FD"/>
    <w:rsid w:val="00AF40C2"/>
    <w:rsid w:val="00AF4D4C"/>
    <w:rsid w:val="00B05673"/>
    <w:rsid w:val="00B05A0E"/>
    <w:rsid w:val="00B104E3"/>
    <w:rsid w:val="00B113DE"/>
    <w:rsid w:val="00B1511D"/>
    <w:rsid w:val="00B16674"/>
    <w:rsid w:val="00B17614"/>
    <w:rsid w:val="00B23DF0"/>
    <w:rsid w:val="00B3115B"/>
    <w:rsid w:val="00B31442"/>
    <w:rsid w:val="00B35EBB"/>
    <w:rsid w:val="00B43FEB"/>
    <w:rsid w:val="00B469D9"/>
    <w:rsid w:val="00B5742F"/>
    <w:rsid w:val="00B638B6"/>
    <w:rsid w:val="00B65F18"/>
    <w:rsid w:val="00B6663C"/>
    <w:rsid w:val="00B70873"/>
    <w:rsid w:val="00B70F1D"/>
    <w:rsid w:val="00B714B8"/>
    <w:rsid w:val="00B71D01"/>
    <w:rsid w:val="00B737D8"/>
    <w:rsid w:val="00B8175C"/>
    <w:rsid w:val="00B81D53"/>
    <w:rsid w:val="00B820A0"/>
    <w:rsid w:val="00B82CE1"/>
    <w:rsid w:val="00B83467"/>
    <w:rsid w:val="00B83ECC"/>
    <w:rsid w:val="00B855D3"/>
    <w:rsid w:val="00B917C5"/>
    <w:rsid w:val="00B918B3"/>
    <w:rsid w:val="00B9369B"/>
    <w:rsid w:val="00B9572C"/>
    <w:rsid w:val="00BA13C8"/>
    <w:rsid w:val="00BA2DC2"/>
    <w:rsid w:val="00BA706A"/>
    <w:rsid w:val="00BB28DC"/>
    <w:rsid w:val="00BB56C6"/>
    <w:rsid w:val="00BB6909"/>
    <w:rsid w:val="00BB7720"/>
    <w:rsid w:val="00BC7019"/>
    <w:rsid w:val="00BD1EAC"/>
    <w:rsid w:val="00BD64B9"/>
    <w:rsid w:val="00BD6658"/>
    <w:rsid w:val="00BE0ACA"/>
    <w:rsid w:val="00BE52B6"/>
    <w:rsid w:val="00BF34E2"/>
    <w:rsid w:val="00BF510D"/>
    <w:rsid w:val="00BF7011"/>
    <w:rsid w:val="00C00500"/>
    <w:rsid w:val="00C0339B"/>
    <w:rsid w:val="00C147DB"/>
    <w:rsid w:val="00C211C2"/>
    <w:rsid w:val="00C211E5"/>
    <w:rsid w:val="00C21967"/>
    <w:rsid w:val="00C25F47"/>
    <w:rsid w:val="00C31FCE"/>
    <w:rsid w:val="00C34CB8"/>
    <w:rsid w:val="00C35703"/>
    <w:rsid w:val="00C357B1"/>
    <w:rsid w:val="00C357B2"/>
    <w:rsid w:val="00C4270E"/>
    <w:rsid w:val="00C42FCB"/>
    <w:rsid w:val="00C4334C"/>
    <w:rsid w:val="00C5539A"/>
    <w:rsid w:val="00C568D2"/>
    <w:rsid w:val="00C644FA"/>
    <w:rsid w:val="00C672A4"/>
    <w:rsid w:val="00C72BE8"/>
    <w:rsid w:val="00C75E4F"/>
    <w:rsid w:val="00C80E49"/>
    <w:rsid w:val="00C81022"/>
    <w:rsid w:val="00C8164E"/>
    <w:rsid w:val="00C837E1"/>
    <w:rsid w:val="00C8448A"/>
    <w:rsid w:val="00C8485D"/>
    <w:rsid w:val="00C86C0B"/>
    <w:rsid w:val="00C911FA"/>
    <w:rsid w:val="00C93D07"/>
    <w:rsid w:val="00C94F41"/>
    <w:rsid w:val="00CA37A3"/>
    <w:rsid w:val="00CA4B0C"/>
    <w:rsid w:val="00CB3F79"/>
    <w:rsid w:val="00CB7316"/>
    <w:rsid w:val="00CC3EAD"/>
    <w:rsid w:val="00CD68E7"/>
    <w:rsid w:val="00CD6C19"/>
    <w:rsid w:val="00CE3A56"/>
    <w:rsid w:val="00CE5152"/>
    <w:rsid w:val="00CE6D2A"/>
    <w:rsid w:val="00CF023B"/>
    <w:rsid w:val="00CF3CA0"/>
    <w:rsid w:val="00CF4DF6"/>
    <w:rsid w:val="00CF76DA"/>
    <w:rsid w:val="00D01DEE"/>
    <w:rsid w:val="00D10548"/>
    <w:rsid w:val="00D2067F"/>
    <w:rsid w:val="00D22522"/>
    <w:rsid w:val="00D259E2"/>
    <w:rsid w:val="00D37C78"/>
    <w:rsid w:val="00D40344"/>
    <w:rsid w:val="00D40384"/>
    <w:rsid w:val="00D4347E"/>
    <w:rsid w:val="00D45022"/>
    <w:rsid w:val="00D4513D"/>
    <w:rsid w:val="00D46501"/>
    <w:rsid w:val="00D507B6"/>
    <w:rsid w:val="00D51521"/>
    <w:rsid w:val="00D5434D"/>
    <w:rsid w:val="00D559CE"/>
    <w:rsid w:val="00D56376"/>
    <w:rsid w:val="00D62A09"/>
    <w:rsid w:val="00D63619"/>
    <w:rsid w:val="00D67A1A"/>
    <w:rsid w:val="00D730E6"/>
    <w:rsid w:val="00D73E09"/>
    <w:rsid w:val="00D73FAB"/>
    <w:rsid w:val="00D7535B"/>
    <w:rsid w:val="00D75CD0"/>
    <w:rsid w:val="00D7705F"/>
    <w:rsid w:val="00D8058E"/>
    <w:rsid w:val="00D8558A"/>
    <w:rsid w:val="00D865E5"/>
    <w:rsid w:val="00D91048"/>
    <w:rsid w:val="00D9132F"/>
    <w:rsid w:val="00D93633"/>
    <w:rsid w:val="00D96956"/>
    <w:rsid w:val="00DA0589"/>
    <w:rsid w:val="00DA13EA"/>
    <w:rsid w:val="00DA1F9F"/>
    <w:rsid w:val="00DA2FF2"/>
    <w:rsid w:val="00DB254E"/>
    <w:rsid w:val="00DB3557"/>
    <w:rsid w:val="00DC0174"/>
    <w:rsid w:val="00DC038B"/>
    <w:rsid w:val="00DC0BBA"/>
    <w:rsid w:val="00DC2116"/>
    <w:rsid w:val="00DC4DC4"/>
    <w:rsid w:val="00DC651E"/>
    <w:rsid w:val="00DC7EB7"/>
    <w:rsid w:val="00DD471E"/>
    <w:rsid w:val="00DE0717"/>
    <w:rsid w:val="00DE3643"/>
    <w:rsid w:val="00DE65F7"/>
    <w:rsid w:val="00DF1425"/>
    <w:rsid w:val="00DF7E32"/>
    <w:rsid w:val="00E00C37"/>
    <w:rsid w:val="00E01A95"/>
    <w:rsid w:val="00E03AFC"/>
    <w:rsid w:val="00E0451D"/>
    <w:rsid w:val="00E05324"/>
    <w:rsid w:val="00E07788"/>
    <w:rsid w:val="00E100C7"/>
    <w:rsid w:val="00E12487"/>
    <w:rsid w:val="00E17F0C"/>
    <w:rsid w:val="00E20A11"/>
    <w:rsid w:val="00E254EB"/>
    <w:rsid w:val="00E26149"/>
    <w:rsid w:val="00E2664C"/>
    <w:rsid w:val="00E27B8B"/>
    <w:rsid w:val="00E3260A"/>
    <w:rsid w:val="00E370BE"/>
    <w:rsid w:val="00E40FDF"/>
    <w:rsid w:val="00E44528"/>
    <w:rsid w:val="00E463C2"/>
    <w:rsid w:val="00E51DFB"/>
    <w:rsid w:val="00E52D1F"/>
    <w:rsid w:val="00E531A0"/>
    <w:rsid w:val="00E5366C"/>
    <w:rsid w:val="00E538B1"/>
    <w:rsid w:val="00E6318D"/>
    <w:rsid w:val="00E6391F"/>
    <w:rsid w:val="00E642D0"/>
    <w:rsid w:val="00E67912"/>
    <w:rsid w:val="00E70430"/>
    <w:rsid w:val="00E81922"/>
    <w:rsid w:val="00E91D4B"/>
    <w:rsid w:val="00E94533"/>
    <w:rsid w:val="00E95E24"/>
    <w:rsid w:val="00E973C2"/>
    <w:rsid w:val="00EA0418"/>
    <w:rsid w:val="00EA2352"/>
    <w:rsid w:val="00EA24CE"/>
    <w:rsid w:val="00EA276D"/>
    <w:rsid w:val="00EA3578"/>
    <w:rsid w:val="00EA7AAE"/>
    <w:rsid w:val="00EB2574"/>
    <w:rsid w:val="00EB2E41"/>
    <w:rsid w:val="00EB3C3F"/>
    <w:rsid w:val="00EC1728"/>
    <w:rsid w:val="00EC1C2C"/>
    <w:rsid w:val="00ED0430"/>
    <w:rsid w:val="00ED15AD"/>
    <w:rsid w:val="00ED7ABC"/>
    <w:rsid w:val="00EE2702"/>
    <w:rsid w:val="00EE342F"/>
    <w:rsid w:val="00EE5874"/>
    <w:rsid w:val="00EE5A22"/>
    <w:rsid w:val="00EE5EA0"/>
    <w:rsid w:val="00EE66FD"/>
    <w:rsid w:val="00EF01D0"/>
    <w:rsid w:val="00EF0D15"/>
    <w:rsid w:val="00EF1C31"/>
    <w:rsid w:val="00EF53B0"/>
    <w:rsid w:val="00EF7044"/>
    <w:rsid w:val="00F01D18"/>
    <w:rsid w:val="00F03859"/>
    <w:rsid w:val="00F128B8"/>
    <w:rsid w:val="00F150C7"/>
    <w:rsid w:val="00F16419"/>
    <w:rsid w:val="00F225F7"/>
    <w:rsid w:val="00F22A65"/>
    <w:rsid w:val="00F25B19"/>
    <w:rsid w:val="00F277EA"/>
    <w:rsid w:val="00F27E23"/>
    <w:rsid w:val="00F310ED"/>
    <w:rsid w:val="00F335B6"/>
    <w:rsid w:val="00F335D6"/>
    <w:rsid w:val="00F34463"/>
    <w:rsid w:val="00F42289"/>
    <w:rsid w:val="00F43A70"/>
    <w:rsid w:val="00F45F17"/>
    <w:rsid w:val="00F51011"/>
    <w:rsid w:val="00F514B8"/>
    <w:rsid w:val="00F5383E"/>
    <w:rsid w:val="00F56B21"/>
    <w:rsid w:val="00F63A43"/>
    <w:rsid w:val="00F65337"/>
    <w:rsid w:val="00F679FC"/>
    <w:rsid w:val="00F70BC9"/>
    <w:rsid w:val="00F73C75"/>
    <w:rsid w:val="00F76DF3"/>
    <w:rsid w:val="00F8324A"/>
    <w:rsid w:val="00F86FC1"/>
    <w:rsid w:val="00F9098D"/>
    <w:rsid w:val="00F91221"/>
    <w:rsid w:val="00F932F4"/>
    <w:rsid w:val="00F962F8"/>
    <w:rsid w:val="00FA2F61"/>
    <w:rsid w:val="00FA329A"/>
    <w:rsid w:val="00FB1413"/>
    <w:rsid w:val="00FB1F48"/>
    <w:rsid w:val="00FB2987"/>
    <w:rsid w:val="00FB2EE9"/>
    <w:rsid w:val="00FB367D"/>
    <w:rsid w:val="00FB609A"/>
    <w:rsid w:val="00FB6838"/>
    <w:rsid w:val="00FB7329"/>
    <w:rsid w:val="00FC0DA1"/>
    <w:rsid w:val="00FC7601"/>
    <w:rsid w:val="00FC7954"/>
    <w:rsid w:val="00FD01F4"/>
    <w:rsid w:val="00FD0718"/>
    <w:rsid w:val="00FD3AFA"/>
    <w:rsid w:val="00FD422D"/>
    <w:rsid w:val="00FD56F3"/>
    <w:rsid w:val="00FD74BF"/>
    <w:rsid w:val="00FE1405"/>
    <w:rsid w:val="00FE14B0"/>
    <w:rsid w:val="00FE3D15"/>
    <w:rsid w:val="00FE4829"/>
    <w:rsid w:val="00FE57AC"/>
    <w:rsid w:val="00FE6BC0"/>
    <w:rsid w:val="00FF0E0F"/>
    <w:rsid w:val="00FF4B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528"/>
    <w:pPr>
      <w:widowControl w:val="0"/>
      <w:adjustRightInd w:val="0"/>
      <w:spacing w:line="360" w:lineRule="atLeast"/>
      <w:jc w:val="both"/>
      <w:textAlignment w:val="baseline"/>
    </w:pPr>
    <w:rPr>
      <w:sz w:val="24"/>
      <w:szCs w:val="24"/>
    </w:rPr>
  </w:style>
  <w:style w:type="paragraph" w:styleId="Ttulo1">
    <w:name w:val="heading 1"/>
    <w:basedOn w:val="Normal"/>
    <w:next w:val="Normal"/>
    <w:qFormat/>
    <w:rsid w:val="00E44528"/>
    <w:pPr>
      <w:keepNext/>
      <w:outlineLvl w:val="0"/>
    </w:pPr>
    <w:rPr>
      <w:b/>
      <w:bCs/>
    </w:rPr>
  </w:style>
  <w:style w:type="paragraph" w:styleId="Ttulo2">
    <w:name w:val="heading 2"/>
    <w:aliases w:val="Neg"/>
    <w:basedOn w:val="Normal"/>
    <w:next w:val="Normal"/>
    <w:qFormat/>
    <w:rsid w:val="00E44528"/>
    <w:pPr>
      <w:keepNext/>
      <w:numPr>
        <w:numId w:val="1"/>
      </w:numPr>
      <w:spacing w:line="360" w:lineRule="auto"/>
      <w:outlineLvl w:val="1"/>
    </w:pPr>
    <w:rPr>
      <w:b/>
      <w:bCs/>
    </w:rPr>
  </w:style>
  <w:style w:type="paragraph" w:styleId="Ttulo3">
    <w:name w:val="heading 3"/>
    <w:basedOn w:val="Normal"/>
    <w:next w:val="Normal"/>
    <w:qFormat/>
    <w:rsid w:val="00E44528"/>
    <w:pPr>
      <w:keepNext/>
      <w:numPr>
        <w:ilvl w:val="2"/>
        <w:numId w:val="2"/>
      </w:numPr>
      <w:spacing w:before="360" w:after="120"/>
      <w:outlineLvl w:val="2"/>
    </w:pPr>
    <w:rPr>
      <w:rFonts w:ascii="Arial" w:hAnsi="Arial"/>
      <w:b/>
      <w:sz w:val="22"/>
      <w:szCs w:val="20"/>
      <w:lang w:val="es-CO"/>
    </w:rPr>
  </w:style>
  <w:style w:type="paragraph" w:styleId="Ttulo4">
    <w:name w:val="heading 4"/>
    <w:basedOn w:val="Normal"/>
    <w:next w:val="Normal"/>
    <w:qFormat/>
    <w:rsid w:val="00E44528"/>
    <w:pPr>
      <w:keepNext/>
      <w:numPr>
        <w:ilvl w:val="3"/>
        <w:numId w:val="2"/>
      </w:numPr>
      <w:spacing w:before="360" w:after="120"/>
      <w:outlineLvl w:val="3"/>
    </w:pPr>
    <w:rPr>
      <w:rFonts w:ascii="Arial" w:hAnsi="Arial"/>
      <w:b/>
      <w:sz w:val="22"/>
      <w:szCs w:val="20"/>
      <w:lang w:val="es-CO"/>
    </w:rPr>
  </w:style>
  <w:style w:type="paragraph" w:styleId="Ttulo5">
    <w:name w:val="heading 5"/>
    <w:basedOn w:val="Normal"/>
    <w:next w:val="Normal"/>
    <w:qFormat/>
    <w:rsid w:val="00E44528"/>
    <w:pPr>
      <w:keepNext/>
      <w:jc w:val="center"/>
      <w:outlineLvl w:val="4"/>
    </w:pPr>
    <w:rPr>
      <w:rFonts w:ascii="Arial" w:hAnsi="Arial" w:cs="Arial"/>
      <w:b/>
      <w:bCs/>
      <w:sz w:val="16"/>
      <w:szCs w:val="16"/>
    </w:rPr>
  </w:style>
  <w:style w:type="paragraph" w:styleId="Ttulo6">
    <w:name w:val="heading 6"/>
    <w:basedOn w:val="Normal"/>
    <w:next w:val="Normal"/>
    <w:qFormat/>
    <w:rsid w:val="00E44528"/>
    <w:pPr>
      <w:keepNext/>
      <w:spacing w:before="120" w:after="120"/>
      <w:outlineLvl w:val="5"/>
    </w:pPr>
    <w:rPr>
      <w:rFonts w:ascii="Arial" w:hAnsi="Arial" w:cs="Arial"/>
      <w:b/>
      <w:bCs/>
      <w:sz w:val="22"/>
    </w:rPr>
  </w:style>
  <w:style w:type="paragraph" w:styleId="Ttulo7">
    <w:name w:val="heading 7"/>
    <w:basedOn w:val="Normal"/>
    <w:next w:val="Normal"/>
    <w:qFormat/>
    <w:rsid w:val="00E44528"/>
    <w:pPr>
      <w:keepNext/>
      <w:jc w:val="center"/>
      <w:outlineLvl w:val="6"/>
    </w:pPr>
    <w:rPr>
      <w:rFonts w:ascii="Arial" w:hAnsi="Arial" w:cs="Arial"/>
      <w:b/>
      <w:bCs/>
      <w:sz w:val="48"/>
    </w:rPr>
  </w:style>
  <w:style w:type="paragraph" w:styleId="Ttulo8">
    <w:name w:val="heading 8"/>
    <w:basedOn w:val="Normal"/>
    <w:next w:val="Normal"/>
    <w:qFormat/>
    <w:rsid w:val="00E44528"/>
    <w:pPr>
      <w:keepNext/>
      <w:outlineLvl w:val="7"/>
    </w:pPr>
    <w:rPr>
      <w:rFonts w:ascii="Arial" w:hAnsi="Arial" w:cs="Arial"/>
      <w:b/>
      <w:sz w:val="44"/>
    </w:rPr>
  </w:style>
  <w:style w:type="paragraph" w:styleId="Ttulo9">
    <w:name w:val="heading 9"/>
    <w:basedOn w:val="Normal"/>
    <w:next w:val="Normal"/>
    <w:qFormat/>
    <w:rsid w:val="00E44528"/>
    <w:pPr>
      <w:spacing w:before="120" w:after="120"/>
      <w:jc w:val="center"/>
      <w:outlineLvl w:val="8"/>
    </w:pPr>
    <w:rPr>
      <w:rFonts w:ascii="Arial" w:hAnsi="Arial"/>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liegoTitulo1">
    <w:name w:val="Pliego_Titulo1"/>
    <w:basedOn w:val="Pliego-Normal"/>
    <w:next w:val="Pliego-Normal"/>
    <w:rsid w:val="00E44528"/>
    <w:pPr>
      <w:numPr>
        <w:numId w:val="3"/>
      </w:numPr>
      <w:jc w:val="center"/>
    </w:pPr>
    <w:rPr>
      <w:b/>
    </w:rPr>
  </w:style>
  <w:style w:type="paragraph" w:customStyle="1" w:styleId="Pliego-Normal">
    <w:name w:val="Pliego-Normal"/>
    <w:basedOn w:val="Normal"/>
    <w:rsid w:val="00E44528"/>
    <w:rPr>
      <w:rFonts w:ascii="Garamond" w:hAnsi="Garamond"/>
      <w:bCs/>
      <w:sz w:val="22"/>
      <w:szCs w:val="20"/>
      <w:lang w:val="es-ES_tradnl"/>
    </w:rPr>
  </w:style>
  <w:style w:type="paragraph" w:customStyle="1" w:styleId="PliegoTitulo2">
    <w:name w:val="Pliego_Titulo2"/>
    <w:basedOn w:val="Pliego-Normal"/>
    <w:next w:val="Pliego-Normal"/>
    <w:rsid w:val="00E44528"/>
    <w:pPr>
      <w:numPr>
        <w:ilvl w:val="2"/>
        <w:numId w:val="3"/>
      </w:numPr>
      <w:tabs>
        <w:tab w:val="clear" w:pos="720"/>
        <w:tab w:val="num" w:pos="576"/>
      </w:tabs>
      <w:ind w:left="576" w:hanging="576"/>
    </w:pPr>
    <w:rPr>
      <w:b/>
    </w:rPr>
  </w:style>
  <w:style w:type="paragraph" w:customStyle="1" w:styleId="PliegoTitulo3">
    <w:name w:val="Pliego_Titulo3"/>
    <w:basedOn w:val="Pliego-Normal"/>
    <w:next w:val="Pliego-Normal"/>
    <w:autoRedefine/>
    <w:rsid w:val="00E44528"/>
    <w:pPr>
      <w:numPr>
        <w:ilvl w:val="3"/>
        <w:numId w:val="3"/>
      </w:numPr>
      <w:tabs>
        <w:tab w:val="clear" w:pos="864"/>
        <w:tab w:val="num" w:pos="720"/>
      </w:tabs>
      <w:ind w:left="720" w:hanging="720"/>
    </w:pPr>
    <w:rPr>
      <w:b/>
      <w:i/>
    </w:rPr>
  </w:style>
  <w:style w:type="paragraph" w:customStyle="1" w:styleId="PliegoTitulo4">
    <w:name w:val="Pliego_Titulo4"/>
    <w:basedOn w:val="Pliego-Normal"/>
    <w:next w:val="Pliego-Normal"/>
    <w:rsid w:val="00E44528"/>
    <w:pPr>
      <w:numPr>
        <w:ilvl w:val="4"/>
        <w:numId w:val="3"/>
      </w:numPr>
      <w:tabs>
        <w:tab w:val="clear" w:pos="1440"/>
        <w:tab w:val="num" w:pos="864"/>
      </w:tabs>
      <w:ind w:left="864" w:hanging="864"/>
    </w:pPr>
    <w:rPr>
      <w:i/>
    </w:rPr>
  </w:style>
  <w:style w:type="paragraph" w:styleId="Piedepgina">
    <w:name w:val="footer"/>
    <w:basedOn w:val="Normal"/>
    <w:link w:val="PiedepginaCar"/>
    <w:rsid w:val="00E44528"/>
    <w:pPr>
      <w:spacing w:before="120" w:after="120"/>
    </w:pPr>
    <w:rPr>
      <w:rFonts w:ascii="Arial" w:hAnsi="Arial"/>
      <w:sz w:val="18"/>
      <w:szCs w:val="20"/>
    </w:rPr>
  </w:style>
  <w:style w:type="paragraph" w:customStyle="1" w:styleId="p0">
    <w:name w:val="p0"/>
    <w:basedOn w:val="Normal"/>
    <w:rsid w:val="00E44528"/>
    <w:pPr>
      <w:tabs>
        <w:tab w:val="left" w:pos="720"/>
      </w:tabs>
      <w:spacing w:line="240" w:lineRule="atLeast"/>
    </w:pPr>
    <w:rPr>
      <w:rFonts w:ascii="Arial" w:hAnsi="Arial"/>
      <w:snapToGrid w:val="0"/>
      <w:szCs w:val="20"/>
    </w:rPr>
  </w:style>
  <w:style w:type="character" w:styleId="Hipervnculo">
    <w:name w:val="Hyperlink"/>
    <w:basedOn w:val="Fuentedeprrafopredeter"/>
    <w:uiPriority w:val="99"/>
    <w:rsid w:val="00E44528"/>
    <w:rPr>
      <w:color w:val="0000FF"/>
      <w:u w:val="single"/>
    </w:rPr>
  </w:style>
  <w:style w:type="paragraph" w:styleId="TDC1">
    <w:name w:val="toc 1"/>
    <w:basedOn w:val="Normal"/>
    <w:next w:val="Normal"/>
    <w:autoRedefine/>
    <w:rsid w:val="00E44528"/>
    <w:pPr>
      <w:spacing w:before="360"/>
      <w:jc w:val="left"/>
    </w:pPr>
    <w:rPr>
      <w:rFonts w:ascii="Arial" w:hAnsi="Arial"/>
      <w:b/>
      <w:bCs/>
      <w:caps/>
      <w:szCs w:val="28"/>
    </w:rPr>
  </w:style>
  <w:style w:type="paragraph" w:styleId="TDC2">
    <w:name w:val="toc 2"/>
    <w:basedOn w:val="Normal"/>
    <w:next w:val="Normal"/>
    <w:autoRedefine/>
    <w:rsid w:val="00E44528"/>
    <w:pPr>
      <w:spacing w:before="240"/>
      <w:jc w:val="left"/>
    </w:pPr>
    <w:rPr>
      <w:b/>
      <w:bCs/>
    </w:rPr>
  </w:style>
  <w:style w:type="character" w:styleId="Refdenotaalpie">
    <w:name w:val="footnote reference"/>
    <w:basedOn w:val="Fuentedeprrafopredeter"/>
    <w:semiHidden/>
    <w:rsid w:val="00E44528"/>
    <w:rPr>
      <w:vertAlign w:val="superscript"/>
    </w:rPr>
  </w:style>
  <w:style w:type="paragraph" w:styleId="Textoindependiente">
    <w:name w:val="Body Text"/>
    <w:basedOn w:val="Normal"/>
    <w:rsid w:val="00E44528"/>
    <w:pPr>
      <w:spacing w:line="360" w:lineRule="auto"/>
    </w:pPr>
  </w:style>
  <w:style w:type="paragraph" w:customStyle="1" w:styleId="Textoindependiente31">
    <w:name w:val="Texto independiente 31"/>
    <w:basedOn w:val="Normal"/>
    <w:rsid w:val="00E44528"/>
    <w:pPr>
      <w:spacing w:before="120" w:after="120"/>
    </w:pPr>
    <w:rPr>
      <w:rFonts w:ascii="Arial" w:hAnsi="Arial"/>
      <w:sz w:val="22"/>
      <w:szCs w:val="20"/>
    </w:rPr>
  </w:style>
  <w:style w:type="paragraph" w:styleId="Textoindependiente2">
    <w:name w:val="Body Text 2"/>
    <w:basedOn w:val="Normal"/>
    <w:rsid w:val="00E44528"/>
    <w:pPr>
      <w:spacing w:line="360" w:lineRule="auto"/>
    </w:pPr>
    <w:rPr>
      <w:rFonts w:ascii="Arial" w:hAnsi="Arial" w:cs="Arial"/>
      <w:sz w:val="20"/>
    </w:rPr>
  </w:style>
  <w:style w:type="paragraph" w:styleId="NormalWeb">
    <w:name w:val="Normal (Web)"/>
    <w:basedOn w:val="Normal"/>
    <w:uiPriority w:val="99"/>
    <w:rsid w:val="00E44528"/>
    <w:pPr>
      <w:spacing w:before="100" w:beforeAutospacing="1" w:after="100" w:afterAutospacing="1"/>
    </w:pPr>
  </w:style>
  <w:style w:type="paragraph" w:customStyle="1" w:styleId="xl30">
    <w:name w:val="xl30"/>
    <w:basedOn w:val="Normal"/>
    <w:rsid w:val="00E44528"/>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29">
    <w:name w:val="xl29"/>
    <w:basedOn w:val="Normal"/>
    <w:rsid w:val="00E4452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styleId="Epgrafe">
    <w:name w:val="caption"/>
    <w:basedOn w:val="Normal"/>
    <w:next w:val="Normal"/>
    <w:qFormat/>
    <w:rsid w:val="00E44528"/>
    <w:pPr>
      <w:spacing w:before="120" w:after="120"/>
      <w:jc w:val="center"/>
    </w:pPr>
    <w:rPr>
      <w:rFonts w:ascii="Arial" w:hAnsi="Arial"/>
      <w:sz w:val="20"/>
      <w:szCs w:val="20"/>
    </w:rPr>
  </w:style>
  <w:style w:type="paragraph" w:styleId="Ttulo">
    <w:name w:val="Title"/>
    <w:basedOn w:val="Normal"/>
    <w:qFormat/>
    <w:rsid w:val="00E44528"/>
    <w:pPr>
      <w:jc w:val="center"/>
    </w:pPr>
    <w:rPr>
      <w:rFonts w:ascii="Arial" w:hAnsi="Arial" w:cs="Arial"/>
      <w:b/>
      <w:bCs/>
    </w:rPr>
  </w:style>
  <w:style w:type="paragraph" w:styleId="ndice1">
    <w:name w:val="index 1"/>
    <w:basedOn w:val="Normal"/>
    <w:next w:val="Normal"/>
    <w:autoRedefine/>
    <w:semiHidden/>
    <w:rsid w:val="00E44528"/>
    <w:rPr>
      <w:rFonts w:ascii="Arial" w:hAnsi="Arial"/>
      <w:szCs w:val="20"/>
      <w:lang w:val="es-CO"/>
    </w:rPr>
  </w:style>
  <w:style w:type="paragraph" w:styleId="z-Finaldelformulario">
    <w:name w:val="HTML Bottom of Form"/>
    <w:basedOn w:val="Normal"/>
    <w:next w:val="Normal"/>
    <w:hidden/>
    <w:rsid w:val="00E44528"/>
    <w:pPr>
      <w:pBdr>
        <w:top w:val="single" w:sz="6" w:space="1" w:color="auto"/>
      </w:pBdr>
      <w:jc w:val="center"/>
    </w:pPr>
    <w:rPr>
      <w:rFonts w:ascii="Arial" w:hAnsi="Arial" w:cs="Arial"/>
      <w:vanish/>
      <w:color w:val="000000"/>
      <w:sz w:val="16"/>
      <w:szCs w:val="16"/>
    </w:rPr>
  </w:style>
  <w:style w:type="paragraph" w:customStyle="1" w:styleId="BodyText21">
    <w:name w:val="Body Text 21"/>
    <w:basedOn w:val="Normal"/>
    <w:rsid w:val="00E4452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before="120" w:after="120" w:line="240" w:lineRule="exact"/>
    </w:pPr>
    <w:rPr>
      <w:rFonts w:ascii="Arial" w:hAnsi="Arial"/>
      <w:sz w:val="22"/>
      <w:szCs w:val="20"/>
    </w:rPr>
  </w:style>
  <w:style w:type="paragraph" w:styleId="Textoindependiente3">
    <w:name w:val="Body Text 3"/>
    <w:basedOn w:val="Normal"/>
    <w:rsid w:val="00E44528"/>
    <w:pPr>
      <w:autoSpaceDE w:val="0"/>
      <w:autoSpaceDN w:val="0"/>
      <w:jc w:val="center"/>
    </w:pPr>
    <w:rPr>
      <w:rFonts w:ascii="Arial" w:hAnsi="Arial" w:cs="Arial"/>
      <w:color w:val="000000"/>
      <w:sz w:val="22"/>
      <w:szCs w:val="20"/>
    </w:rPr>
  </w:style>
  <w:style w:type="paragraph" w:styleId="Sangra2detindependiente">
    <w:name w:val="Body Text Indent 2"/>
    <w:basedOn w:val="Normal"/>
    <w:rsid w:val="00E44528"/>
    <w:pPr>
      <w:ind w:left="360"/>
    </w:pPr>
    <w:rPr>
      <w:rFonts w:ascii="Arial" w:hAnsi="Arial" w:cs="Arial"/>
      <w:sz w:val="22"/>
      <w:szCs w:val="22"/>
    </w:rPr>
  </w:style>
  <w:style w:type="paragraph" w:customStyle="1" w:styleId="tabelltekst">
    <w:name w:val="tabelltekst"/>
    <w:basedOn w:val="Normal"/>
    <w:rsid w:val="00E44528"/>
    <w:pPr>
      <w:keepNext/>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before="40" w:after="40"/>
    </w:pPr>
    <w:rPr>
      <w:sz w:val="22"/>
      <w:szCs w:val="20"/>
      <w:lang w:val="nb-NO" w:eastAsia="en-US"/>
    </w:rPr>
  </w:style>
  <w:style w:type="paragraph" w:styleId="Textonotapie">
    <w:name w:val="footnote text"/>
    <w:basedOn w:val="Normal"/>
    <w:semiHidden/>
    <w:rsid w:val="00E44528"/>
    <w:rPr>
      <w:sz w:val="20"/>
      <w:szCs w:val="20"/>
    </w:rPr>
  </w:style>
  <w:style w:type="paragraph" w:styleId="Textodebloque">
    <w:name w:val="Block Text"/>
    <w:basedOn w:val="Normal"/>
    <w:rsid w:val="00E44528"/>
    <w:pPr>
      <w:ind w:left="567" w:right="334"/>
    </w:pPr>
    <w:rPr>
      <w:rFonts w:ascii="Bookman Old Style" w:hAnsi="Bookman Old Style"/>
      <w:szCs w:val="20"/>
      <w:lang w:val="es-ES_tradnl"/>
    </w:rPr>
  </w:style>
  <w:style w:type="paragraph" w:styleId="Encabezado">
    <w:name w:val="header"/>
    <w:basedOn w:val="Normal"/>
    <w:link w:val="EncabezadoCar"/>
    <w:rsid w:val="00E44528"/>
    <w:pPr>
      <w:tabs>
        <w:tab w:val="center" w:pos="4419"/>
        <w:tab w:val="right" w:pos="8838"/>
      </w:tabs>
    </w:pPr>
    <w:rPr>
      <w:rFonts w:ascii="Arial" w:hAnsi="Arial"/>
      <w:b/>
      <w:sz w:val="18"/>
      <w:szCs w:val="20"/>
      <w:lang w:val="es-CO"/>
    </w:rPr>
  </w:style>
  <w:style w:type="character" w:styleId="Nmerodepgina">
    <w:name w:val="page number"/>
    <w:basedOn w:val="Fuentedeprrafopredeter"/>
    <w:rsid w:val="00E44528"/>
  </w:style>
  <w:style w:type="paragraph" w:styleId="Sangradetextonormal">
    <w:name w:val="Body Text Indent"/>
    <w:basedOn w:val="Normal"/>
    <w:rsid w:val="00E44528"/>
    <w:pPr>
      <w:spacing w:before="120" w:after="120"/>
    </w:pPr>
    <w:rPr>
      <w:rFonts w:ascii="Arial" w:hAnsi="Arial"/>
      <w:sz w:val="22"/>
      <w:szCs w:val="20"/>
      <w:lang w:val="es-CO"/>
    </w:rPr>
  </w:style>
  <w:style w:type="paragraph" w:styleId="TDC3">
    <w:name w:val="toc 3"/>
    <w:basedOn w:val="Normal"/>
    <w:next w:val="Normal"/>
    <w:autoRedefine/>
    <w:rsid w:val="00E44528"/>
    <w:pPr>
      <w:ind w:left="240"/>
      <w:jc w:val="left"/>
    </w:pPr>
  </w:style>
  <w:style w:type="paragraph" w:customStyle="1" w:styleId="NormalTesis">
    <w:name w:val="Normal Tesis"/>
    <w:basedOn w:val="Textoindependiente"/>
    <w:rsid w:val="00E44528"/>
    <w:rPr>
      <w:rFonts w:ascii="Arial" w:hAnsi="Arial" w:cs="Arial"/>
      <w:sz w:val="22"/>
    </w:rPr>
  </w:style>
  <w:style w:type="character" w:styleId="Refdecomentario">
    <w:name w:val="annotation reference"/>
    <w:basedOn w:val="Fuentedeprrafopredeter"/>
    <w:semiHidden/>
    <w:rsid w:val="00E44528"/>
    <w:rPr>
      <w:sz w:val="16"/>
      <w:szCs w:val="16"/>
    </w:rPr>
  </w:style>
  <w:style w:type="paragraph" w:styleId="Textocomentario">
    <w:name w:val="annotation text"/>
    <w:basedOn w:val="Normal"/>
    <w:semiHidden/>
    <w:rsid w:val="00E44528"/>
    <w:rPr>
      <w:sz w:val="20"/>
      <w:szCs w:val="20"/>
    </w:rPr>
  </w:style>
  <w:style w:type="paragraph" w:styleId="TDC4">
    <w:name w:val="toc 4"/>
    <w:basedOn w:val="Normal"/>
    <w:next w:val="Normal"/>
    <w:autoRedefine/>
    <w:semiHidden/>
    <w:rsid w:val="00E44528"/>
    <w:pPr>
      <w:ind w:left="480"/>
      <w:jc w:val="left"/>
    </w:pPr>
  </w:style>
  <w:style w:type="paragraph" w:styleId="TDC5">
    <w:name w:val="toc 5"/>
    <w:basedOn w:val="Normal"/>
    <w:next w:val="Normal"/>
    <w:autoRedefine/>
    <w:semiHidden/>
    <w:rsid w:val="00E44528"/>
    <w:pPr>
      <w:ind w:left="720"/>
      <w:jc w:val="left"/>
    </w:pPr>
  </w:style>
  <w:style w:type="paragraph" w:styleId="TDC6">
    <w:name w:val="toc 6"/>
    <w:basedOn w:val="Normal"/>
    <w:next w:val="Normal"/>
    <w:autoRedefine/>
    <w:semiHidden/>
    <w:rsid w:val="00E44528"/>
    <w:pPr>
      <w:ind w:left="960"/>
      <w:jc w:val="left"/>
    </w:pPr>
  </w:style>
  <w:style w:type="paragraph" w:styleId="TDC7">
    <w:name w:val="toc 7"/>
    <w:basedOn w:val="Normal"/>
    <w:next w:val="Normal"/>
    <w:autoRedefine/>
    <w:semiHidden/>
    <w:rsid w:val="00E44528"/>
    <w:pPr>
      <w:ind w:left="1200"/>
      <w:jc w:val="left"/>
    </w:pPr>
  </w:style>
  <w:style w:type="paragraph" w:styleId="TDC8">
    <w:name w:val="toc 8"/>
    <w:basedOn w:val="Normal"/>
    <w:next w:val="Normal"/>
    <w:autoRedefine/>
    <w:semiHidden/>
    <w:rsid w:val="00E44528"/>
    <w:pPr>
      <w:ind w:left="1440"/>
      <w:jc w:val="left"/>
    </w:pPr>
  </w:style>
  <w:style w:type="paragraph" w:styleId="TDC9">
    <w:name w:val="toc 9"/>
    <w:basedOn w:val="Normal"/>
    <w:next w:val="Normal"/>
    <w:autoRedefine/>
    <w:semiHidden/>
    <w:rsid w:val="00E44528"/>
    <w:pPr>
      <w:ind w:left="1680"/>
      <w:jc w:val="left"/>
    </w:pPr>
  </w:style>
  <w:style w:type="character" w:styleId="Hipervnculovisitado">
    <w:name w:val="FollowedHyperlink"/>
    <w:basedOn w:val="Fuentedeprrafopredeter"/>
    <w:rsid w:val="00E44528"/>
    <w:rPr>
      <w:color w:val="800080"/>
      <w:u w:val="single"/>
    </w:rPr>
  </w:style>
  <w:style w:type="paragraph" w:styleId="Textosinformato">
    <w:name w:val="Plain Text"/>
    <w:basedOn w:val="Normal"/>
    <w:rsid w:val="00E44528"/>
    <w:rPr>
      <w:rFonts w:ascii="Courier New" w:hAnsi="Courier New" w:cs="Courier New"/>
      <w:sz w:val="20"/>
      <w:szCs w:val="20"/>
    </w:rPr>
  </w:style>
  <w:style w:type="paragraph" w:styleId="Textodeglobo">
    <w:name w:val="Balloon Text"/>
    <w:basedOn w:val="Normal"/>
    <w:link w:val="TextodegloboCar"/>
    <w:rsid w:val="00E44528"/>
    <w:rPr>
      <w:rFonts w:ascii="Tahoma" w:hAnsi="Tahoma" w:cs="Tahoma"/>
      <w:sz w:val="16"/>
      <w:szCs w:val="16"/>
    </w:rPr>
  </w:style>
  <w:style w:type="paragraph" w:styleId="Sangra3detindependiente">
    <w:name w:val="Body Text Indent 3"/>
    <w:basedOn w:val="Normal"/>
    <w:rsid w:val="00E44528"/>
    <w:pPr>
      <w:widowControl/>
      <w:adjustRightInd/>
      <w:spacing w:line="240" w:lineRule="auto"/>
      <w:ind w:left="708" w:hanging="708"/>
      <w:textAlignment w:val="auto"/>
    </w:pPr>
    <w:rPr>
      <w:rFonts w:ascii="Arial" w:hAnsi="Arial"/>
      <w:sz w:val="22"/>
      <w:szCs w:val="20"/>
      <w:lang w:val="es-ES_tradnl"/>
    </w:rPr>
  </w:style>
  <w:style w:type="paragraph" w:customStyle="1" w:styleId="Citas">
    <w:name w:val="Citas"/>
    <w:basedOn w:val="Normal"/>
    <w:rsid w:val="001B159B"/>
    <w:pPr>
      <w:widowControl/>
      <w:adjustRightInd/>
      <w:spacing w:line="240" w:lineRule="auto"/>
      <w:ind w:left="708" w:right="618"/>
      <w:textAlignment w:val="auto"/>
    </w:pPr>
    <w:rPr>
      <w:rFonts w:ascii="Bookman Old Style" w:hAnsi="Bookman Old Style" w:cs="Arial"/>
      <w:i/>
      <w:iCs/>
      <w:szCs w:val="20"/>
    </w:rPr>
  </w:style>
  <w:style w:type="paragraph" w:customStyle="1" w:styleId="CUERPOTEXTO">
    <w:name w:val="CUERPO TEXTO"/>
    <w:rsid w:val="001B159B"/>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character" w:customStyle="1" w:styleId="texto-general">
    <w:name w:val="texto-general"/>
    <w:basedOn w:val="Fuentedeprrafopredeter"/>
    <w:rsid w:val="001B159B"/>
  </w:style>
  <w:style w:type="character" w:customStyle="1" w:styleId="TextodegloboCar">
    <w:name w:val="Texto de globo Car"/>
    <w:basedOn w:val="Fuentedeprrafopredeter"/>
    <w:link w:val="Textodeglobo"/>
    <w:rsid w:val="001B159B"/>
    <w:rPr>
      <w:rFonts w:ascii="Tahoma" w:hAnsi="Tahoma" w:cs="Tahoma"/>
      <w:sz w:val="16"/>
      <w:szCs w:val="16"/>
    </w:rPr>
  </w:style>
  <w:style w:type="paragraph" w:styleId="Prrafodelista">
    <w:name w:val="List Paragraph"/>
    <w:basedOn w:val="Normal"/>
    <w:link w:val="PrrafodelistaCar"/>
    <w:uiPriority w:val="34"/>
    <w:qFormat/>
    <w:rsid w:val="001B159B"/>
    <w:pPr>
      <w:widowControl/>
      <w:adjustRightInd/>
      <w:spacing w:line="240" w:lineRule="auto"/>
      <w:ind w:left="708"/>
      <w:jc w:val="left"/>
      <w:textAlignment w:val="auto"/>
    </w:pPr>
  </w:style>
  <w:style w:type="paragraph" w:styleId="Asuntodelcomentario">
    <w:name w:val="annotation subject"/>
    <w:basedOn w:val="Textocomentario"/>
    <w:next w:val="Textocomentario"/>
    <w:semiHidden/>
    <w:rsid w:val="008E4D1A"/>
    <w:rPr>
      <w:b/>
      <w:bCs/>
    </w:rPr>
  </w:style>
  <w:style w:type="character" w:customStyle="1" w:styleId="EncabezadoCar">
    <w:name w:val="Encabezado Car"/>
    <w:basedOn w:val="Fuentedeprrafopredeter"/>
    <w:link w:val="Encabezado"/>
    <w:uiPriority w:val="99"/>
    <w:rsid w:val="008E2188"/>
    <w:rPr>
      <w:rFonts w:ascii="Arial" w:hAnsi="Arial"/>
      <w:b/>
      <w:sz w:val="18"/>
      <w:lang w:val="es-CO"/>
    </w:rPr>
  </w:style>
  <w:style w:type="paragraph" w:styleId="Listaconvietas4">
    <w:name w:val="List Bullet 4"/>
    <w:basedOn w:val="Normal"/>
    <w:autoRedefine/>
    <w:rsid w:val="00225B2D"/>
    <w:pPr>
      <w:widowControl/>
      <w:numPr>
        <w:numId w:val="4"/>
      </w:numPr>
      <w:adjustRightInd/>
      <w:spacing w:line="240" w:lineRule="auto"/>
      <w:jc w:val="left"/>
      <w:textAlignment w:val="auto"/>
    </w:pPr>
    <w:rPr>
      <w:rFonts w:ascii="CG Times" w:hAnsi="CG Times"/>
      <w:szCs w:val="20"/>
      <w:lang w:val="es-CO"/>
    </w:rPr>
  </w:style>
  <w:style w:type="character" w:customStyle="1" w:styleId="PiedepginaCar">
    <w:name w:val="Pie de página Car"/>
    <w:basedOn w:val="Fuentedeprrafopredeter"/>
    <w:link w:val="Piedepgina"/>
    <w:rsid w:val="00C8485D"/>
    <w:rPr>
      <w:rFonts w:ascii="Arial" w:hAnsi="Arial"/>
      <w:sz w:val="18"/>
    </w:rPr>
  </w:style>
  <w:style w:type="table" w:styleId="Tablaconcuadrcula">
    <w:name w:val="Table Grid"/>
    <w:basedOn w:val="Tablanormal"/>
    <w:rsid w:val="00B71D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310">
    <w:name w:val="Texto independiente 31"/>
    <w:basedOn w:val="Normal"/>
    <w:rsid w:val="00B35EBB"/>
    <w:pPr>
      <w:spacing w:before="120" w:after="120"/>
    </w:pPr>
    <w:rPr>
      <w:rFonts w:ascii="Arial" w:hAnsi="Arial"/>
      <w:sz w:val="22"/>
      <w:szCs w:val="20"/>
    </w:rPr>
  </w:style>
  <w:style w:type="character" w:customStyle="1" w:styleId="PrrafodelistaCar">
    <w:name w:val="Párrafo de lista Car"/>
    <w:basedOn w:val="Fuentedeprrafopredeter"/>
    <w:link w:val="Prrafodelista"/>
    <w:uiPriority w:val="34"/>
    <w:rsid w:val="00B35EBB"/>
    <w:rPr>
      <w:sz w:val="24"/>
      <w:szCs w:val="24"/>
    </w:rPr>
  </w:style>
  <w:style w:type="paragraph" w:customStyle="1" w:styleId="EstiloPrrafodelistaJustificado">
    <w:name w:val="Estilo Párrafo de lista + Justificado"/>
    <w:basedOn w:val="Prrafodelista"/>
    <w:rsid w:val="00B35EBB"/>
    <w:pPr>
      <w:spacing w:before="160"/>
      <w:ind w:left="720" w:hanging="360"/>
      <w:jc w:val="both"/>
    </w:pPr>
    <w:rPr>
      <w:rFonts w:ascii="Bookman Old Style" w:hAnsi="Bookman Old Style"/>
      <w:spacing w:val="4"/>
      <w:szCs w:val="20"/>
    </w:rPr>
  </w:style>
  <w:style w:type="paragraph" w:styleId="Revisin">
    <w:name w:val="Revision"/>
    <w:hidden/>
    <w:uiPriority w:val="99"/>
    <w:semiHidden/>
    <w:rsid w:val="002714A3"/>
    <w:rPr>
      <w:sz w:val="24"/>
      <w:szCs w:val="24"/>
    </w:rPr>
  </w:style>
</w:styles>
</file>

<file path=word/webSettings.xml><?xml version="1.0" encoding="utf-8"?>
<w:webSettings xmlns:r="http://schemas.openxmlformats.org/officeDocument/2006/relationships" xmlns:w="http://schemas.openxmlformats.org/wordprocessingml/2006/main">
  <w:divs>
    <w:div w:id="619265637">
      <w:bodyDiv w:val="1"/>
      <w:marLeft w:val="0"/>
      <w:marRight w:val="0"/>
      <w:marTop w:val="0"/>
      <w:marBottom w:val="0"/>
      <w:divBdr>
        <w:top w:val="none" w:sz="0" w:space="0" w:color="auto"/>
        <w:left w:val="none" w:sz="0" w:space="0" w:color="auto"/>
        <w:bottom w:val="none" w:sz="0" w:space="0" w:color="auto"/>
        <w:right w:val="none" w:sz="0" w:space="0" w:color="auto"/>
      </w:divBdr>
      <w:divsChild>
        <w:div w:id="35931782">
          <w:marLeft w:val="0"/>
          <w:marRight w:val="0"/>
          <w:marTop w:val="0"/>
          <w:marBottom w:val="0"/>
          <w:divBdr>
            <w:top w:val="none" w:sz="0" w:space="0" w:color="auto"/>
            <w:left w:val="none" w:sz="0" w:space="0" w:color="auto"/>
            <w:bottom w:val="none" w:sz="0" w:space="0" w:color="auto"/>
            <w:right w:val="none" w:sz="0" w:space="0" w:color="auto"/>
          </w:divBdr>
          <w:divsChild>
            <w:div w:id="3945879">
              <w:marLeft w:val="0"/>
              <w:marRight w:val="0"/>
              <w:marTop w:val="0"/>
              <w:marBottom w:val="0"/>
              <w:divBdr>
                <w:top w:val="none" w:sz="0" w:space="0" w:color="auto"/>
                <w:left w:val="none" w:sz="0" w:space="0" w:color="auto"/>
                <w:bottom w:val="none" w:sz="0" w:space="0" w:color="auto"/>
                <w:right w:val="none" w:sz="0" w:space="0" w:color="auto"/>
              </w:divBdr>
            </w:div>
            <w:div w:id="559826490">
              <w:marLeft w:val="0"/>
              <w:marRight w:val="0"/>
              <w:marTop w:val="0"/>
              <w:marBottom w:val="0"/>
              <w:divBdr>
                <w:top w:val="none" w:sz="0" w:space="0" w:color="auto"/>
                <w:left w:val="none" w:sz="0" w:space="0" w:color="auto"/>
                <w:bottom w:val="none" w:sz="0" w:space="0" w:color="auto"/>
                <w:right w:val="none" w:sz="0" w:space="0" w:color="auto"/>
              </w:divBdr>
            </w:div>
            <w:div w:id="760101295">
              <w:marLeft w:val="0"/>
              <w:marRight w:val="0"/>
              <w:marTop w:val="0"/>
              <w:marBottom w:val="0"/>
              <w:divBdr>
                <w:top w:val="none" w:sz="0" w:space="0" w:color="auto"/>
                <w:left w:val="none" w:sz="0" w:space="0" w:color="auto"/>
                <w:bottom w:val="none" w:sz="0" w:space="0" w:color="auto"/>
                <w:right w:val="none" w:sz="0" w:space="0" w:color="auto"/>
              </w:divBdr>
            </w:div>
            <w:div w:id="892539698">
              <w:marLeft w:val="0"/>
              <w:marRight w:val="0"/>
              <w:marTop w:val="0"/>
              <w:marBottom w:val="0"/>
              <w:divBdr>
                <w:top w:val="none" w:sz="0" w:space="0" w:color="auto"/>
                <w:left w:val="none" w:sz="0" w:space="0" w:color="auto"/>
                <w:bottom w:val="none" w:sz="0" w:space="0" w:color="auto"/>
                <w:right w:val="none" w:sz="0" w:space="0" w:color="auto"/>
              </w:divBdr>
            </w:div>
            <w:div w:id="944120888">
              <w:marLeft w:val="0"/>
              <w:marRight w:val="0"/>
              <w:marTop w:val="0"/>
              <w:marBottom w:val="0"/>
              <w:divBdr>
                <w:top w:val="none" w:sz="0" w:space="0" w:color="auto"/>
                <w:left w:val="none" w:sz="0" w:space="0" w:color="auto"/>
                <w:bottom w:val="none" w:sz="0" w:space="0" w:color="auto"/>
                <w:right w:val="none" w:sz="0" w:space="0" w:color="auto"/>
              </w:divBdr>
            </w:div>
            <w:div w:id="1003705087">
              <w:marLeft w:val="0"/>
              <w:marRight w:val="0"/>
              <w:marTop w:val="0"/>
              <w:marBottom w:val="0"/>
              <w:divBdr>
                <w:top w:val="none" w:sz="0" w:space="0" w:color="auto"/>
                <w:left w:val="none" w:sz="0" w:space="0" w:color="auto"/>
                <w:bottom w:val="none" w:sz="0" w:space="0" w:color="auto"/>
                <w:right w:val="none" w:sz="0" w:space="0" w:color="auto"/>
              </w:divBdr>
            </w:div>
            <w:div w:id="1451171965">
              <w:marLeft w:val="0"/>
              <w:marRight w:val="0"/>
              <w:marTop w:val="0"/>
              <w:marBottom w:val="0"/>
              <w:divBdr>
                <w:top w:val="none" w:sz="0" w:space="0" w:color="auto"/>
                <w:left w:val="none" w:sz="0" w:space="0" w:color="auto"/>
                <w:bottom w:val="none" w:sz="0" w:space="0" w:color="auto"/>
                <w:right w:val="none" w:sz="0" w:space="0" w:color="auto"/>
              </w:divBdr>
            </w:div>
            <w:div w:id="1615134821">
              <w:marLeft w:val="0"/>
              <w:marRight w:val="0"/>
              <w:marTop w:val="0"/>
              <w:marBottom w:val="0"/>
              <w:divBdr>
                <w:top w:val="none" w:sz="0" w:space="0" w:color="auto"/>
                <w:left w:val="none" w:sz="0" w:space="0" w:color="auto"/>
                <w:bottom w:val="none" w:sz="0" w:space="0" w:color="auto"/>
                <w:right w:val="none" w:sz="0" w:space="0" w:color="auto"/>
              </w:divBdr>
            </w:div>
            <w:div w:id="1958442047">
              <w:marLeft w:val="0"/>
              <w:marRight w:val="0"/>
              <w:marTop w:val="0"/>
              <w:marBottom w:val="0"/>
              <w:divBdr>
                <w:top w:val="none" w:sz="0" w:space="0" w:color="auto"/>
                <w:left w:val="none" w:sz="0" w:space="0" w:color="auto"/>
                <w:bottom w:val="none" w:sz="0" w:space="0" w:color="auto"/>
                <w:right w:val="none" w:sz="0" w:space="0" w:color="auto"/>
              </w:divBdr>
            </w:div>
            <w:div w:id="2008898965">
              <w:marLeft w:val="0"/>
              <w:marRight w:val="0"/>
              <w:marTop w:val="0"/>
              <w:marBottom w:val="0"/>
              <w:divBdr>
                <w:top w:val="none" w:sz="0" w:space="0" w:color="auto"/>
                <w:left w:val="none" w:sz="0" w:space="0" w:color="auto"/>
                <w:bottom w:val="none" w:sz="0" w:space="0" w:color="auto"/>
                <w:right w:val="none" w:sz="0" w:space="0" w:color="auto"/>
              </w:divBdr>
            </w:div>
            <w:div w:id="2067990993">
              <w:marLeft w:val="0"/>
              <w:marRight w:val="0"/>
              <w:marTop w:val="0"/>
              <w:marBottom w:val="0"/>
              <w:divBdr>
                <w:top w:val="none" w:sz="0" w:space="0" w:color="auto"/>
                <w:left w:val="none" w:sz="0" w:space="0" w:color="auto"/>
                <w:bottom w:val="none" w:sz="0" w:space="0" w:color="auto"/>
                <w:right w:val="none" w:sz="0" w:space="0" w:color="auto"/>
              </w:divBdr>
            </w:div>
            <w:div w:id="2079740326">
              <w:marLeft w:val="0"/>
              <w:marRight w:val="0"/>
              <w:marTop w:val="0"/>
              <w:marBottom w:val="0"/>
              <w:divBdr>
                <w:top w:val="none" w:sz="0" w:space="0" w:color="auto"/>
                <w:left w:val="none" w:sz="0" w:space="0" w:color="auto"/>
                <w:bottom w:val="none" w:sz="0" w:space="0" w:color="auto"/>
                <w:right w:val="none" w:sz="0" w:space="0" w:color="auto"/>
              </w:divBdr>
            </w:div>
            <w:div w:id="21305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2017">
      <w:bodyDiv w:val="1"/>
      <w:marLeft w:val="0"/>
      <w:marRight w:val="0"/>
      <w:marTop w:val="0"/>
      <w:marBottom w:val="0"/>
      <w:divBdr>
        <w:top w:val="none" w:sz="0" w:space="0" w:color="auto"/>
        <w:left w:val="none" w:sz="0" w:space="0" w:color="auto"/>
        <w:bottom w:val="none" w:sz="0" w:space="0" w:color="auto"/>
        <w:right w:val="none" w:sz="0" w:space="0" w:color="auto"/>
      </w:divBdr>
      <w:divsChild>
        <w:div w:id="1623030491">
          <w:marLeft w:val="0"/>
          <w:marRight w:val="0"/>
          <w:marTop w:val="0"/>
          <w:marBottom w:val="0"/>
          <w:divBdr>
            <w:top w:val="none" w:sz="0" w:space="0" w:color="auto"/>
            <w:left w:val="none" w:sz="0" w:space="0" w:color="auto"/>
            <w:bottom w:val="none" w:sz="0" w:space="0" w:color="auto"/>
            <w:right w:val="none" w:sz="0" w:space="0" w:color="auto"/>
          </w:divBdr>
          <w:divsChild>
            <w:div w:id="134491682">
              <w:marLeft w:val="0"/>
              <w:marRight w:val="0"/>
              <w:marTop w:val="0"/>
              <w:marBottom w:val="0"/>
              <w:divBdr>
                <w:top w:val="none" w:sz="0" w:space="0" w:color="auto"/>
                <w:left w:val="none" w:sz="0" w:space="0" w:color="auto"/>
                <w:bottom w:val="none" w:sz="0" w:space="0" w:color="auto"/>
                <w:right w:val="none" w:sz="0" w:space="0" w:color="auto"/>
              </w:divBdr>
            </w:div>
            <w:div w:id="266936343">
              <w:marLeft w:val="0"/>
              <w:marRight w:val="0"/>
              <w:marTop w:val="0"/>
              <w:marBottom w:val="0"/>
              <w:divBdr>
                <w:top w:val="none" w:sz="0" w:space="0" w:color="auto"/>
                <w:left w:val="none" w:sz="0" w:space="0" w:color="auto"/>
                <w:bottom w:val="none" w:sz="0" w:space="0" w:color="auto"/>
                <w:right w:val="none" w:sz="0" w:space="0" w:color="auto"/>
              </w:divBdr>
            </w:div>
            <w:div w:id="345450964">
              <w:marLeft w:val="0"/>
              <w:marRight w:val="0"/>
              <w:marTop w:val="0"/>
              <w:marBottom w:val="0"/>
              <w:divBdr>
                <w:top w:val="none" w:sz="0" w:space="0" w:color="auto"/>
                <w:left w:val="none" w:sz="0" w:space="0" w:color="auto"/>
                <w:bottom w:val="none" w:sz="0" w:space="0" w:color="auto"/>
                <w:right w:val="none" w:sz="0" w:space="0" w:color="auto"/>
              </w:divBdr>
            </w:div>
            <w:div w:id="440495428">
              <w:marLeft w:val="0"/>
              <w:marRight w:val="0"/>
              <w:marTop w:val="0"/>
              <w:marBottom w:val="0"/>
              <w:divBdr>
                <w:top w:val="none" w:sz="0" w:space="0" w:color="auto"/>
                <w:left w:val="none" w:sz="0" w:space="0" w:color="auto"/>
                <w:bottom w:val="none" w:sz="0" w:space="0" w:color="auto"/>
                <w:right w:val="none" w:sz="0" w:space="0" w:color="auto"/>
              </w:divBdr>
            </w:div>
            <w:div w:id="545070995">
              <w:marLeft w:val="0"/>
              <w:marRight w:val="0"/>
              <w:marTop w:val="0"/>
              <w:marBottom w:val="0"/>
              <w:divBdr>
                <w:top w:val="none" w:sz="0" w:space="0" w:color="auto"/>
                <w:left w:val="none" w:sz="0" w:space="0" w:color="auto"/>
                <w:bottom w:val="none" w:sz="0" w:space="0" w:color="auto"/>
                <w:right w:val="none" w:sz="0" w:space="0" w:color="auto"/>
              </w:divBdr>
            </w:div>
            <w:div w:id="920065137">
              <w:marLeft w:val="0"/>
              <w:marRight w:val="0"/>
              <w:marTop w:val="0"/>
              <w:marBottom w:val="0"/>
              <w:divBdr>
                <w:top w:val="none" w:sz="0" w:space="0" w:color="auto"/>
                <w:left w:val="none" w:sz="0" w:space="0" w:color="auto"/>
                <w:bottom w:val="none" w:sz="0" w:space="0" w:color="auto"/>
                <w:right w:val="none" w:sz="0" w:space="0" w:color="auto"/>
              </w:divBdr>
            </w:div>
            <w:div w:id="938565355">
              <w:marLeft w:val="0"/>
              <w:marRight w:val="0"/>
              <w:marTop w:val="0"/>
              <w:marBottom w:val="0"/>
              <w:divBdr>
                <w:top w:val="none" w:sz="0" w:space="0" w:color="auto"/>
                <w:left w:val="none" w:sz="0" w:space="0" w:color="auto"/>
                <w:bottom w:val="none" w:sz="0" w:space="0" w:color="auto"/>
                <w:right w:val="none" w:sz="0" w:space="0" w:color="auto"/>
              </w:divBdr>
            </w:div>
            <w:div w:id="994259041">
              <w:marLeft w:val="0"/>
              <w:marRight w:val="0"/>
              <w:marTop w:val="0"/>
              <w:marBottom w:val="0"/>
              <w:divBdr>
                <w:top w:val="none" w:sz="0" w:space="0" w:color="auto"/>
                <w:left w:val="none" w:sz="0" w:space="0" w:color="auto"/>
                <w:bottom w:val="none" w:sz="0" w:space="0" w:color="auto"/>
                <w:right w:val="none" w:sz="0" w:space="0" w:color="auto"/>
              </w:divBdr>
            </w:div>
            <w:div w:id="1005286683">
              <w:marLeft w:val="0"/>
              <w:marRight w:val="0"/>
              <w:marTop w:val="0"/>
              <w:marBottom w:val="0"/>
              <w:divBdr>
                <w:top w:val="none" w:sz="0" w:space="0" w:color="auto"/>
                <w:left w:val="none" w:sz="0" w:space="0" w:color="auto"/>
                <w:bottom w:val="none" w:sz="0" w:space="0" w:color="auto"/>
                <w:right w:val="none" w:sz="0" w:space="0" w:color="auto"/>
              </w:divBdr>
            </w:div>
            <w:div w:id="1194534666">
              <w:marLeft w:val="0"/>
              <w:marRight w:val="0"/>
              <w:marTop w:val="0"/>
              <w:marBottom w:val="0"/>
              <w:divBdr>
                <w:top w:val="none" w:sz="0" w:space="0" w:color="auto"/>
                <w:left w:val="none" w:sz="0" w:space="0" w:color="auto"/>
                <w:bottom w:val="none" w:sz="0" w:space="0" w:color="auto"/>
                <w:right w:val="none" w:sz="0" w:space="0" w:color="auto"/>
              </w:divBdr>
            </w:div>
            <w:div w:id="1501583872">
              <w:marLeft w:val="0"/>
              <w:marRight w:val="0"/>
              <w:marTop w:val="0"/>
              <w:marBottom w:val="0"/>
              <w:divBdr>
                <w:top w:val="none" w:sz="0" w:space="0" w:color="auto"/>
                <w:left w:val="none" w:sz="0" w:space="0" w:color="auto"/>
                <w:bottom w:val="none" w:sz="0" w:space="0" w:color="auto"/>
                <w:right w:val="none" w:sz="0" w:space="0" w:color="auto"/>
              </w:divBdr>
            </w:div>
            <w:div w:id="1768773999">
              <w:marLeft w:val="0"/>
              <w:marRight w:val="0"/>
              <w:marTop w:val="0"/>
              <w:marBottom w:val="0"/>
              <w:divBdr>
                <w:top w:val="none" w:sz="0" w:space="0" w:color="auto"/>
                <w:left w:val="none" w:sz="0" w:space="0" w:color="auto"/>
                <w:bottom w:val="none" w:sz="0" w:space="0" w:color="auto"/>
                <w:right w:val="none" w:sz="0" w:space="0" w:color="auto"/>
              </w:divBdr>
            </w:div>
            <w:div w:id="19039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7437">
      <w:bodyDiv w:val="1"/>
      <w:marLeft w:val="0"/>
      <w:marRight w:val="0"/>
      <w:marTop w:val="0"/>
      <w:marBottom w:val="0"/>
      <w:divBdr>
        <w:top w:val="none" w:sz="0" w:space="0" w:color="auto"/>
        <w:left w:val="none" w:sz="0" w:space="0" w:color="auto"/>
        <w:bottom w:val="none" w:sz="0" w:space="0" w:color="auto"/>
        <w:right w:val="none" w:sz="0" w:space="0" w:color="auto"/>
      </w:divBdr>
      <w:divsChild>
        <w:div w:id="1694644761">
          <w:marLeft w:val="0"/>
          <w:marRight w:val="0"/>
          <w:marTop w:val="0"/>
          <w:marBottom w:val="0"/>
          <w:divBdr>
            <w:top w:val="none" w:sz="0" w:space="0" w:color="auto"/>
            <w:left w:val="none" w:sz="0" w:space="0" w:color="auto"/>
            <w:bottom w:val="none" w:sz="0" w:space="0" w:color="auto"/>
            <w:right w:val="none" w:sz="0" w:space="0" w:color="auto"/>
          </w:divBdr>
          <w:divsChild>
            <w:div w:id="379860360">
              <w:marLeft w:val="0"/>
              <w:marRight w:val="0"/>
              <w:marTop w:val="0"/>
              <w:marBottom w:val="0"/>
              <w:divBdr>
                <w:top w:val="none" w:sz="0" w:space="0" w:color="auto"/>
                <w:left w:val="none" w:sz="0" w:space="0" w:color="auto"/>
                <w:bottom w:val="none" w:sz="0" w:space="0" w:color="auto"/>
                <w:right w:val="none" w:sz="0" w:space="0" w:color="auto"/>
              </w:divBdr>
            </w:div>
            <w:div w:id="674039311">
              <w:marLeft w:val="0"/>
              <w:marRight w:val="0"/>
              <w:marTop w:val="0"/>
              <w:marBottom w:val="0"/>
              <w:divBdr>
                <w:top w:val="none" w:sz="0" w:space="0" w:color="auto"/>
                <w:left w:val="none" w:sz="0" w:space="0" w:color="auto"/>
                <w:bottom w:val="none" w:sz="0" w:space="0" w:color="auto"/>
                <w:right w:val="none" w:sz="0" w:space="0" w:color="auto"/>
              </w:divBdr>
            </w:div>
            <w:div w:id="1117530938">
              <w:marLeft w:val="0"/>
              <w:marRight w:val="0"/>
              <w:marTop w:val="0"/>
              <w:marBottom w:val="0"/>
              <w:divBdr>
                <w:top w:val="none" w:sz="0" w:space="0" w:color="auto"/>
                <w:left w:val="none" w:sz="0" w:space="0" w:color="auto"/>
                <w:bottom w:val="none" w:sz="0" w:space="0" w:color="auto"/>
                <w:right w:val="none" w:sz="0" w:space="0" w:color="auto"/>
              </w:divBdr>
            </w:div>
            <w:div w:id="1117918200">
              <w:marLeft w:val="0"/>
              <w:marRight w:val="0"/>
              <w:marTop w:val="0"/>
              <w:marBottom w:val="0"/>
              <w:divBdr>
                <w:top w:val="none" w:sz="0" w:space="0" w:color="auto"/>
                <w:left w:val="none" w:sz="0" w:space="0" w:color="auto"/>
                <w:bottom w:val="none" w:sz="0" w:space="0" w:color="auto"/>
                <w:right w:val="none" w:sz="0" w:space="0" w:color="auto"/>
              </w:divBdr>
            </w:div>
            <w:div w:id="18710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5717">
      <w:bodyDiv w:val="1"/>
      <w:marLeft w:val="0"/>
      <w:marRight w:val="0"/>
      <w:marTop w:val="0"/>
      <w:marBottom w:val="0"/>
      <w:divBdr>
        <w:top w:val="none" w:sz="0" w:space="0" w:color="auto"/>
        <w:left w:val="none" w:sz="0" w:space="0" w:color="auto"/>
        <w:bottom w:val="none" w:sz="0" w:space="0" w:color="auto"/>
        <w:right w:val="none" w:sz="0" w:space="0" w:color="auto"/>
      </w:divBdr>
    </w:div>
    <w:div w:id="21124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80069-04FD-47D5-ACD9-57BFD067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2174</Words>
  <Characters>10649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 de Regulación de Energía y Gas</dc:creator>
  <cp:keywords/>
  <cp:lastModifiedBy>hepacheco</cp:lastModifiedBy>
  <cp:revision>2</cp:revision>
  <cp:lastPrinted>2008-06-18T21:57:00Z</cp:lastPrinted>
  <dcterms:created xsi:type="dcterms:W3CDTF">2008-07-03T14:55:00Z</dcterms:created>
  <dcterms:modified xsi:type="dcterms:W3CDTF">2008-07-03T14:55:00Z</dcterms:modified>
</cp:coreProperties>
</file>