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DC6" w:rsidRPr="00E10F2E" w:rsidRDefault="00FF3B21" w:rsidP="007F243E">
      <w:pPr>
        <w:pStyle w:val="Encabezado"/>
        <w:tabs>
          <w:tab w:val="clear" w:pos="8504"/>
          <w:tab w:val="left" w:pos="0"/>
          <w:tab w:val="right" w:pos="9356"/>
        </w:tabs>
        <w:ind w:left="0"/>
        <w:jc w:val="both"/>
        <w:rPr>
          <w:rFonts w:ascii="Bookman Old Style" w:hAnsi="Bookman Old Style"/>
          <w:szCs w:val="24"/>
        </w:rPr>
      </w:pPr>
      <w:bookmarkStart w:id="0" w:name="_GoBack"/>
      <w:bookmarkEnd w:id="0"/>
      <w:r>
        <w:rPr>
          <w:rFonts w:ascii="Bookman Old Style" w:hAnsi="Bookman Old Style"/>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7.15pt;margin-top:-53.35pt;width:52.5pt;height:48.75pt;z-index:251657728" fillcolor="#0c9">
            <v:imagedata r:id="rId9" o:title=""/>
          </v:shape>
          <o:OLEObject Type="Embed" ProgID="PBrush" ShapeID="_x0000_s1026" DrawAspect="Content" ObjectID="_1379224960" r:id="rId10"/>
        </w:pict>
      </w:r>
    </w:p>
    <w:p w:rsidR="002C414B" w:rsidRPr="004B6EDA" w:rsidRDefault="002C414B" w:rsidP="004B6EDA">
      <w:pPr>
        <w:jc w:val="center"/>
        <w:rPr>
          <w:rFonts w:ascii="Bookman Old Style" w:hAnsi="Bookman Old Style"/>
          <w:b/>
        </w:rPr>
      </w:pPr>
      <w:r w:rsidRPr="00E10F2E">
        <w:rPr>
          <w:rFonts w:ascii="Bookman Old Style" w:hAnsi="Bookman Old Style"/>
        </w:rPr>
        <w:t>Ministerio de Minas y Energía</w:t>
      </w:r>
    </w:p>
    <w:p w:rsidR="002C414B" w:rsidRPr="004B6EDA" w:rsidRDefault="002C414B" w:rsidP="004B6EDA">
      <w:pPr>
        <w:rPr>
          <w:rFonts w:ascii="Bookman Old Style" w:hAnsi="Bookman Old Style"/>
          <w:b/>
          <w:bCs/>
        </w:rPr>
      </w:pPr>
    </w:p>
    <w:p w:rsidR="002C414B" w:rsidRPr="004B6EDA" w:rsidRDefault="002C414B" w:rsidP="004B6EDA">
      <w:pPr>
        <w:jc w:val="center"/>
        <w:rPr>
          <w:rFonts w:ascii="Bookman Old Style" w:hAnsi="Bookman Old Style"/>
        </w:rPr>
      </w:pPr>
      <w:r w:rsidRPr="004B6EDA">
        <w:rPr>
          <w:rFonts w:ascii="Bookman Old Style" w:hAnsi="Bookman Old Style"/>
          <w:b/>
        </w:rPr>
        <w:t>COMISIÓN DE REGULACIÓN DE ENERGÍA Y GAS</w:t>
      </w:r>
    </w:p>
    <w:p w:rsidR="002C414B" w:rsidRPr="00E10F2E" w:rsidRDefault="002C414B" w:rsidP="004B6EDA">
      <w:pPr>
        <w:rPr>
          <w:rFonts w:ascii="Bookman Old Style" w:hAnsi="Bookman Old Style"/>
        </w:rPr>
      </w:pPr>
    </w:p>
    <w:p w:rsidR="002C414B" w:rsidRPr="00120525" w:rsidRDefault="002C414B" w:rsidP="004B6EDA">
      <w:pPr>
        <w:rPr>
          <w:rFonts w:ascii="Bookman Old Style" w:hAnsi="Bookman Old Style"/>
        </w:rPr>
      </w:pPr>
    </w:p>
    <w:p w:rsidR="002C414B" w:rsidRPr="00E32FF4" w:rsidRDefault="002C414B" w:rsidP="004B6EDA">
      <w:pPr>
        <w:jc w:val="center"/>
        <w:rPr>
          <w:rFonts w:ascii="Bookman Old Style" w:hAnsi="Bookman Old Style"/>
        </w:rPr>
      </w:pPr>
      <w:r w:rsidRPr="004B6EDA">
        <w:rPr>
          <w:rFonts w:ascii="Bookman Old Style" w:hAnsi="Bookman Old Style"/>
          <w:b/>
        </w:rPr>
        <w:t>RESOLUCIÓN No.                   DE 2011</w:t>
      </w:r>
    </w:p>
    <w:p w:rsidR="002C414B" w:rsidRPr="00E10F2E" w:rsidRDefault="002C414B" w:rsidP="002C414B">
      <w:pPr>
        <w:tabs>
          <w:tab w:val="left" w:pos="0"/>
          <w:tab w:val="right" w:pos="9356"/>
        </w:tabs>
        <w:ind w:left="0"/>
        <w:jc w:val="center"/>
        <w:rPr>
          <w:rFonts w:ascii="Bookman Old Style" w:hAnsi="Bookman Old Style" w:cs="Arial"/>
          <w:b/>
          <w:snapToGrid w:val="0"/>
          <w:color w:val="000000"/>
          <w:lang w:val="es-ES_tradnl"/>
        </w:rPr>
      </w:pPr>
    </w:p>
    <w:p w:rsidR="002C414B" w:rsidRPr="00273BC2" w:rsidRDefault="002C414B" w:rsidP="004B6EDA">
      <w:pPr>
        <w:jc w:val="center"/>
        <w:rPr>
          <w:rFonts w:ascii="Bookman Old Style" w:hAnsi="Bookman Old Style"/>
        </w:rPr>
      </w:pPr>
      <w:r w:rsidRPr="00120525">
        <w:rPr>
          <w:rFonts w:ascii="Bookman Old Style" w:hAnsi="Bookman Old Style"/>
        </w:rPr>
        <w:t>(                                  )</w:t>
      </w:r>
    </w:p>
    <w:p w:rsidR="00625DC6" w:rsidRPr="00E10F2E" w:rsidRDefault="00625DC6" w:rsidP="00012259">
      <w:pPr>
        <w:pStyle w:val="Encabezado"/>
        <w:tabs>
          <w:tab w:val="clear" w:pos="8504"/>
          <w:tab w:val="left" w:pos="0"/>
          <w:tab w:val="right" w:pos="9356"/>
        </w:tabs>
        <w:ind w:left="0"/>
        <w:jc w:val="both"/>
        <w:rPr>
          <w:rFonts w:ascii="Bookman Old Style" w:hAnsi="Bookman Old Style"/>
          <w:szCs w:val="24"/>
          <w:lang w:val="es-ES_tradnl"/>
        </w:rPr>
      </w:pPr>
    </w:p>
    <w:p w:rsidR="00CA77FB" w:rsidRPr="00E10F2E" w:rsidRDefault="00CA77FB" w:rsidP="00012259">
      <w:pPr>
        <w:tabs>
          <w:tab w:val="left" w:pos="0"/>
          <w:tab w:val="right" w:pos="9356"/>
        </w:tabs>
        <w:ind w:left="0"/>
        <w:jc w:val="center"/>
        <w:rPr>
          <w:rFonts w:ascii="Bookman Old Style" w:hAnsi="Bookman Old Style"/>
          <w:lang w:val="es-ES_tradnl"/>
        </w:rPr>
      </w:pPr>
    </w:p>
    <w:p w:rsidR="00C034CB" w:rsidRPr="00E10F2E" w:rsidRDefault="00C034CB" w:rsidP="00012259">
      <w:pPr>
        <w:ind w:left="0"/>
        <w:rPr>
          <w:rFonts w:ascii="Bookman Old Style" w:hAnsi="Bookman Old Style"/>
          <w:bCs/>
          <w:lang w:val="es-CO"/>
        </w:rPr>
      </w:pPr>
    </w:p>
    <w:p w:rsidR="00B351B4" w:rsidRPr="00E10F2E" w:rsidRDefault="00B351B4" w:rsidP="00012259">
      <w:pPr>
        <w:ind w:left="0"/>
        <w:rPr>
          <w:rFonts w:ascii="Bookman Old Style" w:hAnsi="Bookman Old Style"/>
          <w:bCs/>
          <w:lang w:val="es-CO"/>
        </w:rPr>
      </w:pPr>
    </w:p>
    <w:p w:rsidR="00C435C3" w:rsidRPr="00E10F2E" w:rsidRDefault="00C435C3" w:rsidP="00323577">
      <w:pPr>
        <w:ind w:left="0"/>
        <w:jc w:val="center"/>
        <w:rPr>
          <w:rFonts w:ascii="Bookman Old Style" w:hAnsi="Bookman Old Style"/>
        </w:rPr>
      </w:pPr>
      <w:r w:rsidRPr="00E10F2E">
        <w:rPr>
          <w:rFonts w:ascii="Bookman Old Style" w:hAnsi="Bookman Old Style"/>
        </w:rPr>
        <w:t xml:space="preserve">Por </w:t>
      </w:r>
      <w:r w:rsidR="00323577" w:rsidRPr="00E10F2E">
        <w:rPr>
          <w:rFonts w:ascii="Bookman Old Style" w:hAnsi="Bookman Old Style"/>
        </w:rPr>
        <w:t>la cual se define una opción con gas natural importado para respaldar Obligaciones de Energía Firme del Cargo por Confiabilidad</w:t>
      </w:r>
      <w:r w:rsidR="00263964" w:rsidRPr="00E10F2E">
        <w:rPr>
          <w:rFonts w:ascii="Bookman Old Style" w:hAnsi="Bookman Old Style"/>
        </w:rPr>
        <w:t xml:space="preserve"> y se adoptan otras disposiciones.</w:t>
      </w:r>
    </w:p>
    <w:p w:rsidR="00C435C3" w:rsidRPr="00E10F2E" w:rsidRDefault="00C435C3" w:rsidP="00C435C3">
      <w:pPr>
        <w:pStyle w:val="Textodebloque"/>
        <w:ind w:left="0" w:right="51"/>
        <w:rPr>
          <w:rFonts w:ascii="Bookman Old Style" w:hAnsi="Bookman Old Style"/>
          <w:szCs w:val="24"/>
        </w:rPr>
      </w:pPr>
    </w:p>
    <w:p w:rsidR="00C435C3" w:rsidRPr="00E10F2E" w:rsidRDefault="00C435C3" w:rsidP="00C435C3">
      <w:pPr>
        <w:ind w:right="51"/>
        <w:rPr>
          <w:rFonts w:ascii="Bookman Old Style" w:hAnsi="Bookman Old Style"/>
        </w:rPr>
      </w:pPr>
    </w:p>
    <w:p w:rsidR="00C435C3" w:rsidRPr="00E10F2E" w:rsidRDefault="00C435C3" w:rsidP="00C435C3">
      <w:pPr>
        <w:ind w:right="51"/>
        <w:jc w:val="center"/>
        <w:rPr>
          <w:rFonts w:ascii="Bookman Old Style" w:hAnsi="Bookman Old Style"/>
          <w:b/>
        </w:rPr>
      </w:pPr>
      <w:r w:rsidRPr="00E10F2E">
        <w:rPr>
          <w:rFonts w:ascii="Bookman Old Style" w:hAnsi="Bookman Old Style"/>
          <w:b/>
        </w:rPr>
        <w:t>LA COMISIÓN DE REGULACIÓN DE  ENERGÍA Y GAS</w:t>
      </w:r>
    </w:p>
    <w:p w:rsidR="00C435C3" w:rsidRPr="00E10F2E" w:rsidRDefault="00C435C3" w:rsidP="00C435C3">
      <w:pPr>
        <w:ind w:left="0" w:right="51"/>
        <w:rPr>
          <w:rFonts w:ascii="Bookman Old Style" w:hAnsi="Bookman Old Style"/>
        </w:rPr>
      </w:pPr>
    </w:p>
    <w:p w:rsidR="00C435C3" w:rsidRPr="00E10F2E" w:rsidRDefault="00C435C3" w:rsidP="00C435C3">
      <w:pPr>
        <w:ind w:left="0" w:right="51"/>
        <w:rPr>
          <w:rFonts w:ascii="Bookman Old Style" w:hAnsi="Bookman Old Style"/>
        </w:rPr>
      </w:pPr>
    </w:p>
    <w:p w:rsidR="00C435C3" w:rsidRPr="00E10F2E" w:rsidRDefault="00C435C3" w:rsidP="004B6EDA">
      <w:pPr>
        <w:pStyle w:val="Textoindependiente3"/>
        <w:ind w:left="0"/>
        <w:outlineLvl w:val="9"/>
        <w:rPr>
          <w:rFonts w:ascii="Bookman Old Style" w:hAnsi="Bookman Old Style"/>
          <w:b w:val="0"/>
        </w:rPr>
      </w:pPr>
      <w:r w:rsidRPr="00E10F2E">
        <w:rPr>
          <w:rFonts w:ascii="Bookman Old Style" w:hAnsi="Bookman Old Style"/>
          <w:b w:val="0"/>
        </w:rPr>
        <w:t>En ejercicio de sus atribuciones constitucionales y legales, en especial las conferidas por las Leyes 142 y 143 de 1994, y en desarrollo de los Decretos 1524 y 2253 de 1994.</w:t>
      </w:r>
    </w:p>
    <w:p w:rsidR="00C435C3" w:rsidRPr="00E10F2E" w:rsidRDefault="00C435C3" w:rsidP="00C435C3">
      <w:pPr>
        <w:ind w:right="51"/>
        <w:rPr>
          <w:rFonts w:ascii="Bookman Old Style" w:hAnsi="Bookman Old Style"/>
        </w:rPr>
      </w:pPr>
    </w:p>
    <w:p w:rsidR="00C435C3" w:rsidRPr="00E10F2E" w:rsidRDefault="00C435C3" w:rsidP="00C435C3">
      <w:pPr>
        <w:ind w:right="51"/>
        <w:rPr>
          <w:rFonts w:ascii="Bookman Old Style" w:hAnsi="Bookman Old Style"/>
        </w:rPr>
      </w:pPr>
    </w:p>
    <w:p w:rsidR="00C435C3" w:rsidRPr="00E10F2E" w:rsidRDefault="00C435C3" w:rsidP="00C435C3">
      <w:pPr>
        <w:ind w:right="51"/>
        <w:jc w:val="center"/>
        <w:rPr>
          <w:rFonts w:ascii="Bookman Old Style" w:hAnsi="Bookman Old Style"/>
          <w:b/>
        </w:rPr>
      </w:pPr>
      <w:r w:rsidRPr="00E10F2E">
        <w:rPr>
          <w:rFonts w:ascii="Bookman Old Style" w:hAnsi="Bookman Old Style"/>
          <w:b/>
        </w:rPr>
        <w:t>C O N S I D E R A N D O</w:t>
      </w:r>
      <w:r w:rsidR="00323577" w:rsidRPr="00E10F2E">
        <w:rPr>
          <w:rFonts w:ascii="Bookman Old Style" w:hAnsi="Bookman Old Style"/>
          <w:b/>
        </w:rPr>
        <w:t xml:space="preserve">  Q U E</w:t>
      </w:r>
      <w:r w:rsidRPr="00E10F2E">
        <w:rPr>
          <w:rFonts w:ascii="Bookman Old Style" w:hAnsi="Bookman Old Style"/>
          <w:b/>
        </w:rPr>
        <w:t>:</w:t>
      </w:r>
    </w:p>
    <w:p w:rsidR="00C435C3" w:rsidRPr="00E10F2E" w:rsidRDefault="00C435C3" w:rsidP="00C435C3">
      <w:pPr>
        <w:ind w:right="51"/>
        <w:jc w:val="center"/>
        <w:rPr>
          <w:rFonts w:ascii="Bookman Old Style" w:hAnsi="Bookman Old Style"/>
          <w:b/>
        </w:rPr>
      </w:pPr>
    </w:p>
    <w:p w:rsidR="00C435C3" w:rsidRPr="00E10F2E" w:rsidRDefault="00C435C3" w:rsidP="00C435C3">
      <w:pPr>
        <w:rPr>
          <w:rFonts w:ascii="Bookman Old Style" w:hAnsi="Bookman Old Style"/>
          <w:b/>
        </w:rPr>
      </w:pPr>
    </w:p>
    <w:p w:rsidR="00323577" w:rsidRPr="00E10F2E" w:rsidRDefault="00323577" w:rsidP="00323577">
      <w:pPr>
        <w:ind w:left="0"/>
        <w:jc w:val="both"/>
        <w:rPr>
          <w:rFonts w:ascii="Bookman Old Style" w:hAnsi="Bookman Old Style"/>
        </w:rPr>
      </w:pPr>
      <w:r w:rsidRPr="00E10F2E">
        <w:rPr>
          <w:rFonts w:ascii="Bookman Old Style" w:hAnsi="Bookman Old Style"/>
        </w:rPr>
        <w:t xml:space="preserve">La Ley 143 de 1994, artículo 20, definió como objetivo fundamental de la Regulación en el sector eléctrico, asegurar una adecuada prestación del servicio mediante el aprovechamiento eficiente de los diferentes recursos energéticos, en beneficio del usuario en términos de calidad, oportunidad y costo del servicio. </w:t>
      </w:r>
    </w:p>
    <w:p w:rsidR="00323577" w:rsidRPr="00E10F2E" w:rsidRDefault="00323577" w:rsidP="00323577">
      <w:pPr>
        <w:ind w:left="0"/>
        <w:jc w:val="both"/>
        <w:rPr>
          <w:rFonts w:ascii="Bookman Old Style" w:hAnsi="Bookman Old Style"/>
        </w:rPr>
      </w:pPr>
    </w:p>
    <w:p w:rsidR="008E2476" w:rsidRPr="00E10F2E" w:rsidRDefault="00D33CDE" w:rsidP="008E2476">
      <w:pPr>
        <w:ind w:left="0"/>
        <w:jc w:val="both"/>
        <w:rPr>
          <w:rFonts w:ascii="Bookman Old Style" w:hAnsi="Bookman Old Style"/>
        </w:rPr>
      </w:pPr>
      <w:r w:rsidRPr="00E10F2E">
        <w:rPr>
          <w:rFonts w:ascii="Bookman Old Style" w:hAnsi="Bookman Old Style"/>
        </w:rPr>
        <w:t>P</w:t>
      </w:r>
      <w:r w:rsidR="008E2476" w:rsidRPr="00E10F2E">
        <w:rPr>
          <w:rFonts w:ascii="Bookman Old Style" w:hAnsi="Bookman Old Style"/>
        </w:rPr>
        <w:t>ara el cumplimiento del objetivo señalado, la Ley 143 de 1994, artículo 23, le atribuyó a la Comisión de Regulación de Energía y Gas, entre otras, las siguientes funciones:</w:t>
      </w:r>
    </w:p>
    <w:p w:rsidR="00D33CDE" w:rsidRPr="00E10F2E" w:rsidRDefault="00D33CDE" w:rsidP="008E2476">
      <w:pPr>
        <w:ind w:left="0"/>
        <w:jc w:val="both"/>
        <w:rPr>
          <w:rFonts w:ascii="Bookman Old Style" w:hAnsi="Bookman Old Style"/>
        </w:rPr>
      </w:pPr>
    </w:p>
    <w:p w:rsidR="008E2476" w:rsidRPr="00E10F2E" w:rsidRDefault="008E2476" w:rsidP="00D33CDE">
      <w:pPr>
        <w:ind w:left="709" w:hanging="709"/>
        <w:jc w:val="both"/>
        <w:rPr>
          <w:rFonts w:ascii="Bookman Old Style" w:hAnsi="Bookman Old Style"/>
        </w:rPr>
      </w:pPr>
      <w:r w:rsidRPr="00E10F2E">
        <w:rPr>
          <w:rFonts w:ascii="Bookman Old Style" w:hAnsi="Bookman Old Style"/>
        </w:rPr>
        <w:t>-</w:t>
      </w:r>
      <w:r w:rsidRPr="00E10F2E">
        <w:rPr>
          <w:rFonts w:ascii="Bookman Old Style" w:hAnsi="Bookman Old Style"/>
        </w:rPr>
        <w:tab/>
        <w:t xml:space="preserve">Crear las condiciones para asegurar la disponibilidad de una oferta energética eficiente capaz de abastecer la demanda bajo criterios sociales, económicos, ambientales y de viabilidad financiera, promover y preservar la competencia en el sector eléctrico, </w:t>
      </w:r>
      <w:r w:rsidR="00AE211E">
        <w:rPr>
          <w:rFonts w:ascii="Bookman Old Style" w:hAnsi="Bookman Old Style"/>
        </w:rPr>
        <w:t xml:space="preserve">para lo cual </w:t>
      </w:r>
      <w:r w:rsidRPr="00E10F2E">
        <w:rPr>
          <w:rFonts w:ascii="Bookman Old Style" w:hAnsi="Bookman Old Style"/>
        </w:rPr>
        <w:t>debe tener en cuenta la capa</w:t>
      </w:r>
      <w:r w:rsidR="000B78FC">
        <w:rPr>
          <w:rFonts w:ascii="Bookman Old Style" w:hAnsi="Bookman Old Style"/>
        </w:rPr>
        <w:t>cidad de generación de respaldo.</w:t>
      </w:r>
    </w:p>
    <w:p w:rsidR="008E2476" w:rsidRPr="00E10F2E" w:rsidRDefault="008E2476" w:rsidP="008E2476">
      <w:pPr>
        <w:ind w:left="0"/>
        <w:jc w:val="both"/>
        <w:rPr>
          <w:rFonts w:ascii="Bookman Old Style" w:hAnsi="Bookman Old Style"/>
        </w:rPr>
      </w:pPr>
      <w:r w:rsidRPr="00E10F2E">
        <w:rPr>
          <w:rFonts w:ascii="Bookman Old Style" w:hAnsi="Bookman Old Style"/>
        </w:rPr>
        <w:t>-</w:t>
      </w:r>
      <w:r w:rsidRPr="00E10F2E">
        <w:rPr>
          <w:rFonts w:ascii="Bookman Old Style" w:hAnsi="Bookman Old Style"/>
        </w:rPr>
        <w:tab/>
        <w:t xml:space="preserve">Valorar la capacidad de generación de </w:t>
      </w:r>
      <w:r w:rsidR="000B78FC">
        <w:rPr>
          <w:rFonts w:ascii="Bookman Old Style" w:hAnsi="Bookman Old Style"/>
        </w:rPr>
        <w:t>respaldo de la oferta eficiente.</w:t>
      </w:r>
    </w:p>
    <w:p w:rsidR="008E2476" w:rsidRPr="00E10F2E" w:rsidRDefault="008E2476" w:rsidP="00D33CDE">
      <w:pPr>
        <w:ind w:left="709" w:hanging="709"/>
        <w:jc w:val="both"/>
        <w:rPr>
          <w:rFonts w:ascii="Bookman Old Style" w:hAnsi="Bookman Old Style"/>
        </w:rPr>
      </w:pPr>
      <w:r w:rsidRPr="00E10F2E">
        <w:rPr>
          <w:rFonts w:ascii="Bookman Old Style" w:hAnsi="Bookman Old Style"/>
        </w:rPr>
        <w:t>-</w:t>
      </w:r>
      <w:r w:rsidRPr="00E10F2E">
        <w:rPr>
          <w:rFonts w:ascii="Bookman Old Style" w:hAnsi="Bookman Old Style"/>
        </w:rPr>
        <w:tab/>
        <w:t>Definir y hacer operativos los criterios técnicos de calidad, confiabilidad y seguridad del servicio d</w:t>
      </w:r>
      <w:r w:rsidR="000B78FC">
        <w:rPr>
          <w:rFonts w:ascii="Bookman Old Style" w:hAnsi="Bookman Old Style"/>
        </w:rPr>
        <w:t>e energía.</w:t>
      </w:r>
      <w:r w:rsidRPr="00E10F2E">
        <w:rPr>
          <w:rFonts w:ascii="Bookman Old Style" w:hAnsi="Bookman Old Style"/>
        </w:rPr>
        <w:t xml:space="preserve"> </w:t>
      </w:r>
    </w:p>
    <w:p w:rsidR="008E2476" w:rsidRPr="00E10F2E" w:rsidRDefault="008E2476" w:rsidP="00D33CDE">
      <w:pPr>
        <w:ind w:left="709" w:hanging="709"/>
        <w:jc w:val="both"/>
        <w:rPr>
          <w:rFonts w:ascii="Bookman Old Style" w:hAnsi="Bookman Old Style"/>
        </w:rPr>
      </w:pPr>
      <w:r w:rsidRPr="00E10F2E">
        <w:rPr>
          <w:rFonts w:ascii="Bookman Old Style" w:hAnsi="Bookman Old Style"/>
        </w:rPr>
        <w:t>-</w:t>
      </w:r>
      <w:r w:rsidRPr="00E10F2E">
        <w:rPr>
          <w:rFonts w:ascii="Bookman Old Style" w:hAnsi="Bookman Old Style"/>
        </w:rPr>
        <w:tab/>
        <w:t>Establecer el Reglamento de Operación para realizar el planeamiento y la coordinación de la operación del Si</w:t>
      </w:r>
      <w:r w:rsidR="000B78FC">
        <w:rPr>
          <w:rFonts w:ascii="Bookman Old Style" w:hAnsi="Bookman Old Style"/>
        </w:rPr>
        <w:t>stema Interconectado Nacional.</w:t>
      </w:r>
    </w:p>
    <w:p w:rsidR="00323577" w:rsidRPr="00E10F2E" w:rsidRDefault="008E2476" w:rsidP="00D33CDE">
      <w:pPr>
        <w:ind w:left="709" w:hanging="709"/>
        <w:jc w:val="both"/>
        <w:rPr>
          <w:rFonts w:ascii="Bookman Old Style" w:hAnsi="Bookman Old Style"/>
        </w:rPr>
      </w:pPr>
      <w:r w:rsidRPr="00E10F2E">
        <w:rPr>
          <w:rFonts w:ascii="Bookman Old Style" w:hAnsi="Bookman Old Style"/>
        </w:rPr>
        <w:t>-</w:t>
      </w:r>
      <w:r w:rsidRPr="00E10F2E">
        <w:rPr>
          <w:rFonts w:ascii="Bookman Old Style" w:hAnsi="Bookman Old Style"/>
        </w:rPr>
        <w:tab/>
        <w:t>Determinar las condiciones para la liberación gradual del mercado hacia la libre competencia.</w:t>
      </w:r>
    </w:p>
    <w:p w:rsidR="002C414B" w:rsidRPr="00E10F2E" w:rsidRDefault="002C414B" w:rsidP="00323577">
      <w:pPr>
        <w:ind w:left="0"/>
        <w:jc w:val="both"/>
        <w:rPr>
          <w:rFonts w:ascii="Bookman Old Style" w:hAnsi="Bookman Old Style"/>
        </w:rPr>
      </w:pPr>
    </w:p>
    <w:p w:rsidR="00094ACC" w:rsidRPr="00E10F2E" w:rsidRDefault="00094ACC" w:rsidP="00323577">
      <w:pPr>
        <w:ind w:left="0"/>
        <w:jc w:val="both"/>
        <w:rPr>
          <w:rFonts w:ascii="Bookman Old Style" w:hAnsi="Bookman Old Style"/>
        </w:rPr>
      </w:pPr>
      <w:r w:rsidRPr="00E10F2E">
        <w:rPr>
          <w:rFonts w:ascii="Bookman Old Style" w:hAnsi="Bookman Old Style"/>
        </w:rPr>
        <w:t xml:space="preserve">De acuerdo con el </w:t>
      </w:r>
      <w:r w:rsidR="001B12D1" w:rsidRPr="00E10F2E">
        <w:rPr>
          <w:rFonts w:ascii="Bookman Old Style" w:hAnsi="Bookman Old Style"/>
        </w:rPr>
        <w:t xml:space="preserve">artículo </w:t>
      </w:r>
      <w:r w:rsidRPr="00E10F2E">
        <w:rPr>
          <w:rFonts w:ascii="Bookman Old Style" w:hAnsi="Bookman Old Style"/>
        </w:rPr>
        <w:t>74.1 de la Ley 142 de 1994, la Comisión de Regulación de Energía y Gas tiene dentro de sus funciones generales la de regular el ejercicio de las actividades del sector de gas combustible para asegurar la disponibilidad de una oferta energética eficiente.</w:t>
      </w:r>
    </w:p>
    <w:p w:rsidR="004D5826" w:rsidRPr="00E10F2E" w:rsidRDefault="004D5826" w:rsidP="004D5826">
      <w:pPr>
        <w:ind w:left="0"/>
        <w:jc w:val="both"/>
        <w:rPr>
          <w:rFonts w:ascii="Bookman Old Style" w:hAnsi="Bookman Old Style"/>
        </w:rPr>
      </w:pPr>
    </w:p>
    <w:p w:rsidR="004D5826" w:rsidRPr="00E10F2E" w:rsidRDefault="004D5826" w:rsidP="004D5826">
      <w:pPr>
        <w:ind w:left="0"/>
        <w:jc w:val="both"/>
        <w:rPr>
          <w:rFonts w:ascii="Bookman Old Style" w:hAnsi="Bookman Old Style"/>
        </w:rPr>
      </w:pPr>
      <w:r w:rsidRPr="00E10F2E">
        <w:rPr>
          <w:rFonts w:ascii="Bookman Old Style" w:hAnsi="Bookman Old Style"/>
        </w:rPr>
        <w:t>El literal c del artículo 74.1 mencionado indica que corresponde a la CREG establecer el Reglamento de Operación, para regular el funcionamiento del mercado mayorista de energía y de gas combustible.</w:t>
      </w:r>
    </w:p>
    <w:p w:rsidR="00094ACC" w:rsidRPr="00E10F2E" w:rsidRDefault="00094ACC" w:rsidP="00323577">
      <w:pPr>
        <w:ind w:left="0"/>
        <w:jc w:val="both"/>
        <w:rPr>
          <w:rFonts w:ascii="Bookman Old Style" w:hAnsi="Bookman Old Style"/>
        </w:rPr>
      </w:pPr>
    </w:p>
    <w:p w:rsidR="0091512B" w:rsidRPr="00E10F2E" w:rsidRDefault="0091512B" w:rsidP="00323577">
      <w:pPr>
        <w:ind w:left="0"/>
        <w:jc w:val="both"/>
        <w:rPr>
          <w:rFonts w:ascii="Bookman Old Style" w:hAnsi="Bookman Old Style"/>
        </w:rPr>
      </w:pPr>
      <w:r w:rsidRPr="00E10F2E">
        <w:rPr>
          <w:rFonts w:ascii="Bookman Old Style" w:hAnsi="Bookman Old Style"/>
        </w:rPr>
        <w:t>Según el artículo 4 de la Ley 401 de 1997, el CNO gas tiene entre otras funciones hacer recomendaciones que busquen que la operación integrada del Sistema Nacional de Transporte de Gas Natural sea segura, confiable y económica.</w:t>
      </w:r>
    </w:p>
    <w:p w:rsidR="00094ACC" w:rsidRPr="00E10F2E" w:rsidRDefault="00094ACC" w:rsidP="00323577">
      <w:pPr>
        <w:ind w:left="0"/>
        <w:jc w:val="both"/>
        <w:rPr>
          <w:rFonts w:ascii="Bookman Old Style" w:hAnsi="Bookman Old Style"/>
        </w:rPr>
      </w:pPr>
    </w:p>
    <w:p w:rsidR="00323577" w:rsidRPr="00E10F2E" w:rsidRDefault="00323577" w:rsidP="00323577">
      <w:pPr>
        <w:ind w:left="0"/>
        <w:jc w:val="both"/>
        <w:rPr>
          <w:rFonts w:ascii="Bookman Old Style" w:hAnsi="Bookman Old Style"/>
        </w:rPr>
      </w:pPr>
      <w:r w:rsidRPr="00E10F2E">
        <w:rPr>
          <w:rFonts w:ascii="Bookman Old Style" w:hAnsi="Bookman Old Style"/>
        </w:rPr>
        <w:t>La CREG mediante Resolución CREG 071 de 2006, adoptó la metodología para la remuneración del Cargo por Confiabilidad en el Mercado Mayorista de Energía.</w:t>
      </w:r>
    </w:p>
    <w:p w:rsidR="00323577" w:rsidRPr="00E10F2E" w:rsidRDefault="00323577" w:rsidP="00323577">
      <w:pPr>
        <w:ind w:left="0"/>
        <w:jc w:val="both"/>
        <w:rPr>
          <w:rFonts w:ascii="Bookman Old Style" w:hAnsi="Bookman Old Style"/>
        </w:rPr>
      </w:pPr>
    </w:p>
    <w:p w:rsidR="00323577" w:rsidRPr="00E10F2E" w:rsidRDefault="00323577" w:rsidP="00323577">
      <w:pPr>
        <w:ind w:left="0"/>
        <w:jc w:val="both"/>
        <w:rPr>
          <w:rFonts w:ascii="Bookman Old Style" w:hAnsi="Bookman Old Style"/>
        </w:rPr>
      </w:pPr>
      <w:r w:rsidRPr="00E10F2E">
        <w:rPr>
          <w:rFonts w:ascii="Bookman Old Style" w:hAnsi="Bookman Old Style"/>
        </w:rPr>
        <w:t>La CREG expidió la Resolución 085 de 2007 mediante la cual, entre otros, se definieron reglas para participar en la asignación de Obligaciones de Energía Firme con plantas o unidades térmicas que utilicen combustible líquido.</w:t>
      </w:r>
    </w:p>
    <w:p w:rsidR="00323577" w:rsidRPr="00E10F2E" w:rsidRDefault="00323577" w:rsidP="00323577">
      <w:pPr>
        <w:ind w:left="0"/>
        <w:jc w:val="both"/>
        <w:rPr>
          <w:rFonts w:ascii="Bookman Old Style" w:hAnsi="Bookman Old Style"/>
        </w:rPr>
      </w:pPr>
    </w:p>
    <w:p w:rsidR="00323577" w:rsidRPr="00E10F2E" w:rsidRDefault="00323577" w:rsidP="00323577">
      <w:pPr>
        <w:ind w:left="0"/>
        <w:jc w:val="both"/>
        <w:rPr>
          <w:rFonts w:ascii="Bookman Old Style" w:hAnsi="Bookman Old Style"/>
        </w:rPr>
      </w:pPr>
      <w:r w:rsidRPr="00E10F2E">
        <w:rPr>
          <w:rFonts w:ascii="Bookman Old Style" w:hAnsi="Bookman Old Style"/>
        </w:rPr>
        <w:t xml:space="preserve">La CREG mediante convenio con la Agencia Nacional de Hidrocarburos, ANH, y la Financiera Energética Nacional, FEN, adelantó un estudio de confiabilidad de la prestación del servicio de gas natural con el consorcio </w:t>
      </w:r>
      <w:proofErr w:type="spellStart"/>
      <w:r w:rsidRPr="00E10F2E">
        <w:rPr>
          <w:rFonts w:ascii="Bookman Old Style" w:hAnsi="Bookman Old Style"/>
        </w:rPr>
        <w:t>Itansuca</w:t>
      </w:r>
      <w:proofErr w:type="spellEnd"/>
      <w:r w:rsidRPr="00E10F2E">
        <w:rPr>
          <w:rFonts w:ascii="Bookman Old Style" w:hAnsi="Bookman Old Style"/>
        </w:rPr>
        <w:t xml:space="preserve"> y Freyre &amp; Asociados S.A.</w:t>
      </w:r>
    </w:p>
    <w:p w:rsidR="00323577" w:rsidRPr="00E10F2E" w:rsidRDefault="00323577" w:rsidP="00323577">
      <w:pPr>
        <w:ind w:left="0"/>
        <w:jc w:val="both"/>
        <w:rPr>
          <w:rFonts w:ascii="Bookman Old Style" w:hAnsi="Bookman Old Style"/>
        </w:rPr>
      </w:pPr>
    </w:p>
    <w:p w:rsidR="00323577" w:rsidRPr="00E10F2E" w:rsidRDefault="00323577" w:rsidP="00323577">
      <w:pPr>
        <w:ind w:left="0"/>
        <w:jc w:val="both"/>
        <w:rPr>
          <w:rFonts w:ascii="Bookman Old Style" w:hAnsi="Bookman Old Style"/>
        </w:rPr>
      </w:pPr>
      <w:r w:rsidRPr="00E10F2E">
        <w:rPr>
          <w:rFonts w:ascii="Bookman Old Style" w:hAnsi="Bookman Old Style"/>
        </w:rPr>
        <w:t xml:space="preserve">La CREG ha encontrado que el abastecimiento con gas importado es una opción que se viene aplicando en diferentes partes del mundo y más recientemente en países de Sur América. </w:t>
      </w:r>
      <w:r w:rsidR="006E3CD9" w:rsidRPr="00E10F2E">
        <w:rPr>
          <w:rFonts w:ascii="Bookman Old Style" w:hAnsi="Bookman Old Style"/>
        </w:rPr>
        <w:t>Así mismo ha determinado que e</w:t>
      </w:r>
      <w:r w:rsidRPr="00E10F2E">
        <w:rPr>
          <w:rFonts w:ascii="Bookman Old Style" w:hAnsi="Bookman Old Style"/>
        </w:rPr>
        <w:t>l suministro de gas para respaldar ENFICC de plantas térmicas requiere de alta flexibilidad en el suministro</w:t>
      </w:r>
      <w:r w:rsidR="006E3CD9" w:rsidRPr="00E10F2E">
        <w:rPr>
          <w:rFonts w:ascii="Bookman Old Style" w:hAnsi="Bookman Old Style"/>
        </w:rPr>
        <w:t xml:space="preserve"> y que l</w:t>
      </w:r>
      <w:r w:rsidRPr="00E10F2E">
        <w:rPr>
          <w:rFonts w:ascii="Bookman Old Style" w:hAnsi="Bookman Old Style"/>
        </w:rPr>
        <w:t>a conexión a un mercado líquido como el de Gas Natural Licuado</w:t>
      </w:r>
      <w:r w:rsidR="00C2238D" w:rsidRPr="00E10F2E">
        <w:rPr>
          <w:rFonts w:ascii="Bookman Old Style" w:hAnsi="Bookman Old Style"/>
        </w:rPr>
        <w:t>,</w:t>
      </w:r>
      <w:r w:rsidRPr="00E10F2E">
        <w:rPr>
          <w:rFonts w:ascii="Bookman Old Style" w:hAnsi="Bookman Old Style"/>
        </w:rPr>
        <w:t xml:space="preserve"> G</w:t>
      </w:r>
      <w:r w:rsidR="00955488" w:rsidRPr="00E10F2E">
        <w:rPr>
          <w:rFonts w:ascii="Bookman Old Style" w:hAnsi="Bookman Old Style"/>
        </w:rPr>
        <w:t>NL</w:t>
      </w:r>
      <w:r w:rsidR="00C2238D" w:rsidRPr="00E10F2E">
        <w:rPr>
          <w:rFonts w:ascii="Bookman Old Style" w:hAnsi="Bookman Old Style"/>
        </w:rPr>
        <w:t>,</w:t>
      </w:r>
      <w:r w:rsidRPr="00E10F2E">
        <w:rPr>
          <w:rFonts w:ascii="Bookman Old Style" w:hAnsi="Bookman Old Style"/>
        </w:rPr>
        <w:t xml:space="preserve"> es una opción que puede ajustarse a esa condición.</w:t>
      </w:r>
    </w:p>
    <w:p w:rsidR="00CA4C99" w:rsidRPr="00E10F2E" w:rsidRDefault="00CA4C99" w:rsidP="00323577">
      <w:pPr>
        <w:ind w:left="0"/>
        <w:jc w:val="both"/>
        <w:rPr>
          <w:rFonts w:ascii="Bookman Old Style" w:hAnsi="Bookman Old Style"/>
        </w:rPr>
      </w:pPr>
    </w:p>
    <w:p w:rsidR="00CA4C99" w:rsidRPr="00E10F2E" w:rsidRDefault="00CA4C99" w:rsidP="00323577">
      <w:pPr>
        <w:ind w:left="0"/>
        <w:jc w:val="both"/>
        <w:rPr>
          <w:rFonts w:ascii="Bookman Old Style" w:hAnsi="Bookman Old Style"/>
        </w:rPr>
      </w:pPr>
      <w:r w:rsidRPr="00E10F2E">
        <w:rPr>
          <w:rFonts w:ascii="Bookman Old Style" w:hAnsi="Bookman Old Style"/>
        </w:rPr>
        <w:t xml:space="preserve">La CREG expidió la Resolución 182 de 2010 “Por la cual se ordena hacer público un proyecto de resolución de carácter general, </w:t>
      </w:r>
      <w:r w:rsidR="00B57D0B">
        <w:rPr>
          <w:rFonts w:ascii="Bookman Old Style" w:hAnsi="Bookman Old Style"/>
        </w:rPr>
        <w:t>‘</w:t>
      </w:r>
      <w:r w:rsidRPr="00E10F2E">
        <w:rPr>
          <w:rFonts w:ascii="Bookman Old Style" w:hAnsi="Bookman Old Style"/>
        </w:rPr>
        <w:t>Por la cual se define una opción de gas natural importado para respaldar Obligaciones e Energía Firme del Cargo por Confiabilidad</w:t>
      </w:r>
      <w:r w:rsidR="00B57D0B">
        <w:rPr>
          <w:rFonts w:ascii="Bookman Old Style" w:hAnsi="Bookman Old Style"/>
        </w:rPr>
        <w:t>.’</w:t>
      </w:r>
      <w:r w:rsidRPr="00E10F2E">
        <w:rPr>
          <w:rFonts w:ascii="Bookman Old Style" w:hAnsi="Bookman Old Style"/>
        </w:rPr>
        <w:t>”</w:t>
      </w:r>
    </w:p>
    <w:p w:rsidR="00497900" w:rsidRPr="00E10F2E" w:rsidRDefault="00497900" w:rsidP="00323577">
      <w:pPr>
        <w:ind w:left="0"/>
        <w:jc w:val="both"/>
        <w:rPr>
          <w:rFonts w:ascii="Bookman Old Style" w:hAnsi="Bookman Old Style"/>
        </w:rPr>
      </w:pPr>
    </w:p>
    <w:p w:rsidR="00417971" w:rsidRPr="00E10F2E" w:rsidRDefault="00B51C48" w:rsidP="00323577">
      <w:pPr>
        <w:ind w:left="0"/>
        <w:jc w:val="both"/>
        <w:rPr>
          <w:rFonts w:ascii="Bookman Old Style" w:hAnsi="Bookman Old Style"/>
        </w:rPr>
      </w:pPr>
      <w:r w:rsidRPr="00E10F2E">
        <w:rPr>
          <w:rFonts w:ascii="Bookman Old Style" w:hAnsi="Bookman Old Style"/>
        </w:rPr>
        <w:t>L</w:t>
      </w:r>
      <w:r w:rsidR="00323577" w:rsidRPr="00E10F2E">
        <w:rPr>
          <w:rFonts w:ascii="Bookman Old Style" w:hAnsi="Bookman Old Style"/>
        </w:rPr>
        <w:t xml:space="preserve">a CREG </w:t>
      </w:r>
      <w:r w:rsidR="008D55BC" w:rsidRPr="00E10F2E">
        <w:rPr>
          <w:rFonts w:ascii="Bookman Old Style" w:hAnsi="Bookman Old Style"/>
        </w:rPr>
        <w:t xml:space="preserve">publicó una nueva propuesta </w:t>
      </w:r>
      <w:r w:rsidRPr="00E10F2E">
        <w:rPr>
          <w:rFonts w:ascii="Bookman Old Style" w:hAnsi="Bookman Old Style"/>
        </w:rPr>
        <w:t xml:space="preserve">para comentarios de la industria </w:t>
      </w:r>
      <w:r w:rsidR="008D55BC" w:rsidRPr="00E10F2E">
        <w:rPr>
          <w:rFonts w:ascii="Bookman Old Style" w:hAnsi="Bookman Old Style"/>
        </w:rPr>
        <w:t xml:space="preserve">contenida en </w:t>
      </w:r>
      <w:r w:rsidR="00417971" w:rsidRPr="00E10F2E">
        <w:rPr>
          <w:rFonts w:ascii="Bookman Old Style" w:hAnsi="Bookman Old Style"/>
        </w:rPr>
        <w:t xml:space="preserve">la Resolución </w:t>
      </w:r>
      <w:r w:rsidR="00BA27D1" w:rsidRPr="00E10F2E">
        <w:rPr>
          <w:rFonts w:ascii="Bookman Old Style" w:hAnsi="Bookman Old Style"/>
        </w:rPr>
        <w:t>001</w:t>
      </w:r>
      <w:r w:rsidR="00417971" w:rsidRPr="00E10F2E">
        <w:rPr>
          <w:rFonts w:ascii="Bookman Old Style" w:hAnsi="Bookman Old Style"/>
        </w:rPr>
        <w:t xml:space="preserve"> de 201</w:t>
      </w:r>
      <w:r w:rsidR="00BA27D1" w:rsidRPr="00E10F2E">
        <w:rPr>
          <w:rFonts w:ascii="Bookman Old Style" w:hAnsi="Bookman Old Style"/>
        </w:rPr>
        <w:t>1</w:t>
      </w:r>
      <w:r w:rsidR="00417971" w:rsidRPr="00E10F2E">
        <w:rPr>
          <w:rFonts w:ascii="Bookman Old Style" w:hAnsi="Bookman Old Style"/>
        </w:rPr>
        <w:t xml:space="preserve"> “Por la cual se ordena hacer público un proyecto de resolución de carácter general </w:t>
      </w:r>
      <w:r w:rsidR="00B57D0B">
        <w:rPr>
          <w:rFonts w:ascii="Bookman Old Style" w:hAnsi="Bookman Old Style"/>
        </w:rPr>
        <w:t>‘</w:t>
      </w:r>
      <w:r w:rsidR="00417971" w:rsidRPr="00E10F2E">
        <w:rPr>
          <w:rFonts w:ascii="Bookman Old Style" w:hAnsi="Bookman Old Style"/>
        </w:rPr>
        <w:t>Por la cual se define una opción con gas natural importado para respaldar Obligaciones de Energía Firme del Cargo por Confiabilidad</w:t>
      </w:r>
      <w:r w:rsidR="00B57D0B">
        <w:rPr>
          <w:rFonts w:ascii="Bookman Old Style" w:hAnsi="Bookman Old Style"/>
        </w:rPr>
        <w:t>.’</w:t>
      </w:r>
      <w:r w:rsidR="00417971" w:rsidRPr="00E10F2E">
        <w:rPr>
          <w:rFonts w:ascii="Bookman Old Style" w:hAnsi="Bookman Old Style"/>
        </w:rPr>
        <w:t>”</w:t>
      </w:r>
    </w:p>
    <w:p w:rsidR="00417971" w:rsidRPr="00E10F2E" w:rsidRDefault="00417971" w:rsidP="00323577">
      <w:pPr>
        <w:ind w:left="0"/>
        <w:jc w:val="both"/>
        <w:rPr>
          <w:rFonts w:ascii="Bookman Old Style" w:hAnsi="Bookman Old Style"/>
        </w:rPr>
      </w:pPr>
    </w:p>
    <w:p w:rsidR="00E8370C" w:rsidRPr="00E10F2E" w:rsidRDefault="00E8370C" w:rsidP="00E8370C">
      <w:pPr>
        <w:ind w:left="0"/>
        <w:jc w:val="both"/>
        <w:rPr>
          <w:rFonts w:ascii="Bookman Old Style" w:hAnsi="Bookman Old Style"/>
        </w:rPr>
      </w:pPr>
      <w:r w:rsidRPr="00E10F2E">
        <w:rPr>
          <w:rFonts w:ascii="Bookman Old Style" w:hAnsi="Bookman Old Style"/>
        </w:rPr>
        <w:t xml:space="preserve">En el Documento CREG 001 de 2011 se analizaron los comentarios y sugerencias remitidas por los agentes a la propuesta de la Resolución CREG </w:t>
      </w:r>
      <w:r w:rsidR="00B57D0B">
        <w:rPr>
          <w:rFonts w:ascii="Bookman Old Style" w:hAnsi="Bookman Old Style"/>
        </w:rPr>
        <w:t>182 de 2010</w:t>
      </w:r>
      <w:r w:rsidRPr="00E10F2E">
        <w:rPr>
          <w:rFonts w:ascii="Bookman Old Style" w:hAnsi="Bookman Old Style"/>
        </w:rPr>
        <w:t xml:space="preserve">.  </w:t>
      </w:r>
    </w:p>
    <w:p w:rsidR="00D33CDE" w:rsidRPr="00E10F2E" w:rsidRDefault="00D33CDE" w:rsidP="00323577">
      <w:pPr>
        <w:ind w:left="0"/>
        <w:jc w:val="both"/>
        <w:rPr>
          <w:rFonts w:ascii="Bookman Old Style" w:hAnsi="Bookman Old Style"/>
        </w:rPr>
      </w:pPr>
    </w:p>
    <w:p w:rsidR="00D33CDE" w:rsidRPr="00E10F2E" w:rsidRDefault="00D33CDE" w:rsidP="00323577">
      <w:pPr>
        <w:ind w:left="0"/>
        <w:jc w:val="both"/>
        <w:rPr>
          <w:rFonts w:ascii="Bookman Old Style" w:hAnsi="Bookman Old Style"/>
        </w:rPr>
      </w:pPr>
    </w:p>
    <w:p w:rsidR="004B6EDA" w:rsidRDefault="004B6EDA" w:rsidP="00323577">
      <w:pPr>
        <w:ind w:left="0"/>
        <w:jc w:val="both"/>
        <w:rPr>
          <w:rFonts w:ascii="Bookman Old Style" w:hAnsi="Bookman Old Style"/>
        </w:rPr>
      </w:pPr>
    </w:p>
    <w:p w:rsidR="00B47ACE" w:rsidRPr="00E10F2E" w:rsidRDefault="00D309FC" w:rsidP="00323577">
      <w:pPr>
        <w:ind w:left="0"/>
        <w:jc w:val="both"/>
        <w:rPr>
          <w:rFonts w:ascii="Bookman Old Style" w:hAnsi="Bookman Old Style"/>
        </w:rPr>
      </w:pPr>
      <w:r w:rsidRPr="00E10F2E">
        <w:rPr>
          <w:rFonts w:ascii="Bookman Old Style" w:hAnsi="Bookman Old Style"/>
        </w:rPr>
        <w:t xml:space="preserve">Dentro del plazo señalado en la </w:t>
      </w:r>
      <w:r w:rsidR="00B57D0B" w:rsidRPr="00E10F2E">
        <w:rPr>
          <w:rFonts w:ascii="Bookman Old Style" w:hAnsi="Bookman Old Style"/>
        </w:rPr>
        <w:t xml:space="preserve">Resolución </w:t>
      </w:r>
      <w:r w:rsidR="00B57D0B">
        <w:rPr>
          <w:rFonts w:ascii="Bookman Old Style" w:hAnsi="Bookman Old Style"/>
        </w:rPr>
        <w:t xml:space="preserve">01 de 2011 </w:t>
      </w:r>
      <w:r w:rsidRPr="00E10F2E">
        <w:rPr>
          <w:rFonts w:ascii="Bookman Old Style" w:hAnsi="Bookman Old Style"/>
        </w:rPr>
        <w:t xml:space="preserve">se recibieron </w:t>
      </w:r>
      <w:r w:rsidR="00417971" w:rsidRPr="00E10F2E">
        <w:rPr>
          <w:rFonts w:ascii="Bookman Old Style" w:hAnsi="Bookman Old Style"/>
        </w:rPr>
        <w:t xml:space="preserve">comentarios de: </w:t>
      </w:r>
      <w:r w:rsidR="00BA27D1" w:rsidRPr="00E10F2E">
        <w:rPr>
          <w:rFonts w:ascii="Bookman Old Style" w:hAnsi="Bookman Old Style"/>
        </w:rPr>
        <w:t>POLIOBRAS E.S.P</w:t>
      </w:r>
      <w:r w:rsidR="00B47ACE" w:rsidRPr="00E10F2E">
        <w:rPr>
          <w:rFonts w:ascii="Bookman Old Style" w:hAnsi="Bookman Old Style"/>
        </w:rPr>
        <w:t>.</w:t>
      </w:r>
      <w:r w:rsidR="00BA27D1" w:rsidRPr="00E10F2E">
        <w:rPr>
          <w:rFonts w:ascii="Bookman Old Style" w:hAnsi="Bookman Old Style"/>
        </w:rPr>
        <w:t>, radicado E-2011-001741, TERMOTAS</w:t>
      </w:r>
      <w:r w:rsidR="00A941AE" w:rsidRPr="00E10F2E">
        <w:rPr>
          <w:rFonts w:ascii="Bookman Old Style" w:hAnsi="Bookman Old Style"/>
        </w:rPr>
        <w:t>A</w:t>
      </w:r>
      <w:r w:rsidR="00BA27D1" w:rsidRPr="00E10F2E">
        <w:rPr>
          <w:rFonts w:ascii="Bookman Old Style" w:hAnsi="Bookman Old Style"/>
        </w:rPr>
        <w:t xml:space="preserve">JERO E.S.P., radicado E-2011-001651, COLINVERSIONES E.S.P., radicado E-2011-001655, EMGESA E.S.P., radicado E-2011-001617, TERMOCANDELARIA E.S.P., radicado E-2011-001704, EPSA E.S.P., radicado E-2011-001660, EPM E.S.P., radicado E-2011-001665, ISAGEN E.S.P., radicado E-2011-001666, GECELCA E.S.P., radicado E-2011-001689, PROMIGAS E.S.P., </w:t>
      </w:r>
      <w:r w:rsidR="00666CE9" w:rsidRPr="00E10F2E">
        <w:rPr>
          <w:rFonts w:ascii="Bookman Old Style" w:hAnsi="Bookman Old Style"/>
        </w:rPr>
        <w:t>radicado E-2011-001709, GAS NATURAL E.S.P., radicado E-2011-001631, ECOPETROL, radicado E-2011-001690, NATURGAS, radicado E-2011-001609, CNO-Gas, radicado E-2011-001610, ASOCIACIÓN COLOMBIANA DEL PETROLEO, radicado E-2011-001622, ANDEG, radicado E-2011-001656, ACOLGEN, radicado E-2011-001654, XM E.S.P., radicado E-2011-001669, UNIDAD DE PLANEACIÓN MINERO-ENERGÉTICA, radicado E-2011-001707 y CONSEJO NACIONAL DE OPERACIÓN, radicado E-2011</w:t>
      </w:r>
      <w:r w:rsidR="00955488" w:rsidRPr="00E10F2E">
        <w:rPr>
          <w:rFonts w:ascii="Bookman Old Style" w:hAnsi="Bookman Old Style"/>
        </w:rPr>
        <w:t>-001742.</w:t>
      </w:r>
    </w:p>
    <w:p w:rsidR="00323577" w:rsidRPr="00E10F2E" w:rsidRDefault="00323577" w:rsidP="00323577">
      <w:pPr>
        <w:ind w:left="0"/>
        <w:jc w:val="both"/>
        <w:rPr>
          <w:rFonts w:ascii="Bookman Old Style" w:hAnsi="Bookman Old Style"/>
        </w:rPr>
      </w:pPr>
    </w:p>
    <w:p w:rsidR="00323577" w:rsidRPr="00E10F2E" w:rsidRDefault="00323577" w:rsidP="00323577">
      <w:pPr>
        <w:ind w:left="0"/>
        <w:jc w:val="both"/>
        <w:rPr>
          <w:rFonts w:ascii="Bookman Old Style" w:hAnsi="Bookman Old Style"/>
        </w:rPr>
      </w:pPr>
      <w:r w:rsidRPr="00E10F2E">
        <w:rPr>
          <w:rFonts w:ascii="Bookman Old Style" w:hAnsi="Bookman Old Style"/>
        </w:rPr>
        <w:t xml:space="preserve">El Documento CREG </w:t>
      </w:r>
      <w:r w:rsidR="002C414B" w:rsidRPr="00E10F2E">
        <w:rPr>
          <w:rFonts w:ascii="Bookman Old Style" w:hAnsi="Bookman Old Style"/>
        </w:rPr>
        <w:t xml:space="preserve">084 </w:t>
      </w:r>
      <w:r w:rsidRPr="00E10F2E">
        <w:rPr>
          <w:rFonts w:ascii="Bookman Old Style" w:hAnsi="Bookman Old Style"/>
        </w:rPr>
        <w:t>de 201</w:t>
      </w:r>
      <w:r w:rsidR="00B47ACE" w:rsidRPr="00E10F2E">
        <w:rPr>
          <w:rFonts w:ascii="Bookman Old Style" w:hAnsi="Bookman Old Style"/>
        </w:rPr>
        <w:t>1</w:t>
      </w:r>
      <w:r w:rsidRPr="00E10F2E">
        <w:rPr>
          <w:rFonts w:ascii="Bookman Old Style" w:hAnsi="Bookman Old Style"/>
        </w:rPr>
        <w:t xml:space="preserve"> contiene los análisis </w:t>
      </w:r>
      <w:r w:rsidR="00B47ACE" w:rsidRPr="00E10F2E">
        <w:rPr>
          <w:rFonts w:ascii="Bookman Old Style" w:hAnsi="Bookman Old Style"/>
        </w:rPr>
        <w:t>y la respuesta a los comentarios formulados por los agentes.</w:t>
      </w:r>
    </w:p>
    <w:p w:rsidR="00B47ACE" w:rsidRPr="00E10F2E" w:rsidRDefault="00B47ACE" w:rsidP="00323577">
      <w:pPr>
        <w:ind w:left="0"/>
        <w:jc w:val="both"/>
        <w:rPr>
          <w:rFonts w:ascii="Bookman Old Style" w:hAnsi="Bookman Old Style"/>
        </w:rPr>
      </w:pPr>
    </w:p>
    <w:p w:rsidR="00D34D8B" w:rsidRPr="00E10F2E" w:rsidRDefault="001A00E7" w:rsidP="00323577">
      <w:pPr>
        <w:ind w:left="0"/>
        <w:jc w:val="both"/>
        <w:rPr>
          <w:rFonts w:ascii="Bookman Old Style" w:hAnsi="Bookman Old Style"/>
        </w:rPr>
      </w:pPr>
      <w:r w:rsidRPr="00E10F2E">
        <w:rPr>
          <w:rFonts w:ascii="Bookman Old Style" w:hAnsi="Bookman Old Style"/>
        </w:rPr>
        <w:t>E</w:t>
      </w:r>
      <w:r w:rsidR="008F0630" w:rsidRPr="00E10F2E">
        <w:rPr>
          <w:rFonts w:ascii="Bookman Old Style" w:hAnsi="Bookman Old Style"/>
        </w:rPr>
        <w:t>n cumplimiento de lo establecido en la Ley 1340 de 2009 y del Decreto</w:t>
      </w:r>
      <w:r w:rsidR="005112A7" w:rsidRPr="00E10F2E">
        <w:rPr>
          <w:rFonts w:ascii="Bookman Old Style" w:hAnsi="Bookman Old Style"/>
        </w:rPr>
        <w:t xml:space="preserve"> 2879 de 2010 </w:t>
      </w:r>
      <w:r w:rsidR="004760F4" w:rsidRPr="00E10F2E">
        <w:rPr>
          <w:rFonts w:ascii="Bookman Old Style" w:hAnsi="Bookman Old Style"/>
        </w:rPr>
        <w:t>la CREG informó a la Superintendencia de Industria y Comercio</w:t>
      </w:r>
      <w:r w:rsidRPr="00E10F2E">
        <w:rPr>
          <w:rFonts w:ascii="Bookman Old Style" w:hAnsi="Bookman Old Style"/>
        </w:rPr>
        <w:t xml:space="preserve"> sobre el proyecto de resolución. Mediante comunicación 11-83242-2-0, radicado CREG E-2011-007007 la Superintendencia de Industria y Comercio manifestó</w:t>
      </w:r>
      <w:r w:rsidR="00EC1545" w:rsidRPr="00E10F2E">
        <w:rPr>
          <w:rFonts w:ascii="Bookman Old Style" w:hAnsi="Bookman Old Style"/>
        </w:rPr>
        <w:t>:</w:t>
      </w:r>
      <w:r w:rsidRPr="00E10F2E">
        <w:rPr>
          <w:rFonts w:ascii="Bookman Old Style" w:hAnsi="Bookman Old Style"/>
        </w:rPr>
        <w:t xml:space="preserve"> </w:t>
      </w:r>
      <w:r w:rsidRPr="00E10F2E">
        <w:rPr>
          <w:rFonts w:ascii="Bookman Old Style" w:hAnsi="Bookman Old Style"/>
          <w:i/>
        </w:rPr>
        <w:t>“En conclusión, esta Superintendencia considera que la regulación vigente establecida por la CREG permite que las OPACGNI incentivarán la competencia y, a su vez, contribuirá a brindar una ma</w:t>
      </w:r>
      <w:r w:rsidR="00A63066" w:rsidRPr="00E10F2E">
        <w:rPr>
          <w:rFonts w:ascii="Bookman Old Style" w:hAnsi="Bookman Old Style"/>
          <w:i/>
        </w:rPr>
        <w:t>y</w:t>
      </w:r>
      <w:r w:rsidRPr="00E10F2E">
        <w:rPr>
          <w:rFonts w:ascii="Bookman Old Style" w:hAnsi="Bookman Old Style"/>
          <w:i/>
        </w:rPr>
        <w:t>or seguridad en el abastecimiento de largo plazo de gas natural.”</w:t>
      </w:r>
    </w:p>
    <w:p w:rsidR="001A00E7" w:rsidRPr="00E10F2E" w:rsidRDefault="001A00E7" w:rsidP="00323577">
      <w:pPr>
        <w:ind w:left="0"/>
        <w:jc w:val="both"/>
        <w:rPr>
          <w:rFonts w:ascii="Bookman Old Style" w:hAnsi="Bookman Old Style"/>
        </w:rPr>
      </w:pPr>
    </w:p>
    <w:p w:rsidR="00D34D8B" w:rsidRPr="00E10F2E" w:rsidRDefault="00D34D8B" w:rsidP="00323577">
      <w:pPr>
        <w:ind w:left="0"/>
        <w:jc w:val="both"/>
        <w:rPr>
          <w:rFonts w:ascii="Bookman Old Style" w:hAnsi="Bookman Old Style"/>
        </w:rPr>
      </w:pPr>
      <w:r w:rsidRPr="00E10F2E">
        <w:rPr>
          <w:rFonts w:ascii="Bookman Old Style" w:hAnsi="Bookman Old Style"/>
        </w:rPr>
        <w:t xml:space="preserve">La Comisión de Regulación de Energía y Gas, en su Sesión </w:t>
      </w:r>
      <w:r w:rsidR="00EA1B2C" w:rsidRPr="00E10F2E">
        <w:rPr>
          <w:rFonts w:ascii="Bookman Old Style" w:hAnsi="Bookman Old Style"/>
        </w:rPr>
        <w:t>495</w:t>
      </w:r>
      <w:r w:rsidR="006E3CD9" w:rsidRPr="00E10F2E">
        <w:rPr>
          <w:rFonts w:ascii="Bookman Old Style" w:hAnsi="Bookman Old Style"/>
        </w:rPr>
        <w:t xml:space="preserve"> </w:t>
      </w:r>
      <w:r w:rsidRPr="00E10F2E">
        <w:rPr>
          <w:rFonts w:ascii="Bookman Old Style" w:hAnsi="Bookman Old Style"/>
        </w:rPr>
        <w:t xml:space="preserve">del </w:t>
      </w:r>
      <w:r w:rsidR="00774198" w:rsidRPr="00E10F2E">
        <w:rPr>
          <w:rFonts w:ascii="Bookman Old Style" w:hAnsi="Bookman Old Style"/>
        </w:rPr>
        <w:t>19</w:t>
      </w:r>
      <w:r w:rsidR="002E5FB4" w:rsidRPr="00E10F2E">
        <w:rPr>
          <w:rFonts w:ascii="Bookman Old Style" w:hAnsi="Bookman Old Style"/>
        </w:rPr>
        <w:t xml:space="preserve"> </w:t>
      </w:r>
      <w:r w:rsidRPr="00E10F2E">
        <w:rPr>
          <w:rFonts w:ascii="Bookman Old Style" w:hAnsi="Bookman Old Style"/>
        </w:rPr>
        <w:t xml:space="preserve">de </w:t>
      </w:r>
      <w:r w:rsidR="00774198" w:rsidRPr="00E10F2E">
        <w:rPr>
          <w:rFonts w:ascii="Bookman Old Style" w:hAnsi="Bookman Old Style"/>
        </w:rPr>
        <w:t xml:space="preserve">agosto </w:t>
      </w:r>
      <w:r w:rsidRPr="00E10F2E">
        <w:rPr>
          <w:rFonts w:ascii="Bookman Old Style" w:hAnsi="Bookman Old Style"/>
        </w:rPr>
        <w:t>de 2011, acordó expedir esta resolución.</w:t>
      </w:r>
    </w:p>
    <w:p w:rsidR="00C435C3" w:rsidRPr="00E10F2E" w:rsidRDefault="00C435C3" w:rsidP="00323577">
      <w:pPr>
        <w:ind w:left="0"/>
        <w:rPr>
          <w:rFonts w:ascii="Bookman Old Style" w:hAnsi="Bookman Old Style"/>
        </w:rPr>
      </w:pPr>
    </w:p>
    <w:p w:rsidR="00C435C3" w:rsidRPr="00E10F2E" w:rsidRDefault="00C435C3" w:rsidP="00C435C3">
      <w:pPr>
        <w:ind w:left="0"/>
        <w:jc w:val="both"/>
        <w:rPr>
          <w:rFonts w:ascii="Bookman Old Style" w:hAnsi="Bookman Old Style"/>
        </w:rPr>
      </w:pPr>
    </w:p>
    <w:p w:rsidR="00C435C3" w:rsidRPr="00E10F2E" w:rsidRDefault="00C435C3" w:rsidP="00C435C3">
      <w:pPr>
        <w:suppressAutoHyphens/>
        <w:jc w:val="center"/>
        <w:rPr>
          <w:rFonts w:ascii="Bookman Old Style" w:hAnsi="Bookman Old Style"/>
          <w:spacing w:val="-3"/>
        </w:rPr>
      </w:pPr>
      <w:r w:rsidRPr="00E10F2E">
        <w:rPr>
          <w:rFonts w:ascii="Bookman Old Style" w:hAnsi="Bookman Old Style"/>
          <w:b/>
          <w:spacing w:val="-3"/>
        </w:rPr>
        <w:t>R E S U E L V E:</w:t>
      </w:r>
    </w:p>
    <w:p w:rsidR="00C435C3" w:rsidRPr="00E10F2E" w:rsidRDefault="00C435C3" w:rsidP="00C435C3">
      <w:pPr>
        <w:jc w:val="center"/>
        <w:rPr>
          <w:rFonts w:ascii="Bookman Old Style" w:hAnsi="Bookman Old Style"/>
        </w:rPr>
      </w:pPr>
    </w:p>
    <w:p w:rsidR="00547351" w:rsidRPr="00E10F2E" w:rsidRDefault="00547351" w:rsidP="00C435C3">
      <w:pPr>
        <w:jc w:val="center"/>
        <w:rPr>
          <w:rFonts w:ascii="Bookman Old Style" w:hAnsi="Bookman Old Style"/>
          <w:b/>
        </w:rPr>
      </w:pPr>
      <w:r w:rsidRPr="00E10F2E">
        <w:rPr>
          <w:rFonts w:ascii="Bookman Old Style" w:hAnsi="Bookman Old Style"/>
          <w:b/>
        </w:rPr>
        <w:t>CAP</w:t>
      </w:r>
      <w:r w:rsidR="002F6A4B" w:rsidRPr="00E10F2E">
        <w:rPr>
          <w:rFonts w:ascii="Bookman Old Style" w:hAnsi="Bookman Old Style"/>
          <w:b/>
        </w:rPr>
        <w:t>Í</w:t>
      </w:r>
      <w:r w:rsidRPr="00E10F2E">
        <w:rPr>
          <w:rFonts w:ascii="Bookman Old Style" w:hAnsi="Bookman Old Style"/>
          <w:b/>
        </w:rPr>
        <w:t>TULO I</w:t>
      </w:r>
    </w:p>
    <w:p w:rsidR="00547351" w:rsidRPr="00E10F2E" w:rsidRDefault="00547351" w:rsidP="00C435C3">
      <w:pPr>
        <w:jc w:val="center"/>
        <w:rPr>
          <w:rFonts w:ascii="Bookman Old Style" w:hAnsi="Bookman Old Style"/>
        </w:rPr>
      </w:pPr>
    </w:p>
    <w:p w:rsidR="008D1919" w:rsidRPr="00E10F2E" w:rsidRDefault="00955488" w:rsidP="00955488">
      <w:pPr>
        <w:ind w:left="0"/>
        <w:jc w:val="both"/>
        <w:rPr>
          <w:rFonts w:ascii="Bookman Old Style" w:hAnsi="Bookman Old Style"/>
        </w:rPr>
      </w:pPr>
      <w:r w:rsidRPr="00E10F2E">
        <w:rPr>
          <w:rFonts w:ascii="Bookman Old Style" w:hAnsi="Bookman Old Style"/>
          <w:b/>
        </w:rPr>
        <w:t>A</w:t>
      </w:r>
      <w:r w:rsidR="00D33CDE" w:rsidRPr="00E10F2E">
        <w:rPr>
          <w:rFonts w:ascii="Bookman Old Style" w:hAnsi="Bookman Old Style"/>
          <w:b/>
        </w:rPr>
        <w:t>RTÍCULO</w:t>
      </w:r>
      <w:r w:rsidRPr="00E10F2E">
        <w:rPr>
          <w:rFonts w:ascii="Bookman Old Style" w:hAnsi="Bookman Old Style"/>
          <w:b/>
        </w:rPr>
        <w:t xml:space="preserve"> 1. </w:t>
      </w:r>
      <w:r w:rsidR="00F73BFA" w:rsidRPr="00E10F2E">
        <w:rPr>
          <w:rFonts w:ascii="Bookman Old Style" w:hAnsi="Bookman Old Style"/>
          <w:b/>
        </w:rPr>
        <w:t>Definiciones</w:t>
      </w:r>
      <w:r w:rsidRPr="00E10F2E">
        <w:rPr>
          <w:rFonts w:ascii="Bookman Old Style" w:hAnsi="Bookman Old Style"/>
        </w:rPr>
        <w:t>.</w:t>
      </w:r>
      <w:r w:rsidR="00F73BFA" w:rsidRPr="00E10F2E">
        <w:rPr>
          <w:rFonts w:ascii="Bookman Old Style" w:hAnsi="Bookman Old Style"/>
        </w:rPr>
        <w:t xml:space="preserve"> Para la interpretación y aplicación de esta resolución se tendrá en cuenta, además de la definiciones establecidas en las Leyes 142 y 143 de 1994 y en las resoluciones vigentes de la CREG, las siguientes:</w:t>
      </w:r>
    </w:p>
    <w:p w:rsidR="00F73BFA" w:rsidRPr="00E10F2E" w:rsidRDefault="00F73BFA" w:rsidP="00955488">
      <w:pPr>
        <w:ind w:left="0"/>
        <w:jc w:val="both"/>
        <w:rPr>
          <w:rFonts w:ascii="Bookman Old Style" w:hAnsi="Bookman Old Style"/>
        </w:rPr>
      </w:pPr>
    </w:p>
    <w:p w:rsidR="00F73BFA" w:rsidRPr="00E10F2E" w:rsidRDefault="00F73BFA" w:rsidP="00955488">
      <w:pPr>
        <w:ind w:left="0"/>
        <w:jc w:val="both"/>
        <w:rPr>
          <w:rFonts w:ascii="Bookman Old Style" w:hAnsi="Bookman Old Style"/>
        </w:rPr>
      </w:pPr>
      <w:r w:rsidRPr="00E10F2E">
        <w:rPr>
          <w:rFonts w:ascii="Bookman Old Style" w:hAnsi="Bookman Old Style"/>
          <w:b/>
        </w:rPr>
        <w:t>Gas Natural Importado</w:t>
      </w:r>
      <w:r w:rsidR="00AB3FD3" w:rsidRPr="00E10F2E">
        <w:rPr>
          <w:rFonts w:ascii="Bookman Old Style" w:hAnsi="Bookman Old Style"/>
        </w:rPr>
        <w:t xml:space="preserve">: Gas Natural que se </w:t>
      </w:r>
      <w:r w:rsidR="003C0870" w:rsidRPr="00E10F2E">
        <w:rPr>
          <w:rFonts w:ascii="Bookman Old Style" w:hAnsi="Bookman Old Style"/>
        </w:rPr>
        <w:t>produce fuera del territorio nacional.</w:t>
      </w:r>
    </w:p>
    <w:p w:rsidR="00F73BFA" w:rsidRDefault="00F73BFA" w:rsidP="00955488">
      <w:pPr>
        <w:ind w:left="0"/>
        <w:jc w:val="both"/>
        <w:rPr>
          <w:rFonts w:ascii="Bookman Old Style" w:hAnsi="Bookman Old Style"/>
        </w:rPr>
      </w:pPr>
    </w:p>
    <w:p w:rsidR="00102AA6" w:rsidRPr="00E10F2E" w:rsidRDefault="00102AA6" w:rsidP="00955488">
      <w:pPr>
        <w:ind w:left="0"/>
        <w:jc w:val="both"/>
        <w:rPr>
          <w:rFonts w:ascii="Bookman Old Style" w:hAnsi="Bookman Old Style"/>
        </w:rPr>
      </w:pPr>
      <w:r w:rsidRPr="004B6EDA">
        <w:rPr>
          <w:rFonts w:ascii="Bookman Old Style" w:hAnsi="Bookman Old Style"/>
          <w:b/>
        </w:rPr>
        <w:t>Incumplimiento Calificado de Cronograma:</w:t>
      </w:r>
      <w:r w:rsidRPr="00102AA6">
        <w:rPr>
          <w:rFonts w:ascii="Bookman Old Style" w:hAnsi="Bookman Old Style"/>
        </w:rPr>
        <w:t xml:space="preserve"> Incumplimiento</w:t>
      </w:r>
      <w:r w:rsidR="00B26B13">
        <w:rPr>
          <w:rFonts w:ascii="Bookman Old Style" w:hAnsi="Bookman Old Style"/>
        </w:rPr>
        <w:t xml:space="preserve">, </w:t>
      </w:r>
      <w:r w:rsidR="00B26B13" w:rsidRPr="00102AA6">
        <w:rPr>
          <w:rFonts w:ascii="Bookman Old Style" w:hAnsi="Bookman Old Style"/>
        </w:rPr>
        <w:t xml:space="preserve">certificado por el auditor </w:t>
      </w:r>
      <w:r w:rsidR="00B26B13">
        <w:rPr>
          <w:rFonts w:ascii="Bookman Old Style" w:hAnsi="Bookman Old Style"/>
        </w:rPr>
        <w:t>de que trata esta resolución,</w:t>
      </w:r>
      <w:r w:rsidRPr="00102AA6">
        <w:rPr>
          <w:rFonts w:ascii="Bookman Old Style" w:hAnsi="Bookman Old Style"/>
        </w:rPr>
        <w:t xml:space="preserve"> del cronograma de construcción o puesta en operación</w:t>
      </w:r>
      <w:r>
        <w:rPr>
          <w:rFonts w:ascii="Bookman Old Style" w:hAnsi="Bookman Old Style"/>
        </w:rPr>
        <w:t xml:space="preserve"> de la </w:t>
      </w:r>
      <w:r w:rsidRPr="00102AA6">
        <w:rPr>
          <w:rFonts w:ascii="Bookman Old Style" w:hAnsi="Bookman Old Style"/>
        </w:rPr>
        <w:t xml:space="preserve">Nueva infraestructura para importación de gas natural, que permite prever que la puesta en operación de </w:t>
      </w:r>
      <w:r>
        <w:rPr>
          <w:rFonts w:ascii="Bookman Old Style" w:hAnsi="Bookman Old Style"/>
        </w:rPr>
        <w:t>la misma</w:t>
      </w:r>
      <w:r w:rsidR="00B26B13">
        <w:rPr>
          <w:rFonts w:ascii="Bookman Old Style" w:hAnsi="Bookman Old Style"/>
        </w:rPr>
        <w:t xml:space="preserve"> ocurrirá después del IPVO.</w:t>
      </w:r>
    </w:p>
    <w:p w:rsidR="004B6EDA" w:rsidRDefault="004B6EDA" w:rsidP="00955488">
      <w:pPr>
        <w:ind w:left="0"/>
        <w:jc w:val="both"/>
        <w:rPr>
          <w:rFonts w:ascii="Bookman Old Style" w:hAnsi="Bookman Old Style"/>
          <w:b/>
        </w:rPr>
      </w:pPr>
    </w:p>
    <w:p w:rsidR="00F73BFA" w:rsidRPr="00E10F2E" w:rsidRDefault="00F73BFA" w:rsidP="00955488">
      <w:pPr>
        <w:ind w:left="0"/>
        <w:jc w:val="both"/>
        <w:rPr>
          <w:rFonts w:ascii="Bookman Old Style" w:hAnsi="Bookman Old Style"/>
        </w:rPr>
      </w:pPr>
      <w:r w:rsidRPr="00E10F2E">
        <w:rPr>
          <w:rFonts w:ascii="Bookman Old Style" w:hAnsi="Bookman Old Style"/>
          <w:b/>
        </w:rPr>
        <w:lastRenderedPageBreak/>
        <w:t>Mercado Líquido</w:t>
      </w:r>
      <w:r w:rsidR="00EE6322">
        <w:rPr>
          <w:rFonts w:ascii="Bookman Old Style" w:hAnsi="Bookman Old Style"/>
          <w:b/>
        </w:rPr>
        <w:t xml:space="preserve"> de Gas Natural</w:t>
      </w:r>
      <w:r w:rsidR="00F71951" w:rsidRPr="00E10F2E">
        <w:rPr>
          <w:rFonts w:ascii="Bookman Old Style" w:hAnsi="Bookman Old Style"/>
          <w:b/>
        </w:rPr>
        <w:t>:</w:t>
      </w:r>
      <w:r w:rsidRPr="00E10F2E">
        <w:rPr>
          <w:rFonts w:ascii="Bookman Old Style" w:hAnsi="Bookman Old Style"/>
        </w:rPr>
        <w:t xml:space="preserve"> </w:t>
      </w:r>
      <w:r w:rsidR="003C0870" w:rsidRPr="00E10F2E">
        <w:rPr>
          <w:rFonts w:ascii="Bookman Old Style" w:hAnsi="Bookman Old Style"/>
        </w:rPr>
        <w:t>Mercado</w:t>
      </w:r>
      <w:r w:rsidR="00B12191" w:rsidRPr="00E10F2E">
        <w:rPr>
          <w:rFonts w:ascii="Bookman Old Style" w:hAnsi="Bookman Old Style"/>
        </w:rPr>
        <w:t xml:space="preserve"> de Gas Natural en donde participan </w:t>
      </w:r>
      <w:r w:rsidR="003C0870" w:rsidRPr="00E10F2E">
        <w:rPr>
          <w:rFonts w:ascii="Bookman Old Style" w:hAnsi="Bookman Old Style"/>
        </w:rPr>
        <w:t>compradores y vendedores</w:t>
      </w:r>
      <w:r w:rsidR="00B12191" w:rsidRPr="00E10F2E">
        <w:rPr>
          <w:rFonts w:ascii="Bookman Old Style" w:hAnsi="Bookman Old Style"/>
        </w:rPr>
        <w:t xml:space="preserve"> de diferentes pa</w:t>
      </w:r>
      <w:r w:rsidR="00FE7A3E" w:rsidRPr="00E10F2E">
        <w:rPr>
          <w:rFonts w:ascii="Bookman Old Style" w:hAnsi="Bookman Old Style"/>
        </w:rPr>
        <w:t>íses generando un alto volumen de comercio.</w:t>
      </w:r>
    </w:p>
    <w:p w:rsidR="008D1919" w:rsidRPr="00E10F2E" w:rsidRDefault="008D1919" w:rsidP="00C435C3">
      <w:pPr>
        <w:jc w:val="center"/>
        <w:rPr>
          <w:rFonts w:ascii="Bookman Old Style" w:hAnsi="Bookman Old Style"/>
        </w:rPr>
      </w:pPr>
    </w:p>
    <w:p w:rsidR="006617C8" w:rsidRPr="00E10F2E" w:rsidRDefault="00E1309F" w:rsidP="00CE3B98">
      <w:pPr>
        <w:ind w:left="0"/>
        <w:jc w:val="both"/>
        <w:rPr>
          <w:rFonts w:ascii="Bookman Old Style" w:hAnsi="Bookman Old Style"/>
        </w:rPr>
      </w:pPr>
      <w:r w:rsidRPr="00E10F2E">
        <w:rPr>
          <w:rFonts w:ascii="Bookman Old Style" w:hAnsi="Bookman Old Style"/>
          <w:b/>
        </w:rPr>
        <w:t xml:space="preserve">Nueva infraestructura </w:t>
      </w:r>
      <w:r w:rsidR="009311B5">
        <w:rPr>
          <w:rFonts w:ascii="Bookman Old Style" w:hAnsi="Bookman Old Style"/>
          <w:b/>
        </w:rPr>
        <w:t xml:space="preserve">o Nueva infraestructura </w:t>
      </w:r>
      <w:r w:rsidRPr="00E10F2E">
        <w:rPr>
          <w:rFonts w:ascii="Bookman Old Style" w:hAnsi="Bookman Old Style"/>
          <w:b/>
        </w:rPr>
        <w:t xml:space="preserve">para importación de gas natural: </w:t>
      </w:r>
      <w:r w:rsidR="006B060E" w:rsidRPr="00E10F2E">
        <w:rPr>
          <w:rFonts w:ascii="Bookman Old Style" w:hAnsi="Bookman Old Style"/>
        </w:rPr>
        <w:t xml:space="preserve">Es el conjunto de todos los elementos y equipos que es necesario construir e instalar </w:t>
      </w:r>
      <w:r w:rsidR="006617C8" w:rsidRPr="00E10F2E">
        <w:rPr>
          <w:rFonts w:ascii="Bookman Old Style" w:hAnsi="Bookman Old Style"/>
        </w:rPr>
        <w:t>para realizar la importación de gas natural</w:t>
      </w:r>
      <w:r w:rsidR="005A0BA0" w:rsidRPr="00E10F2E">
        <w:rPr>
          <w:rFonts w:ascii="Bookman Old Style" w:hAnsi="Bookman Old Style"/>
        </w:rPr>
        <w:t xml:space="preserve"> en estado líquido</w:t>
      </w:r>
      <w:r w:rsidR="0046306D" w:rsidRPr="00E10F2E">
        <w:rPr>
          <w:rFonts w:ascii="Bookman Old Style" w:hAnsi="Bookman Old Style"/>
        </w:rPr>
        <w:t>. No se considera como nueva infraestructura</w:t>
      </w:r>
      <w:r w:rsidR="00DB57B3" w:rsidRPr="00E10F2E">
        <w:rPr>
          <w:rFonts w:ascii="Bookman Old Style" w:hAnsi="Bookman Old Style"/>
        </w:rPr>
        <w:t xml:space="preserve"> la adición </w:t>
      </w:r>
      <w:r w:rsidR="0046306D" w:rsidRPr="00E10F2E">
        <w:rPr>
          <w:rFonts w:ascii="Bookman Old Style" w:hAnsi="Bookman Old Style"/>
        </w:rPr>
        <w:t xml:space="preserve">o ampliación </w:t>
      </w:r>
      <w:r w:rsidR="00EE6322">
        <w:rPr>
          <w:rFonts w:ascii="Bookman Old Style" w:hAnsi="Bookman Old Style"/>
        </w:rPr>
        <w:t>a</w:t>
      </w:r>
      <w:r w:rsidR="00DB57B3" w:rsidRPr="00E10F2E">
        <w:rPr>
          <w:rFonts w:ascii="Bookman Old Style" w:hAnsi="Bookman Old Style"/>
        </w:rPr>
        <w:t xml:space="preserve"> </w:t>
      </w:r>
      <w:r w:rsidR="00FF1545" w:rsidRPr="00E10F2E">
        <w:rPr>
          <w:rFonts w:ascii="Bookman Old Style" w:hAnsi="Bookman Old Style"/>
        </w:rPr>
        <w:t>infraestructura existente</w:t>
      </w:r>
      <w:r w:rsidR="002D6EA5" w:rsidRPr="00E10F2E">
        <w:rPr>
          <w:rFonts w:ascii="Bookman Old Style" w:hAnsi="Bookman Old Style"/>
        </w:rPr>
        <w:t>.</w:t>
      </w:r>
    </w:p>
    <w:p w:rsidR="006617C8" w:rsidRPr="00E10F2E" w:rsidRDefault="006617C8" w:rsidP="00CE3B98">
      <w:pPr>
        <w:jc w:val="both"/>
        <w:rPr>
          <w:rFonts w:ascii="Bookman Old Style" w:hAnsi="Bookman Old Style"/>
        </w:rPr>
      </w:pPr>
    </w:p>
    <w:p w:rsidR="00F73BFA" w:rsidRPr="00E10F2E" w:rsidRDefault="00AB3FD3" w:rsidP="00863459">
      <w:pPr>
        <w:ind w:left="0"/>
        <w:jc w:val="both"/>
        <w:rPr>
          <w:rFonts w:ascii="Bookman Old Style" w:hAnsi="Bookman Old Style"/>
        </w:rPr>
      </w:pPr>
      <w:r w:rsidRPr="00E10F2E">
        <w:rPr>
          <w:rFonts w:ascii="Bookman Old Style" w:hAnsi="Bookman Old Style"/>
          <w:b/>
        </w:rPr>
        <w:t>Período de Riesgo de Desabastecimiento</w:t>
      </w:r>
      <w:r w:rsidR="00F71951" w:rsidRPr="00E10F2E">
        <w:rPr>
          <w:rFonts w:ascii="Bookman Old Style" w:hAnsi="Bookman Old Style"/>
          <w:b/>
        </w:rPr>
        <w:t>:</w:t>
      </w:r>
      <w:r w:rsidR="00F71951" w:rsidRPr="00E10F2E">
        <w:rPr>
          <w:rFonts w:ascii="Bookman Old Style" w:hAnsi="Bookman Old Style"/>
        </w:rPr>
        <w:t xml:space="preserve"> Período de tiempo en el cual existe riesgo de desatención de la demanda de energía eléctrica del Sistema Interconectado Nacional por </w:t>
      </w:r>
      <w:r w:rsidR="00EE6322">
        <w:rPr>
          <w:rFonts w:ascii="Bookman Old Style" w:hAnsi="Bookman Old Style"/>
        </w:rPr>
        <w:t>limitación</w:t>
      </w:r>
      <w:r w:rsidR="00EE6322" w:rsidRPr="00E10F2E">
        <w:rPr>
          <w:rFonts w:ascii="Bookman Old Style" w:hAnsi="Bookman Old Style"/>
        </w:rPr>
        <w:t xml:space="preserve"> </w:t>
      </w:r>
      <w:r w:rsidR="00F71951" w:rsidRPr="00E10F2E">
        <w:rPr>
          <w:rFonts w:ascii="Bookman Old Style" w:hAnsi="Bookman Old Style"/>
        </w:rPr>
        <w:t>en la oferta de energía.</w:t>
      </w:r>
    </w:p>
    <w:p w:rsidR="00AB3FD3" w:rsidRPr="00E10F2E" w:rsidRDefault="00AB3FD3" w:rsidP="00863459">
      <w:pPr>
        <w:ind w:left="0"/>
        <w:jc w:val="both"/>
        <w:rPr>
          <w:rFonts w:ascii="Bookman Old Style" w:hAnsi="Bookman Old Style"/>
        </w:rPr>
      </w:pPr>
    </w:p>
    <w:p w:rsidR="00F73BFA" w:rsidRPr="00E10F2E" w:rsidRDefault="00F73BFA" w:rsidP="00C435C3">
      <w:pPr>
        <w:jc w:val="center"/>
        <w:rPr>
          <w:rFonts w:ascii="Bookman Old Style" w:hAnsi="Bookman Old Style"/>
        </w:rPr>
      </w:pPr>
    </w:p>
    <w:p w:rsidR="00547351" w:rsidRPr="004B6EDA" w:rsidRDefault="002F6A4B" w:rsidP="00547351">
      <w:pPr>
        <w:jc w:val="center"/>
        <w:rPr>
          <w:rFonts w:ascii="Bookman Old Style" w:hAnsi="Bookman Old Style"/>
          <w:b/>
        </w:rPr>
      </w:pPr>
      <w:r w:rsidRPr="00E10F2E">
        <w:rPr>
          <w:rFonts w:ascii="Bookman Old Style" w:hAnsi="Bookman Old Style"/>
          <w:b/>
        </w:rPr>
        <w:t>CAPÍ</w:t>
      </w:r>
      <w:r w:rsidR="00547351" w:rsidRPr="004B6EDA">
        <w:rPr>
          <w:rFonts w:ascii="Bookman Old Style" w:hAnsi="Bookman Old Style"/>
          <w:b/>
        </w:rPr>
        <w:t>TULO II</w:t>
      </w:r>
    </w:p>
    <w:p w:rsidR="00CF18E6" w:rsidRPr="004B6EDA" w:rsidRDefault="00CF18E6" w:rsidP="00547351">
      <w:pPr>
        <w:jc w:val="center"/>
        <w:rPr>
          <w:rFonts w:ascii="Bookman Old Style" w:hAnsi="Bookman Old Style"/>
          <w:b/>
        </w:rPr>
      </w:pPr>
    </w:p>
    <w:p w:rsidR="00547351" w:rsidRPr="004B6EDA" w:rsidRDefault="00CF18E6" w:rsidP="00547351">
      <w:pPr>
        <w:jc w:val="center"/>
        <w:rPr>
          <w:rFonts w:ascii="Bookman Old Style" w:hAnsi="Bookman Old Style"/>
          <w:b/>
        </w:rPr>
      </w:pPr>
      <w:r w:rsidRPr="004B6EDA">
        <w:rPr>
          <w:rFonts w:ascii="Bookman Old Style" w:hAnsi="Bookman Old Style"/>
          <w:b/>
        </w:rPr>
        <w:t xml:space="preserve">PARTICIPACIÓN EN LA </w:t>
      </w:r>
      <w:r w:rsidR="0078490E" w:rsidRPr="00E10F2E">
        <w:rPr>
          <w:rFonts w:ascii="Bookman Old Style" w:hAnsi="Bookman Old Style"/>
          <w:b/>
        </w:rPr>
        <w:t xml:space="preserve">SUBASTA O EN EL MECANISMO DE </w:t>
      </w:r>
      <w:r w:rsidRPr="004B6EDA">
        <w:rPr>
          <w:rFonts w:ascii="Bookman Old Style" w:hAnsi="Bookman Old Style"/>
          <w:b/>
        </w:rPr>
        <w:t xml:space="preserve">ASIGNACIÓN DE OBLIGACIONES DE ENERGÍA FIRME CON GAS </w:t>
      </w:r>
      <w:r w:rsidR="000D4303">
        <w:rPr>
          <w:rFonts w:ascii="Bookman Old Style" w:hAnsi="Bookman Old Style"/>
          <w:b/>
        </w:rPr>
        <w:t xml:space="preserve">NATURAL </w:t>
      </w:r>
      <w:r w:rsidRPr="004B6EDA">
        <w:rPr>
          <w:rFonts w:ascii="Bookman Old Style" w:hAnsi="Bookman Old Style"/>
          <w:b/>
        </w:rPr>
        <w:t>IMPORTADO</w:t>
      </w:r>
    </w:p>
    <w:p w:rsidR="00547351" w:rsidRPr="00E10F2E" w:rsidRDefault="00547351" w:rsidP="00C435C3">
      <w:pPr>
        <w:jc w:val="center"/>
        <w:rPr>
          <w:rFonts w:ascii="Bookman Old Style" w:hAnsi="Bookman Old Style"/>
        </w:rPr>
      </w:pPr>
    </w:p>
    <w:p w:rsidR="002C414B" w:rsidRPr="007955C6" w:rsidRDefault="002C414B" w:rsidP="00C435C3">
      <w:pPr>
        <w:jc w:val="center"/>
        <w:rPr>
          <w:rFonts w:ascii="Bookman Old Style" w:hAnsi="Bookman Old Style"/>
        </w:rPr>
      </w:pPr>
    </w:p>
    <w:p w:rsidR="00DB4F37" w:rsidRPr="00E10F2E" w:rsidRDefault="002A782A" w:rsidP="00DB4F37">
      <w:pPr>
        <w:ind w:left="0"/>
        <w:jc w:val="both"/>
        <w:rPr>
          <w:rFonts w:ascii="Bookman Old Style" w:hAnsi="Bookman Old Style"/>
        </w:rPr>
      </w:pPr>
      <w:r w:rsidRPr="00E10F2E">
        <w:rPr>
          <w:rFonts w:ascii="Bookman Old Style" w:hAnsi="Bookman Old Style"/>
          <w:b/>
        </w:rPr>
        <w:t>A</w:t>
      </w:r>
      <w:r w:rsidR="00D33CDE" w:rsidRPr="00E10F2E">
        <w:rPr>
          <w:rFonts w:ascii="Bookman Old Style" w:hAnsi="Bookman Old Style"/>
          <w:b/>
        </w:rPr>
        <w:t>RTÍCULO</w:t>
      </w:r>
      <w:r w:rsidRPr="00E10F2E">
        <w:rPr>
          <w:rFonts w:ascii="Bookman Old Style" w:hAnsi="Bookman Old Style"/>
          <w:b/>
        </w:rPr>
        <w:t xml:space="preserve"> </w:t>
      </w:r>
      <w:r w:rsidR="00FA60CE" w:rsidRPr="00E10F2E">
        <w:rPr>
          <w:rFonts w:ascii="Bookman Old Style" w:hAnsi="Bookman Old Style"/>
          <w:b/>
        </w:rPr>
        <w:t>2</w:t>
      </w:r>
      <w:r w:rsidRPr="00E10F2E">
        <w:rPr>
          <w:rFonts w:ascii="Bookman Old Style" w:hAnsi="Bookman Old Style"/>
          <w:b/>
        </w:rPr>
        <w:t xml:space="preserve">. </w:t>
      </w:r>
      <w:r w:rsidR="00DB4F37" w:rsidRPr="00E10F2E">
        <w:rPr>
          <w:rFonts w:ascii="Bookman Old Style" w:hAnsi="Bookman Old Style"/>
          <w:b/>
        </w:rPr>
        <w:t>Opción para participar en l</w:t>
      </w:r>
      <w:r w:rsidR="00FA60CE" w:rsidRPr="00E10F2E">
        <w:rPr>
          <w:rFonts w:ascii="Bookman Old Style" w:hAnsi="Bookman Old Style"/>
          <w:b/>
        </w:rPr>
        <w:t xml:space="preserve">as </w:t>
      </w:r>
      <w:r w:rsidR="00DB4F37" w:rsidRPr="00E10F2E">
        <w:rPr>
          <w:rFonts w:ascii="Bookman Old Style" w:hAnsi="Bookman Old Style"/>
          <w:b/>
        </w:rPr>
        <w:t>asignaci</w:t>
      </w:r>
      <w:r w:rsidR="00FA60CE" w:rsidRPr="00E10F2E">
        <w:rPr>
          <w:rFonts w:ascii="Bookman Old Style" w:hAnsi="Bookman Old Style"/>
          <w:b/>
        </w:rPr>
        <w:t xml:space="preserve">ones del Cargo por Confiabilidad </w:t>
      </w:r>
      <w:r w:rsidR="00DB4F37" w:rsidRPr="00E10F2E">
        <w:rPr>
          <w:rFonts w:ascii="Bookman Old Style" w:hAnsi="Bookman Old Style"/>
          <w:b/>
        </w:rPr>
        <w:t>con planta</w:t>
      </w:r>
      <w:r w:rsidR="00FA60CE" w:rsidRPr="00E10F2E">
        <w:rPr>
          <w:rFonts w:ascii="Bookman Old Style" w:hAnsi="Bookman Old Style"/>
          <w:b/>
        </w:rPr>
        <w:t>s</w:t>
      </w:r>
      <w:r w:rsidR="00DB4F37" w:rsidRPr="00E10F2E">
        <w:rPr>
          <w:rFonts w:ascii="Bookman Old Style" w:hAnsi="Bookman Old Style"/>
          <w:b/>
        </w:rPr>
        <w:t xml:space="preserve"> y/o unidades térmicas que utilicen gas natural importado</w:t>
      </w:r>
      <w:r w:rsidR="002A3C52" w:rsidRPr="00E10F2E">
        <w:rPr>
          <w:rFonts w:ascii="Bookman Old Style" w:hAnsi="Bookman Old Style"/>
          <w:b/>
        </w:rPr>
        <w:t>,</w:t>
      </w:r>
      <w:r w:rsidR="00FA60CE" w:rsidRPr="00E10F2E">
        <w:rPr>
          <w:rFonts w:ascii="Bookman Old Style" w:hAnsi="Bookman Old Style"/>
          <w:b/>
        </w:rPr>
        <w:t xml:space="preserve"> OPACGNI</w:t>
      </w:r>
      <w:r w:rsidR="00DB4F37" w:rsidRPr="00E10F2E">
        <w:rPr>
          <w:rFonts w:ascii="Bookman Old Style" w:hAnsi="Bookman Old Style"/>
        </w:rPr>
        <w:t xml:space="preserve">. Quienes aspiren a participar en asignaciones de Obligaciones de Energía Firme </w:t>
      </w:r>
      <w:r w:rsidR="00FA60CE" w:rsidRPr="00E10F2E">
        <w:rPr>
          <w:rFonts w:ascii="Bookman Old Style" w:hAnsi="Bookman Old Style"/>
        </w:rPr>
        <w:t xml:space="preserve">del Cargo por Confiabilidad </w:t>
      </w:r>
      <w:r w:rsidR="00DB4F37" w:rsidRPr="00E10F2E">
        <w:rPr>
          <w:rFonts w:ascii="Bookman Old Style" w:hAnsi="Bookman Old Style"/>
        </w:rPr>
        <w:t>con plantas y/o unidades térmicas podrán utilizar gas natural importado</w:t>
      </w:r>
      <w:r w:rsidR="00681517" w:rsidRPr="00E10F2E">
        <w:rPr>
          <w:rFonts w:ascii="Bookman Old Style" w:hAnsi="Bookman Old Style"/>
        </w:rPr>
        <w:t xml:space="preserve"> desde un mercado líquido</w:t>
      </w:r>
      <w:r w:rsidR="00FA60CE" w:rsidRPr="00E10F2E">
        <w:rPr>
          <w:rFonts w:ascii="Bookman Old Style" w:hAnsi="Bookman Old Style"/>
        </w:rPr>
        <w:t xml:space="preserve"> </w:t>
      </w:r>
      <w:r w:rsidR="00DB4F37" w:rsidRPr="00E10F2E">
        <w:rPr>
          <w:rFonts w:ascii="Bookman Old Style" w:hAnsi="Bookman Old Style"/>
        </w:rPr>
        <w:t xml:space="preserve">para respaldar su ENFICC, </w:t>
      </w:r>
      <w:r w:rsidR="00681517" w:rsidRPr="00E10F2E">
        <w:rPr>
          <w:rFonts w:ascii="Bookman Old Style" w:hAnsi="Bookman Old Style"/>
        </w:rPr>
        <w:t xml:space="preserve">para lo cual deberán cumplir </w:t>
      </w:r>
      <w:r w:rsidR="00DB4F37" w:rsidRPr="00E10F2E">
        <w:rPr>
          <w:rFonts w:ascii="Bookman Old Style" w:hAnsi="Bookman Old Style"/>
        </w:rPr>
        <w:t xml:space="preserve">las </w:t>
      </w:r>
      <w:r w:rsidR="00E32D30">
        <w:rPr>
          <w:rFonts w:ascii="Bookman Old Style" w:hAnsi="Bookman Old Style"/>
        </w:rPr>
        <w:t>disposiciones</w:t>
      </w:r>
      <w:r w:rsidR="00E32D30" w:rsidRPr="00E10F2E">
        <w:rPr>
          <w:rFonts w:ascii="Bookman Old Style" w:hAnsi="Bookman Old Style"/>
        </w:rPr>
        <w:t xml:space="preserve"> </w:t>
      </w:r>
      <w:r w:rsidR="00EA72EE">
        <w:rPr>
          <w:rFonts w:ascii="Bookman Old Style" w:hAnsi="Bookman Old Style"/>
        </w:rPr>
        <w:t xml:space="preserve">contenidas </w:t>
      </w:r>
      <w:r w:rsidR="00DB4F37" w:rsidRPr="00E10F2E">
        <w:rPr>
          <w:rFonts w:ascii="Bookman Old Style" w:hAnsi="Bookman Old Style"/>
        </w:rPr>
        <w:t xml:space="preserve">en esta resolución. </w:t>
      </w:r>
    </w:p>
    <w:p w:rsidR="00681517" w:rsidRPr="00E10F2E" w:rsidRDefault="00681517" w:rsidP="007C74ED">
      <w:pPr>
        <w:ind w:left="0"/>
        <w:jc w:val="both"/>
        <w:rPr>
          <w:rFonts w:ascii="Bookman Old Style" w:hAnsi="Bookman Old Style"/>
          <w:b/>
        </w:rPr>
      </w:pPr>
    </w:p>
    <w:p w:rsidR="007C74ED" w:rsidRPr="00E10F2E" w:rsidRDefault="007C74ED" w:rsidP="007C74ED">
      <w:pPr>
        <w:ind w:left="0"/>
        <w:jc w:val="both"/>
        <w:rPr>
          <w:rFonts w:ascii="Bookman Old Style" w:hAnsi="Bookman Old Style"/>
        </w:rPr>
      </w:pPr>
      <w:r w:rsidRPr="00E10F2E">
        <w:rPr>
          <w:rFonts w:ascii="Bookman Old Style" w:hAnsi="Bookman Old Style"/>
          <w:b/>
        </w:rPr>
        <w:t>A</w:t>
      </w:r>
      <w:r w:rsidR="00D33CDE" w:rsidRPr="00E10F2E">
        <w:rPr>
          <w:rFonts w:ascii="Bookman Old Style" w:hAnsi="Bookman Old Style"/>
          <w:b/>
        </w:rPr>
        <w:t>RTÍCULO</w:t>
      </w:r>
      <w:r w:rsidRPr="00E10F2E">
        <w:rPr>
          <w:rFonts w:ascii="Bookman Old Style" w:hAnsi="Bookman Old Style"/>
          <w:b/>
        </w:rPr>
        <w:t xml:space="preserve"> </w:t>
      </w:r>
      <w:r w:rsidR="00FA60CE" w:rsidRPr="00E10F2E">
        <w:rPr>
          <w:rFonts w:ascii="Bookman Old Style" w:hAnsi="Bookman Old Style"/>
          <w:b/>
        </w:rPr>
        <w:t>3</w:t>
      </w:r>
      <w:r w:rsidRPr="00E10F2E">
        <w:rPr>
          <w:rFonts w:ascii="Bookman Old Style" w:hAnsi="Bookman Old Style"/>
          <w:b/>
        </w:rPr>
        <w:t xml:space="preserve">. Requisitos para acogerse a la </w:t>
      </w:r>
      <w:r w:rsidR="00FA60CE" w:rsidRPr="00E10F2E">
        <w:rPr>
          <w:rFonts w:ascii="Bookman Old Style" w:hAnsi="Bookman Old Style"/>
          <w:b/>
        </w:rPr>
        <w:t>OPACGNI</w:t>
      </w:r>
      <w:r w:rsidRPr="00E10F2E">
        <w:rPr>
          <w:rFonts w:ascii="Bookman Old Style" w:hAnsi="Bookman Old Style"/>
        </w:rPr>
        <w:t xml:space="preserve">. Para acogerse a la </w:t>
      </w:r>
      <w:r w:rsidR="00FA60CE" w:rsidRPr="00E10F2E">
        <w:rPr>
          <w:rFonts w:ascii="Bookman Old Style" w:hAnsi="Bookman Old Style"/>
        </w:rPr>
        <w:t>OPACGNI</w:t>
      </w:r>
      <w:r w:rsidRPr="00E10F2E">
        <w:rPr>
          <w:rFonts w:ascii="Bookman Old Style" w:hAnsi="Bookman Old Style"/>
        </w:rPr>
        <w:t xml:space="preserve"> el representante de la planta y/o unidad de generación térmica deberá manifestarlo por escrito a la CREG </w:t>
      </w:r>
      <w:r w:rsidR="00F32FB9" w:rsidRPr="00E10F2E">
        <w:rPr>
          <w:rFonts w:ascii="Bookman Old Style" w:hAnsi="Bookman Old Style"/>
        </w:rPr>
        <w:t>e</w:t>
      </w:r>
      <w:r w:rsidR="00976878" w:rsidRPr="00E10F2E">
        <w:rPr>
          <w:rFonts w:ascii="Bookman Old Style" w:hAnsi="Bookman Old Style"/>
        </w:rPr>
        <w:t>n</w:t>
      </w:r>
      <w:r w:rsidR="00F32FB9" w:rsidRPr="00E10F2E">
        <w:rPr>
          <w:rFonts w:ascii="Bookman Old Style" w:hAnsi="Bookman Old Style"/>
        </w:rPr>
        <w:t xml:space="preserve"> la oportunidad que se establezca en </w:t>
      </w:r>
      <w:r w:rsidRPr="00E10F2E">
        <w:rPr>
          <w:rFonts w:ascii="Bookman Old Style" w:hAnsi="Bookman Old Style"/>
        </w:rPr>
        <w:t>el cronograma que defina la Comisión en cumplimiento del artículo 18 de la Resolución CREG 071 de 2006, indicando por lo menos la siguiente información y cumpliendo las siguientes reglas:</w:t>
      </w:r>
    </w:p>
    <w:p w:rsidR="007C74ED" w:rsidRPr="00E10F2E" w:rsidRDefault="007C74ED" w:rsidP="007C74ED">
      <w:pPr>
        <w:ind w:left="0"/>
        <w:jc w:val="both"/>
        <w:rPr>
          <w:rFonts w:ascii="Bookman Old Style" w:hAnsi="Bookman Old Style"/>
        </w:rPr>
      </w:pPr>
    </w:p>
    <w:p w:rsidR="007C74ED" w:rsidRPr="00E10F2E" w:rsidRDefault="00FF2AAE" w:rsidP="007C74ED">
      <w:pPr>
        <w:pStyle w:val="Prrafodelista"/>
        <w:numPr>
          <w:ilvl w:val="0"/>
          <w:numId w:val="16"/>
        </w:numPr>
        <w:ind w:left="426"/>
        <w:jc w:val="both"/>
        <w:rPr>
          <w:rFonts w:ascii="Bookman Old Style" w:hAnsi="Bookman Old Style"/>
          <w:sz w:val="24"/>
          <w:szCs w:val="24"/>
        </w:rPr>
      </w:pPr>
      <w:r w:rsidRPr="00E10F2E">
        <w:rPr>
          <w:rFonts w:ascii="Bookman Old Style" w:hAnsi="Bookman Old Style"/>
          <w:sz w:val="24"/>
          <w:szCs w:val="24"/>
        </w:rPr>
        <w:t>Deberá presentar una d</w:t>
      </w:r>
      <w:r w:rsidR="007C74ED" w:rsidRPr="00E10F2E">
        <w:rPr>
          <w:rFonts w:ascii="Bookman Old Style" w:hAnsi="Bookman Old Style"/>
          <w:sz w:val="24"/>
          <w:szCs w:val="24"/>
        </w:rPr>
        <w:t xml:space="preserve">eclaración de que cumplirá las condiciones establecidas en el artículo </w:t>
      </w:r>
      <w:r w:rsidR="00FA60CE" w:rsidRPr="00E10F2E">
        <w:rPr>
          <w:rFonts w:ascii="Bookman Old Style" w:hAnsi="Bookman Old Style"/>
          <w:sz w:val="24"/>
          <w:szCs w:val="24"/>
        </w:rPr>
        <w:t>4</w:t>
      </w:r>
      <w:r w:rsidR="007C74ED" w:rsidRPr="00E10F2E">
        <w:rPr>
          <w:rFonts w:ascii="Bookman Old Style" w:hAnsi="Bookman Old Style"/>
          <w:sz w:val="24"/>
          <w:szCs w:val="24"/>
        </w:rPr>
        <w:t xml:space="preserve"> </w:t>
      </w:r>
      <w:r w:rsidR="00F713B9" w:rsidRPr="00E10F2E">
        <w:rPr>
          <w:rFonts w:ascii="Bookman Old Style" w:hAnsi="Bookman Old Style"/>
          <w:sz w:val="24"/>
          <w:szCs w:val="24"/>
        </w:rPr>
        <w:t xml:space="preserve">de esta resolución </w:t>
      </w:r>
      <w:r w:rsidR="007C74ED" w:rsidRPr="00E10F2E">
        <w:rPr>
          <w:rFonts w:ascii="Bookman Old Style" w:hAnsi="Bookman Old Style"/>
          <w:sz w:val="24"/>
          <w:szCs w:val="24"/>
        </w:rPr>
        <w:t xml:space="preserve">en caso de que </w:t>
      </w:r>
      <w:r w:rsidR="00D0590C" w:rsidRPr="00E10F2E">
        <w:rPr>
          <w:rFonts w:ascii="Bookman Old Style" w:hAnsi="Bookman Old Style"/>
          <w:sz w:val="24"/>
          <w:szCs w:val="24"/>
        </w:rPr>
        <w:t xml:space="preserve">se </w:t>
      </w:r>
      <w:r w:rsidR="007C74ED" w:rsidRPr="00E10F2E">
        <w:rPr>
          <w:rFonts w:ascii="Bookman Old Style" w:hAnsi="Bookman Old Style"/>
          <w:sz w:val="24"/>
          <w:szCs w:val="24"/>
        </w:rPr>
        <w:t>requiera nueva infraestructura para importar gas natural.</w:t>
      </w:r>
    </w:p>
    <w:p w:rsidR="007C74ED" w:rsidRPr="00E10F2E" w:rsidRDefault="007C74ED" w:rsidP="007C74ED">
      <w:pPr>
        <w:pStyle w:val="Prrafodelista"/>
        <w:ind w:left="426"/>
        <w:jc w:val="both"/>
        <w:rPr>
          <w:rFonts w:ascii="Bookman Old Style" w:hAnsi="Bookman Old Style"/>
          <w:sz w:val="24"/>
          <w:szCs w:val="24"/>
        </w:rPr>
      </w:pPr>
    </w:p>
    <w:p w:rsidR="007C74ED" w:rsidRPr="00E10F2E" w:rsidRDefault="0085683A" w:rsidP="007C74ED">
      <w:pPr>
        <w:pStyle w:val="Prrafodelista"/>
        <w:numPr>
          <w:ilvl w:val="0"/>
          <w:numId w:val="16"/>
        </w:numPr>
        <w:ind w:left="426"/>
        <w:jc w:val="both"/>
        <w:rPr>
          <w:rFonts w:ascii="Bookman Old Style" w:hAnsi="Bookman Old Style"/>
          <w:sz w:val="24"/>
          <w:szCs w:val="24"/>
        </w:rPr>
      </w:pPr>
      <w:r w:rsidRPr="00E10F2E">
        <w:rPr>
          <w:rFonts w:ascii="Bookman Old Style" w:hAnsi="Bookman Old Style"/>
          <w:sz w:val="24"/>
          <w:szCs w:val="24"/>
        </w:rPr>
        <w:t>Deberá señalar las c</w:t>
      </w:r>
      <w:r w:rsidR="007C74ED" w:rsidRPr="00E10F2E">
        <w:rPr>
          <w:rFonts w:ascii="Bookman Old Style" w:hAnsi="Bookman Old Style"/>
          <w:sz w:val="24"/>
          <w:szCs w:val="24"/>
        </w:rPr>
        <w:t xml:space="preserve">antidades de gas a respaldar con gas importado para lo cual se deberán utilizar los formatos del Anexo 5 de la Resolución CREG 071 de 2006. </w:t>
      </w:r>
    </w:p>
    <w:p w:rsidR="007C74ED" w:rsidRPr="00E10F2E" w:rsidRDefault="007C74ED" w:rsidP="007C74ED">
      <w:pPr>
        <w:ind w:left="426"/>
        <w:jc w:val="both"/>
        <w:rPr>
          <w:rFonts w:ascii="Bookman Old Style" w:hAnsi="Bookman Old Style"/>
        </w:rPr>
      </w:pPr>
    </w:p>
    <w:p w:rsidR="007C74ED" w:rsidRPr="00E10F2E" w:rsidRDefault="00A8486F" w:rsidP="007C74ED">
      <w:pPr>
        <w:pStyle w:val="Prrafodelista"/>
        <w:numPr>
          <w:ilvl w:val="0"/>
          <w:numId w:val="16"/>
        </w:numPr>
        <w:ind w:left="426"/>
        <w:jc w:val="both"/>
        <w:rPr>
          <w:rFonts w:ascii="Bookman Old Style" w:hAnsi="Bookman Old Style"/>
          <w:sz w:val="24"/>
          <w:szCs w:val="24"/>
        </w:rPr>
      </w:pPr>
      <w:r w:rsidRPr="00E10F2E">
        <w:rPr>
          <w:rFonts w:ascii="Bookman Old Style" w:hAnsi="Bookman Old Style"/>
          <w:sz w:val="24"/>
          <w:szCs w:val="24"/>
        </w:rPr>
        <w:t>Deberá indicar el a</w:t>
      </w:r>
      <w:r w:rsidR="007C74ED" w:rsidRPr="00E10F2E">
        <w:rPr>
          <w:rFonts w:ascii="Bookman Old Style" w:hAnsi="Bookman Old Style"/>
          <w:sz w:val="24"/>
          <w:szCs w:val="24"/>
        </w:rPr>
        <w:t>ño o años de vigencia de la Obligación de Energía Firme que va a respaldar.</w:t>
      </w:r>
    </w:p>
    <w:p w:rsidR="007C74ED" w:rsidRPr="00E10F2E" w:rsidRDefault="007C74ED" w:rsidP="007C74ED">
      <w:pPr>
        <w:ind w:left="426"/>
        <w:jc w:val="both"/>
        <w:rPr>
          <w:rFonts w:ascii="Bookman Old Style" w:hAnsi="Bookman Old Style"/>
        </w:rPr>
      </w:pPr>
    </w:p>
    <w:p w:rsidR="007C74ED" w:rsidRPr="00E10F2E" w:rsidRDefault="007C74ED" w:rsidP="007C74ED">
      <w:pPr>
        <w:ind w:left="0"/>
        <w:jc w:val="both"/>
        <w:rPr>
          <w:rFonts w:ascii="Bookman Old Style" w:hAnsi="Bookman Old Style"/>
        </w:rPr>
      </w:pPr>
      <w:r w:rsidRPr="00E10F2E">
        <w:rPr>
          <w:rFonts w:ascii="Bookman Old Style" w:hAnsi="Bookman Old Style"/>
          <w:b/>
        </w:rPr>
        <w:t>Parágrafo</w:t>
      </w:r>
      <w:r w:rsidRPr="00E10F2E">
        <w:rPr>
          <w:rFonts w:ascii="Bookman Old Style" w:hAnsi="Bookman Old Style"/>
        </w:rPr>
        <w:t xml:space="preserve">. Quienes se acojan a la </w:t>
      </w:r>
      <w:r w:rsidR="00FA60CE" w:rsidRPr="00E10F2E">
        <w:rPr>
          <w:rFonts w:ascii="Bookman Old Style" w:hAnsi="Bookman Old Style"/>
        </w:rPr>
        <w:t xml:space="preserve">OPACGNI </w:t>
      </w:r>
      <w:r w:rsidR="00EE6322">
        <w:rPr>
          <w:rFonts w:ascii="Bookman Old Style" w:hAnsi="Bookman Old Style"/>
        </w:rPr>
        <w:t xml:space="preserve">para cubrir parcialmente las OEF </w:t>
      </w:r>
      <w:r w:rsidRPr="00E10F2E">
        <w:rPr>
          <w:rFonts w:ascii="Bookman Old Style" w:hAnsi="Bookman Old Style"/>
        </w:rPr>
        <w:t xml:space="preserve">deberán cumplir con la regulación </w:t>
      </w:r>
      <w:r w:rsidR="00785956" w:rsidRPr="00E10F2E">
        <w:rPr>
          <w:rFonts w:ascii="Bookman Old Style" w:hAnsi="Bookman Old Style"/>
        </w:rPr>
        <w:t xml:space="preserve">vigente </w:t>
      </w:r>
      <w:r w:rsidRPr="00E10F2E">
        <w:rPr>
          <w:rFonts w:ascii="Bookman Old Style" w:hAnsi="Bookman Old Style"/>
        </w:rPr>
        <w:t xml:space="preserve">en lo que respecta a las garantías y </w:t>
      </w:r>
      <w:r w:rsidRPr="00E10F2E">
        <w:rPr>
          <w:rFonts w:ascii="Bookman Old Style" w:hAnsi="Bookman Old Style"/>
        </w:rPr>
        <w:lastRenderedPageBreak/>
        <w:t xml:space="preserve">entrega de contratos de suministro y transporte para la parte que no se respalde con </w:t>
      </w:r>
      <w:r w:rsidR="00491213" w:rsidRPr="00E10F2E">
        <w:rPr>
          <w:rFonts w:ascii="Bookman Old Style" w:hAnsi="Bookman Old Style"/>
        </w:rPr>
        <w:t>gas natural importado</w:t>
      </w:r>
      <w:r w:rsidRPr="00E10F2E">
        <w:rPr>
          <w:rFonts w:ascii="Bookman Old Style" w:hAnsi="Bookman Old Style"/>
        </w:rPr>
        <w:t>.</w:t>
      </w:r>
    </w:p>
    <w:p w:rsidR="00A95687" w:rsidRPr="00E10F2E" w:rsidRDefault="00A95687" w:rsidP="007C74ED">
      <w:pPr>
        <w:ind w:left="0"/>
        <w:jc w:val="both"/>
        <w:rPr>
          <w:rFonts w:ascii="Bookman Old Style" w:hAnsi="Bookman Old Style"/>
        </w:rPr>
      </w:pPr>
    </w:p>
    <w:p w:rsidR="00D33CDE" w:rsidRPr="00E10F2E" w:rsidRDefault="006635CA" w:rsidP="006635CA">
      <w:pPr>
        <w:ind w:left="0"/>
        <w:jc w:val="both"/>
        <w:rPr>
          <w:rFonts w:ascii="Bookman Old Style" w:hAnsi="Bookman Old Style"/>
        </w:rPr>
      </w:pPr>
      <w:r w:rsidRPr="00E10F2E">
        <w:rPr>
          <w:rFonts w:ascii="Bookman Old Style" w:hAnsi="Bookman Old Style"/>
          <w:b/>
        </w:rPr>
        <w:t>A</w:t>
      </w:r>
      <w:r w:rsidR="00D33CDE" w:rsidRPr="00E10F2E">
        <w:rPr>
          <w:rFonts w:ascii="Bookman Old Style" w:hAnsi="Bookman Old Style"/>
          <w:b/>
        </w:rPr>
        <w:t>RTÍCULO</w:t>
      </w:r>
      <w:r w:rsidRPr="00E10F2E">
        <w:rPr>
          <w:rFonts w:ascii="Bookman Old Style" w:hAnsi="Bookman Old Style"/>
          <w:b/>
        </w:rPr>
        <w:t xml:space="preserve"> </w:t>
      </w:r>
      <w:r w:rsidR="00FA60CE" w:rsidRPr="00E10F2E">
        <w:rPr>
          <w:rFonts w:ascii="Bookman Old Style" w:hAnsi="Bookman Old Style"/>
          <w:b/>
        </w:rPr>
        <w:t>4</w:t>
      </w:r>
      <w:r w:rsidRPr="00E10F2E">
        <w:rPr>
          <w:rFonts w:ascii="Bookman Old Style" w:hAnsi="Bookman Old Style"/>
          <w:b/>
        </w:rPr>
        <w:t>. Condiciones para respaldar las OEF</w:t>
      </w:r>
      <w:r w:rsidR="00367D0B" w:rsidRPr="00E10F2E">
        <w:rPr>
          <w:rFonts w:ascii="Bookman Old Style" w:hAnsi="Bookman Old Style"/>
          <w:b/>
        </w:rPr>
        <w:t xml:space="preserve"> con gas natural importado</w:t>
      </w:r>
      <w:r w:rsidRPr="00E10F2E">
        <w:rPr>
          <w:rFonts w:ascii="Bookman Old Style" w:hAnsi="Bookman Old Style"/>
          <w:b/>
        </w:rPr>
        <w:t xml:space="preserve"> cuando se requiera nueva infraestructura de importación.</w:t>
      </w:r>
      <w:r w:rsidRPr="00E10F2E">
        <w:rPr>
          <w:rFonts w:ascii="Bookman Old Style" w:hAnsi="Bookman Old Style"/>
        </w:rPr>
        <w:t xml:space="preserve"> </w:t>
      </w:r>
      <w:r w:rsidR="008440AB" w:rsidRPr="00E10F2E">
        <w:rPr>
          <w:rFonts w:ascii="Bookman Old Style" w:hAnsi="Bookman Old Style"/>
        </w:rPr>
        <w:t>Si para la importación del gas natural con el que se respaldará la OEF se r</w:t>
      </w:r>
      <w:r w:rsidR="00E90744" w:rsidRPr="00E10F2E">
        <w:rPr>
          <w:rFonts w:ascii="Bookman Old Style" w:hAnsi="Bookman Old Style"/>
        </w:rPr>
        <w:t>e</w:t>
      </w:r>
      <w:r w:rsidR="008440AB" w:rsidRPr="00E10F2E">
        <w:rPr>
          <w:rFonts w:ascii="Bookman Old Style" w:hAnsi="Bookman Old Style"/>
        </w:rPr>
        <w:t xml:space="preserve">quiere </w:t>
      </w:r>
      <w:r w:rsidR="00E62BCB" w:rsidRPr="00E10F2E">
        <w:rPr>
          <w:rFonts w:ascii="Bookman Old Style" w:hAnsi="Bookman Old Style"/>
        </w:rPr>
        <w:t xml:space="preserve">nueva </w:t>
      </w:r>
      <w:r w:rsidR="00C87795" w:rsidRPr="00E10F2E">
        <w:rPr>
          <w:rFonts w:ascii="Bookman Old Style" w:hAnsi="Bookman Old Style"/>
        </w:rPr>
        <w:t>infraestructu</w:t>
      </w:r>
      <w:r w:rsidR="008440AB" w:rsidRPr="00E10F2E">
        <w:rPr>
          <w:rFonts w:ascii="Bookman Old Style" w:hAnsi="Bookman Old Style"/>
        </w:rPr>
        <w:t xml:space="preserve">ra </w:t>
      </w:r>
      <w:r w:rsidR="00580882" w:rsidRPr="00E10F2E">
        <w:rPr>
          <w:rFonts w:ascii="Bookman Old Style" w:hAnsi="Bookman Old Style"/>
        </w:rPr>
        <w:t>de</w:t>
      </w:r>
      <w:r w:rsidR="00E62BCB" w:rsidRPr="00E10F2E">
        <w:rPr>
          <w:rFonts w:ascii="Bookman Old Style" w:hAnsi="Bookman Old Style"/>
        </w:rPr>
        <w:t xml:space="preserve"> importación</w:t>
      </w:r>
      <w:r w:rsidR="00C87795" w:rsidRPr="00E10F2E">
        <w:rPr>
          <w:rFonts w:ascii="Bookman Old Style" w:hAnsi="Bookman Old Style"/>
        </w:rPr>
        <w:t xml:space="preserve">, </w:t>
      </w:r>
      <w:r w:rsidR="00D33087">
        <w:rPr>
          <w:rFonts w:ascii="Bookman Old Style" w:hAnsi="Bookman Old Style"/>
        </w:rPr>
        <w:t xml:space="preserve">el o los generadores </w:t>
      </w:r>
      <w:r w:rsidR="00C87795" w:rsidRPr="00E10F2E">
        <w:rPr>
          <w:rFonts w:ascii="Bookman Old Style" w:hAnsi="Bookman Old Style"/>
        </w:rPr>
        <w:t>deberá</w:t>
      </w:r>
      <w:r w:rsidR="00E1309F" w:rsidRPr="00E10F2E">
        <w:rPr>
          <w:rFonts w:ascii="Bookman Old Style" w:hAnsi="Bookman Old Style"/>
        </w:rPr>
        <w:t>n</w:t>
      </w:r>
      <w:r w:rsidR="00C87795" w:rsidRPr="00E10F2E">
        <w:rPr>
          <w:rFonts w:ascii="Bookman Old Style" w:hAnsi="Bookman Old Style"/>
        </w:rPr>
        <w:t xml:space="preserve"> cumplir los siguientes requisitos </w:t>
      </w:r>
      <w:r w:rsidR="00356F59" w:rsidRPr="00E10F2E">
        <w:rPr>
          <w:rFonts w:ascii="Bookman Old Style" w:hAnsi="Bookman Old Style"/>
        </w:rPr>
        <w:t>en las fechas que defina la regulación</w:t>
      </w:r>
      <w:r w:rsidR="00173B6E" w:rsidRPr="00E10F2E">
        <w:rPr>
          <w:rFonts w:ascii="Bookman Old Style" w:hAnsi="Bookman Old Style"/>
        </w:rPr>
        <w:t>:</w:t>
      </w:r>
      <w:r w:rsidR="00C87795" w:rsidRPr="00E10F2E">
        <w:rPr>
          <w:rFonts w:ascii="Bookman Old Style" w:hAnsi="Bookman Old Style"/>
        </w:rPr>
        <w:t xml:space="preserve"> </w:t>
      </w:r>
      <w:r w:rsidR="008440AB" w:rsidRPr="00E10F2E">
        <w:rPr>
          <w:rFonts w:ascii="Bookman Old Style" w:hAnsi="Bookman Old Style"/>
        </w:rPr>
        <w:t xml:space="preserve"> </w:t>
      </w:r>
    </w:p>
    <w:p w:rsidR="00E1309F" w:rsidRPr="00E10F2E" w:rsidRDefault="00E1309F" w:rsidP="006635CA">
      <w:pPr>
        <w:ind w:left="0"/>
        <w:jc w:val="both"/>
        <w:rPr>
          <w:rFonts w:ascii="Bookman Old Style" w:hAnsi="Bookman Old Style"/>
        </w:rPr>
      </w:pPr>
    </w:p>
    <w:p w:rsidR="006635CA" w:rsidRPr="00E10F2E" w:rsidRDefault="006635CA" w:rsidP="006635CA">
      <w:pPr>
        <w:pStyle w:val="Prrafodelista"/>
        <w:numPr>
          <w:ilvl w:val="0"/>
          <w:numId w:val="17"/>
        </w:numPr>
        <w:jc w:val="both"/>
        <w:rPr>
          <w:rFonts w:ascii="Bookman Old Style" w:hAnsi="Bookman Old Style"/>
        </w:rPr>
      </w:pPr>
      <w:r w:rsidRPr="00E10F2E">
        <w:rPr>
          <w:rFonts w:ascii="Bookman Old Style" w:hAnsi="Bookman Old Style"/>
          <w:b/>
          <w:sz w:val="24"/>
          <w:szCs w:val="24"/>
          <w:lang w:val="es-ES"/>
        </w:rPr>
        <w:t>Organización</w:t>
      </w:r>
      <w:r w:rsidRPr="00E10F2E">
        <w:rPr>
          <w:rFonts w:ascii="Bookman Old Style" w:hAnsi="Bookman Old Style"/>
          <w:sz w:val="24"/>
          <w:szCs w:val="24"/>
          <w:lang w:val="es-ES"/>
        </w:rPr>
        <w:t xml:space="preserve">. </w:t>
      </w:r>
      <w:r w:rsidR="00EF3FB9" w:rsidRPr="00E10F2E">
        <w:rPr>
          <w:rFonts w:ascii="Bookman Old Style" w:hAnsi="Bookman Old Style"/>
          <w:sz w:val="24"/>
          <w:szCs w:val="24"/>
          <w:lang w:val="es-ES"/>
        </w:rPr>
        <w:t>Entregar</w:t>
      </w:r>
      <w:r w:rsidR="00EC66B6" w:rsidRPr="00E10F2E">
        <w:rPr>
          <w:rFonts w:ascii="Bookman Old Style" w:hAnsi="Bookman Old Style"/>
          <w:sz w:val="24"/>
          <w:szCs w:val="24"/>
          <w:lang w:val="es-ES"/>
        </w:rPr>
        <w:t xml:space="preserve"> un </w:t>
      </w:r>
      <w:r w:rsidRPr="00E10F2E">
        <w:rPr>
          <w:rFonts w:ascii="Bookman Old Style" w:hAnsi="Bookman Old Style"/>
          <w:sz w:val="24"/>
          <w:szCs w:val="24"/>
          <w:lang w:val="es-ES"/>
        </w:rPr>
        <w:t>esquema de organización y el cronograma detallado por actividades del proceso a seguir para obtener gas natural importado.</w:t>
      </w:r>
    </w:p>
    <w:p w:rsidR="006635CA" w:rsidRPr="00E10F2E" w:rsidRDefault="006635CA" w:rsidP="006635CA">
      <w:pPr>
        <w:ind w:left="360"/>
        <w:jc w:val="both"/>
        <w:rPr>
          <w:rFonts w:ascii="Bookman Old Style" w:hAnsi="Bookman Old Style"/>
        </w:rPr>
      </w:pPr>
    </w:p>
    <w:p w:rsidR="006635CA" w:rsidRPr="00E10F2E" w:rsidRDefault="007D126A" w:rsidP="006635CA">
      <w:pPr>
        <w:pStyle w:val="Prrafodelista"/>
        <w:numPr>
          <w:ilvl w:val="0"/>
          <w:numId w:val="17"/>
        </w:numPr>
        <w:jc w:val="both"/>
        <w:rPr>
          <w:rFonts w:ascii="Bookman Old Style" w:hAnsi="Bookman Old Style"/>
          <w:sz w:val="24"/>
          <w:szCs w:val="24"/>
          <w:lang w:val="es-ES"/>
        </w:rPr>
      </w:pPr>
      <w:r w:rsidRPr="00E10F2E">
        <w:rPr>
          <w:rFonts w:ascii="Bookman Old Style" w:hAnsi="Bookman Old Style"/>
          <w:b/>
          <w:sz w:val="24"/>
          <w:szCs w:val="24"/>
          <w:lang w:val="es-ES"/>
        </w:rPr>
        <w:t>E</w:t>
      </w:r>
      <w:r w:rsidR="006635CA" w:rsidRPr="00E10F2E">
        <w:rPr>
          <w:rFonts w:ascii="Bookman Old Style" w:hAnsi="Bookman Old Style"/>
          <w:b/>
          <w:sz w:val="24"/>
          <w:szCs w:val="24"/>
          <w:lang w:val="es-ES"/>
        </w:rPr>
        <w:t>squema de selección</w:t>
      </w:r>
      <w:r w:rsidR="006635CA" w:rsidRPr="00E10F2E">
        <w:rPr>
          <w:rFonts w:ascii="Bookman Old Style" w:hAnsi="Bookman Old Style"/>
          <w:sz w:val="24"/>
          <w:szCs w:val="24"/>
          <w:lang w:val="es-ES"/>
        </w:rPr>
        <w:t>.</w:t>
      </w:r>
      <w:r w:rsidR="00A54328" w:rsidRPr="00E10F2E">
        <w:rPr>
          <w:rFonts w:ascii="Bookman Old Style" w:hAnsi="Bookman Old Style"/>
          <w:sz w:val="24"/>
          <w:szCs w:val="24"/>
          <w:lang w:val="es-ES"/>
        </w:rPr>
        <w:t xml:space="preserve"> </w:t>
      </w:r>
      <w:r w:rsidR="00EF3FB9" w:rsidRPr="00E10F2E">
        <w:rPr>
          <w:rFonts w:ascii="Bookman Old Style" w:hAnsi="Bookman Old Style"/>
          <w:sz w:val="24"/>
          <w:szCs w:val="24"/>
          <w:lang w:val="es-ES"/>
        </w:rPr>
        <w:t>Entregar</w:t>
      </w:r>
      <w:r w:rsidR="006635CA" w:rsidRPr="00E10F2E">
        <w:rPr>
          <w:rFonts w:ascii="Bookman Old Style" w:hAnsi="Bookman Old Style"/>
          <w:sz w:val="24"/>
          <w:szCs w:val="24"/>
          <w:lang w:val="es-ES"/>
        </w:rPr>
        <w:t xml:space="preserve"> </w:t>
      </w:r>
      <w:r w:rsidR="006F0256" w:rsidRPr="00E10F2E">
        <w:rPr>
          <w:rFonts w:ascii="Bookman Old Style" w:hAnsi="Bookman Old Style"/>
          <w:sz w:val="24"/>
          <w:szCs w:val="24"/>
          <w:lang w:val="es-ES"/>
        </w:rPr>
        <w:t xml:space="preserve">un documento en el que conste </w:t>
      </w:r>
      <w:r w:rsidR="006635CA" w:rsidRPr="00E10F2E">
        <w:rPr>
          <w:rFonts w:ascii="Bookman Old Style" w:hAnsi="Bookman Old Style"/>
          <w:sz w:val="24"/>
          <w:szCs w:val="24"/>
          <w:lang w:val="es-ES"/>
        </w:rPr>
        <w:t xml:space="preserve">el esquema </w:t>
      </w:r>
      <w:r w:rsidR="00297975" w:rsidRPr="00E10F2E">
        <w:rPr>
          <w:rFonts w:ascii="Bookman Old Style" w:hAnsi="Bookman Old Style"/>
          <w:sz w:val="24"/>
          <w:szCs w:val="24"/>
          <w:lang w:val="es-ES"/>
        </w:rPr>
        <w:t xml:space="preserve">para </w:t>
      </w:r>
      <w:r w:rsidR="00EE6322">
        <w:rPr>
          <w:rFonts w:ascii="Bookman Old Style" w:hAnsi="Bookman Old Style"/>
          <w:sz w:val="24"/>
          <w:szCs w:val="24"/>
          <w:lang w:val="es-ES"/>
        </w:rPr>
        <w:t>seleccionar</w:t>
      </w:r>
      <w:r w:rsidR="00EE6322" w:rsidRPr="00E10F2E">
        <w:rPr>
          <w:rFonts w:ascii="Bookman Old Style" w:hAnsi="Bookman Old Style"/>
          <w:sz w:val="24"/>
          <w:szCs w:val="24"/>
          <w:lang w:val="es-ES"/>
        </w:rPr>
        <w:t xml:space="preserve"> </w:t>
      </w:r>
      <w:r w:rsidR="00297975" w:rsidRPr="00E10F2E">
        <w:rPr>
          <w:rFonts w:ascii="Bookman Old Style" w:hAnsi="Bookman Old Style"/>
          <w:sz w:val="24"/>
          <w:szCs w:val="24"/>
          <w:lang w:val="es-ES"/>
        </w:rPr>
        <w:t>el constructor y operador de la infraestructura de importación.</w:t>
      </w:r>
    </w:p>
    <w:p w:rsidR="006635CA" w:rsidRPr="00E10F2E" w:rsidRDefault="006635CA" w:rsidP="006635CA">
      <w:pPr>
        <w:pStyle w:val="Prrafodelista"/>
        <w:ind w:left="1080"/>
        <w:jc w:val="both"/>
        <w:rPr>
          <w:rFonts w:ascii="Bookman Old Style" w:hAnsi="Bookman Old Style"/>
          <w:lang w:val="es-ES"/>
        </w:rPr>
      </w:pPr>
    </w:p>
    <w:p w:rsidR="006635CA" w:rsidRPr="00E10F2E" w:rsidRDefault="00D97EDA" w:rsidP="006635CA">
      <w:pPr>
        <w:pStyle w:val="Prrafodelista"/>
        <w:numPr>
          <w:ilvl w:val="0"/>
          <w:numId w:val="17"/>
        </w:numPr>
        <w:jc w:val="both"/>
        <w:rPr>
          <w:rFonts w:ascii="Bookman Old Style" w:hAnsi="Bookman Old Style"/>
        </w:rPr>
      </w:pPr>
      <w:r w:rsidRPr="00E10F2E">
        <w:rPr>
          <w:rFonts w:ascii="Bookman Old Style" w:hAnsi="Bookman Old Style"/>
          <w:b/>
          <w:sz w:val="24"/>
          <w:szCs w:val="24"/>
          <w:lang w:val="es-ES"/>
        </w:rPr>
        <w:t>C</w:t>
      </w:r>
      <w:r w:rsidR="006635CA" w:rsidRPr="00E10F2E">
        <w:rPr>
          <w:rFonts w:ascii="Bookman Old Style" w:hAnsi="Bookman Old Style"/>
          <w:b/>
          <w:sz w:val="24"/>
          <w:szCs w:val="24"/>
          <w:lang w:val="es-ES"/>
        </w:rPr>
        <w:t>onstruc</w:t>
      </w:r>
      <w:r w:rsidR="00DF4FF1" w:rsidRPr="00E10F2E">
        <w:rPr>
          <w:rFonts w:ascii="Bookman Old Style" w:hAnsi="Bookman Old Style"/>
          <w:b/>
          <w:sz w:val="24"/>
          <w:szCs w:val="24"/>
          <w:lang w:val="es-ES"/>
        </w:rPr>
        <w:t>ción</w:t>
      </w:r>
      <w:r w:rsidR="006635CA" w:rsidRPr="00E10F2E">
        <w:rPr>
          <w:rFonts w:ascii="Bookman Old Style" w:hAnsi="Bookman Old Style"/>
          <w:b/>
          <w:sz w:val="24"/>
          <w:szCs w:val="24"/>
          <w:lang w:val="es-ES"/>
        </w:rPr>
        <w:t xml:space="preserve"> y opera</w:t>
      </w:r>
      <w:r w:rsidR="00DF4FF1" w:rsidRPr="00E10F2E">
        <w:rPr>
          <w:rFonts w:ascii="Bookman Old Style" w:hAnsi="Bookman Old Style"/>
          <w:b/>
          <w:sz w:val="24"/>
          <w:szCs w:val="24"/>
          <w:lang w:val="es-ES"/>
        </w:rPr>
        <w:t>ción</w:t>
      </w:r>
      <w:r w:rsidR="006635CA" w:rsidRPr="00E10F2E">
        <w:rPr>
          <w:rFonts w:ascii="Bookman Old Style" w:hAnsi="Bookman Old Style"/>
          <w:b/>
          <w:sz w:val="24"/>
          <w:szCs w:val="24"/>
          <w:lang w:val="es-ES"/>
        </w:rPr>
        <w:t xml:space="preserve"> de la infraestructura de importación</w:t>
      </w:r>
      <w:r w:rsidR="006635CA" w:rsidRPr="00E10F2E">
        <w:rPr>
          <w:rFonts w:ascii="Bookman Old Style" w:hAnsi="Bookman Old Style"/>
          <w:sz w:val="24"/>
          <w:szCs w:val="24"/>
          <w:lang w:val="es-ES"/>
        </w:rPr>
        <w:t xml:space="preserve">. </w:t>
      </w:r>
      <w:r w:rsidR="00A266C4" w:rsidRPr="00E10F2E">
        <w:rPr>
          <w:rFonts w:ascii="Bookman Old Style" w:hAnsi="Bookman Old Style"/>
          <w:sz w:val="24"/>
          <w:szCs w:val="24"/>
          <w:lang w:val="es-ES"/>
        </w:rPr>
        <w:t xml:space="preserve"> </w:t>
      </w:r>
      <w:r w:rsidR="00EF3FB9" w:rsidRPr="00E10F2E">
        <w:rPr>
          <w:rFonts w:ascii="Bookman Old Style" w:hAnsi="Bookman Old Style"/>
          <w:sz w:val="24"/>
          <w:szCs w:val="24"/>
          <w:lang w:val="es-ES"/>
        </w:rPr>
        <w:t>E</w:t>
      </w:r>
      <w:r w:rsidR="006635CA" w:rsidRPr="00E10F2E">
        <w:rPr>
          <w:rFonts w:ascii="Bookman Old Style" w:hAnsi="Bookman Old Style"/>
          <w:sz w:val="24"/>
          <w:szCs w:val="24"/>
          <w:lang w:val="es-ES"/>
        </w:rPr>
        <w:t>ntregar, auditados</w:t>
      </w:r>
      <w:r w:rsidR="00580882" w:rsidRPr="00E10F2E">
        <w:rPr>
          <w:rFonts w:ascii="Bookman Old Style" w:hAnsi="Bookman Old Style"/>
          <w:sz w:val="24"/>
          <w:szCs w:val="24"/>
          <w:lang w:val="es-ES"/>
        </w:rPr>
        <w:t>, como se señala más adelante</w:t>
      </w:r>
      <w:r w:rsidR="006635CA" w:rsidRPr="00E10F2E">
        <w:rPr>
          <w:rFonts w:ascii="Bookman Old Style" w:hAnsi="Bookman Old Style"/>
          <w:sz w:val="24"/>
          <w:szCs w:val="24"/>
          <w:lang w:val="es-ES"/>
        </w:rPr>
        <w:t>, los contratos de construcción y operación de la infraestructura</w:t>
      </w:r>
      <w:r w:rsidRPr="00E10F2E">
        <w:rPr>
          <w:rFonts w:ascii="Bookman Old Style" w:hAnsi="Bookman Old Style"/>
          <w:sz w:val="24"/>
          <w:szCs w:val="24"/>
          <w:lang w:val="es-ES"/>
        </w:rPr>
        <w:t>, la curva S y el cronograma de construcción</w:t>
      </w:r>
      <w:r w:rsidR="006635CA" w:rsidRPr="00E10F2E">
        <w:rPr>
          <w:rFonts w:ascii="Bookman Old Style" w:hAnsi="Bookman Old Style"/>
          <w:sz w:val="24"/>
          <w:szCs w:val="24"/>
          <w:lang w:val="es-ES"/>
        </w:rPr>
        <w:t xml:space="preserve">. </w:t>
      </w:r>
    </w:p>
    <w:p w:rsidR="006635CA" w:rsidRPr="00E10F2E" w:rsidRDefault="006635CA" w:rsidP="006635CA">
      <w:pPr>
        <w:jc w:val="both"/>
        <w:rPr>
          <w:rFonts w:ascii="Bookman Old Style" w:hAnsi="Bookman Old Style"/>
          <w:lang w:val="es-CO"/>
        </w:rPr>
      </w:pPr>
    </w:p>
    <w:p w:rsidR="00D97EDA" w:rsidRPr="00E10F2E" w:rsidRDefault="001A05EC" w:rsidP="00BA23F2">
      <w:pPr>
        <w:ind w:left="1080"/>
        <w:jc w:val="both"/>
        <w:rPr>
          <w:rFonts w:ascii="Bookman Old Style" w:hAnsi="Bookman Old Style"/>
        </w:rPr>
      </w:pPr>
      <w:r w:rsidRPr="00E10F2E">
        <w:rPr>
          <w:rFonts w:ascii="Bookman Old Style" w:hAnsi="Bookman Old Style"/>
        </w:rPr>
        <w:t xml:space="preserve">La auditoría deberá </w:t>
      </w:r>
      <w:r w:rsidR="006635CA" w:rsidRPr="00E10F2E">
        <w:rPr>
          <w:rFonts w:ascii="Bookman Old Style" w:hAnsi="Bookman Old Style"/>
        </w:rPr>
        <w:t>verificar, utilizando las mejores prácticas de ingeniería, que el cro</w:t>
      </w:r>
      <w:r w:rsidR="00B7075B" w:rsidRPr="00E10F2E">
        <w:rPr>
          <w:rFonts w:ascii="Bookman Old Style" w:hAnsi="Bookman Old Style"/>
        </w:rPr>
        <w:t>no</w:t>
      </w:r>
      <w:r w:rsidR="006635CA" w:rsidRPr="00E10F2E">
        <w:rPr>
          <w:rFonts w:ascii="Bookman Old Style" w:hAnsi="Bookman Old Style"/>
        </w:rPr>
        <w:t xml:space="preserve">grama de construcción de la infraestructura de importación permita establecer que ésta estará en operación antes del inicio del período de vigencia de las </w:t>
      </w:r>
      <w:r w:rsidR="001D0A6F">
        <w:rPr>
          <w:rFonts w:ascii="Bookman Old Style" w:hAnsi="Bookman Old Style"/>
        </w:rPr>
        <w:t>OEF</w:t>
      </w:r>
      <w:r w:rsidR="006635CA" w:rsidRPr="00E10F2E">
        <w:rPr>
          <w:rFonts w:ascii="Bookman Old Style" w:hAnsi="Bookman Old Style"/>
        </w:rPr>
        <w:t>.</w:t>
      </w:r>
      <w:r w:rsidR="0012536C" w:rsidRPr="00E10F2E">
        <w:rPr>
          <w:rFonts w:ascii="Bookman Old Style" w:hAnsi="Bookman Old Style"/>
        </w:rPr>
        <w:t xml:space="preserve"> </w:t>
      </w:r>
      <w:r w:rsidR="007D4F92" w:rsidRPr="00E10F2E">
        <w:rPr>
          <w:rFonts w:ascii="Bookman Old Style" w:hAnsi="Bookman Old Style"/>
          <w:lang w:val="es-CO"/>
        </w:rPr>
        <w:t>Adicionalmente, el auditor verificará que</w:t>
      </w:r>
      <w:r w:rsidR="000738C6" w:rsidRPr="00E10F2E">
        <w:rPr>
          <w:rFonts w:ascii="Bookman Old Style" w:hAnsi="Bookman Old Style"/>
        </w:rPr>
        <w:t xml:space="preserve"> </w:t>
      </w:r>
      <w:r w:rsidR="00580882" w:rsidRPr="00E10F2E">
        <w:rPr>
          <w:rFonts w:ascii="Bookman Old Style" w:hAnsi="Bookman Old Style"/>
        </w:rPr>
        <w:t>la</w:t>
      </w:r>
      <w:r w:rsidR="000738C6" w:rsidRPr="00E10F2E">
        <w:rPr>
          <w:rFonts w:ascii="Bookman Old Style" w:hAnsi="Bookman Old Style"/>
        </w:rPr>
        <w:t xml:space="preserve"> capacidad contratada sea suficiente para garantizar las OEF asignadas</w:t>
      </w:r>
      <w:r w:rsidR="00580882" w:rsidRPr="00E10F2E">
        <w:rPr>
          <w:rFonts w:ascii="Bookman Old Style" w:hAnsi="Bookman Old Style"/>
        </w:rPr>
        <w:t>.</w:t>
      </w:r>
      <w:r w:rsidR="000738C6" w:rsidRPr="00E10F2E">
        <w:rPr>
          <w:rFonts w:ascii="Bookman Old Style" w:hAnsi="Bookman Old Style"/>
        </w:rPr>
        <w:t xml:space="preserve"> </w:t>
      </w:r>
    </w:p>
    <w:p w:rsidR="00D97EDA" w:rsidRPr="00E10F2E" w:rsidRDefault="00D97EDA" w:rsidP="006635CA">
      <w:pPr>
        <w:pStyle w:val="Prrafodelista"/>
        <w:ind w:left="1080"/>
        <w:jc w:val="both"/>
        <w:rPr>
          <w:rFonts w:ascii="Bookman Old Style" w:hAnsi="Bookman Old Style"/>
          <w:sz w:val="24"/>
          <w:szCs w:val="24"/>
        </w:rPr>
      </w:pPr>
    </w:p>
    <w:p w:rsidR="006635CA" w:rsidRPr="00E10F2E" w:rsidRDefault="00D84F1D" w:rsidP="006635CA">
      <w:pPr>
        <w:pStyle w:val="Prrafodelista"/>
        <w:ind w:left="1080"/>
        <w:jc w:val="both"/>
        <w:rPr>
          <w:rFonts w:ascii="Bookman Old Style" w:hAnsi="Bookman Old Style"/>
          <w:sz w:val="24"/>
          <w:szCs w:val="24"/>
          <w:lang w:val="es-ES"/>
        </w:rPr>
      </w:pPr>
      <w:r w:rsidRPr="00E10F2E">
        <w:rPr>
          <w:rFonts w:ascii="Bookman Old Style" w:hAnsi="Bookman Old Style"/>
          <w:sz w:val="24"/>
          <w:szCs w:val="24"/>
        </w:rPr>
        <w:t>El cronograma de construcción, la curva S y el informe del auditor deberán ser entregados a la CREG</w:t>
      </w:r>
      <w:r w:rsidR="00EC66B6" w:rsidRPr="00E10F2E">
        <w:rPr>
          <w:rFonts w:ascii="Bookman Old Style" w:hAnsi="Bookman Old Style"/>
          <w:sz w:val="24"/>
          <w:szCs w:val="24"/>
        </w:rPr>
        <w:t xml:space="preserve"> en la misma fecha de los contratos de construcción y operación.</w:t>
      </w:r>
    </w:p>
    <w:p w:rsidR="006635CA" w:rsidRPr="004B6EDA" w:rsidRDefault="006635CA" w:rsidP="00951041">
      <w:pPr>
        <w:pStyle w:val="Prrafodelista"/>
        <w:ind w:left="1080"/>
        <w:jc w:val="both"/>
        <w:rPr>
          <w:rFonts w:ascii="Bookman Old Style" w:hAnsi="Bookman Old Style"/>
          <w:sz w:val="24"/>
          <w:szCs w:val="24"/>
        </w:rPr>
      </w:pPr>
    </w:p>
    <w:p w:rsidR="003C7BA4" w:rsidRPr="00E10F2E" w:rsidRDefault="008943AD" w:rsidP="005B29FB">
      <w:pPr>
        <w:pStyle w:val="Prrafodelista"/>
        <w:numPr>
          <w:ilvl w:val="0"/>
          <w:numId w:val="17"/>
        </w:numPr>
        <w:jc w:val="both"/>
        <w:rPr>
          <w:rFonts w:ascii="Bookman Old Style" w:hAnsi="Bookman Old Style"/>
          <w:sz w:val="24"/>
          <w:szCs w:val="24"/>
        </w:rPr>
      </w:pPr>
      <w:r w:rsidRPr="001D0A6F">
        <w:rPr>
          <w:rFonts w:ascii="Bookman Old Style" w:hAnsi="Bookman Old Style"/>
          <w:b/>
          <w:sz w:val="24"/>
          <w:szCs w:val="24"/>
        </w:rPr>
        <w:t>Contratos de</w:t>
      </w:r>
      <w:r w:rsidR="003C7BA4" w:rsidRPr="001D0A6F">
        <w:rPr>
          <w:rFonts w:ascii="Bookman Old Style" w:hAnsi="Bookman Old Style"/>
          <w:b/>
          <w:sz w:val="24"/>
          <w:szCs w:val="24"/>
        </w:rPr>
        <w:t xml:space="preserve"> suministro </w:t>
      </w:r>
      <w:r w:rsidR="00BD67A9" w:rsidRPr="001D0A6F">
        <w:rPr>
          <w:rFonts w:ascii="Bookman Old Style" w:hAnsi="Bookman Old Style"/>
          <w:b/>
          <w:sz w:val="24"/>
          <w:szCs w:val="24"/>
        </w:rPr>
        <w:t xml:space="preserve">y transporte </w:t>
      </w:r>
      <w:r w:rsidR="003C7BA4" w:rsidRPr="001D0A6F">
        <w:rPr>
          <w:rFonts w:ascii="Bookman Old Style" w:hAnsi="Bookman Old Style"/>
          <w:b/>
          <w:sz w:val="24"/>
          <w:szCs w:val="24"/>
        </w:rPr>
        <w:t>de gas</w:t>
      </w:r>
      <w:r w:rsidRPr="001D0A6F">
        <w:rPr>
          <w:rFonts w:ascii="Bookman Old Style" w:hAnsi="Bookman Old Style"/>
          <w:b/>
          <w:sz w:val="24"/>
          <w:szCs w:val="24"/>
        </w:rPr>
        <w:t xml:space="preserve">. </w:t>
      </w:r>
      <w:r w:rsidRPr="001D0A6F">
        <w:rPr>
          <w:rFonts w:ascii="Bookman Old Style" w:hAnsi="Bookman Old Style"/>
          <w:sz w:val="24"/>
          <w:szCs w:val="24"/>
        </w:rPr>
        <w:t>Entregar</w:t>
      </w:r>
      <w:r w:rsidR="003C7BA4" w:rsidRPr="008A64D7">
        <w:rPr>
          <w:rFonts w:ascii="Bookman Old Style" w:hAnsi="Bookman Old Style"/>
          <w:sz w:val="24"/>
          <w:szCs w:val="24"/>
          <w:lang w:val="es-ES"/>
        </w:rPr>
        <w:t>, un año antes</w:t>
      </w:r>
      <w:r w:rsidR="003C7BA4" w:rsidRPr="00BD4A49">
        <w:rPr>
          <w:rFonts w:ascii="Bookman Old Style" w:hAnsi="Bookman Old Style"/>
          <w:sz w:val="24"/>
          <w:szCs w:val="24"/>
        </w:rPr>
        <w:t xml:space="preserve"> del inicio de cada año del Período de Vigencia de la Obligación de Energía Firme, debidamente auditado, el contrato</w:t>
      </w:r>
      <w:r w:rsidR="00643B52" w:rsidRPr="00BD4A49">
        <w:rPr>
          <w:rFonts w:ascii="Bookman Old Style" w:hAnsi="Bookman Old Style"/>
          <w:sz w:val="24"/>
          <w:szCs w:val="24"/>
        </w:rPr>
        <w:t xml:space="preserve"> para el suministro de gas </w:t>
      </w:r>
      <w:r w:rsidR="004A7BD2" w:rsidRPr="00970A97">
        <w:rPr>
          <w:rFonts w:ascii="Bookman Old Style" w:hAnsi="Bookman Old Style"/>
          <w:sz w:val="24"/>
          <w:szCs w:val="24"/>
        </w:rPr>
        <w:t xml:space="preserve">natural </w:t>
      </w:r>
      <w:r w:rsidR="00643B52" w:rsidRPr="00970A97">
        <w:rPr>
          <w:rFonts w:ascii="Bookman Old Style" w:hAnsi="Bookman Old Style"/>
          <w:sz w:val="24"/>
          <w:szCs w:val="24"/>
        </w:rPr>
        <w:t xml:space="preserve">importado </w:t>
      </w:r>
      <w:r w:rsidR="003C7BA4" w:rsidRPr="00970A97">
        <w:rPr>
          <w:rFonts w:ascii="Bookman Old Style" w:hAnsi="Bookman Old Style"/>
          <w:sz w:val="24"/>
          <w:szCs w:val="24"/>
        </w:rPr>
        <w:t>de</w:t>
      </w:r>
      <w:r w:rsidR="00643B52" w:rsidRPr="00970A97">
        <w:rPr>
          <w:rFonts w:ascii="Bookman Old Style" w:hAnsi="Bookman Old Style"/>
          <w:sz w:val="24"/>
          <w:szCs w:val="24"/>
        </w:rPr>
        <w:t>sde</w:t>
      </w:r>
      <w:r w:rsidR="003C7BA4" w:rsidRPr="00970A97">
        <w:rPr>
          <w:rFonts w:ascii="Bookman Old Style" w:hAnsi="Bookman Old Style"/>
          <w:sz w:val="24"/>
          <w:szCs w:val="24"/>
        </w:rPr>
        <w:t xml:space="preserve"> un mercado</w:t>
      </w:r>
      <w:r w:rsidR="003C7BA4" w:rsidRPr="00E10F2E">
        <w:rPr>
          <w:rFonts w:ascii="Bookman Old Style" w:hAnsi="Bookman Old Style"/>
          <w:sz w:val="24"/>
          <w:szCs w:val="24"/>
        </w:rPr>
        <w:t xml:space="preserve"> líquido.</w:t>
      </w:r>
    </w:p>
    <w:p w:rsidR="003C7BA4" w:rsidRPr="00E10F2E" w:rsidRDefault="003C7BA4" w:rsidP="003C7BA4">
      <w:pPr>
        <w:pStyle w:val="Prrafodelista"/>
        <w:rPr>
          <w:rFonts w:ascii="Bookman Old Style" w:hAnsi="Bookman Old Style"/>
          <w:sz w:val="24"/>
          <w:szCs w:val="24"/>
        </w:rPr>
      </w:pPr>
    </w:p>
    <w:p w:rsidR="003C7BA4" w:rsidRPr="00E10F2E" w:rsidRDefault="003C7BA4" w:rsidP="005B29FB">
      <w:pPr>
        <w:pStyle w:val="Prrafodelista"/>
        <w:ind w:left="1080"/>
        <w:jc w:val="both"/>
        <w:rPr>
          <w:rFonts w:ascii="Bookman Old Style" w:hAnsi="Bookman Old Style"/>
          <w:sz w:val="24"/>
          <w:szCs w:val="24"/>
        </w:rPr>
      </w:pPr>
      <w:r w:rsidRPr="00E10F2E">
        <w:rPr>
          <w:rFonts w:ascii="Bookman Old Style" w:hAnsi="Bookman Old Style"/>
          <w:sz w:val="24"/>
          <w:szCs w:val="24"/>
        </w:rPr>
        <w:t xml:space="preserve">Entregar, debidamente auditado, el contrato de transporte en el Sistema Nacional de Transporte de Gas, SNT, con capacidad en firme </w:t>
      </w:r>
      <w:r w:rsidR="00D4202F" w:rsidRPr="00E10F2E">
        <w:rPr>
          <w:rFonts w:ascii="Bookman Old Style" w:hAnsi="Bookman Old Style"/>
          <w:sz w:val="24"/>
          <w:szCs w:val="24"/>
        </w:rPr>
        <w:t xml:space="preserve">que garantice </w:t>
      </w:r>
      <w:r w:rsidR="00CB0D76" w:rsidRPr="00E10F2E">
        <w:rPr>
          <w:rFonts w:ascii="Bookman Old Style" w:hAnsi="Bookman Old Style"/>
          <w:sz w:val="24"/>
          <w:szCs w:val="24"/>
        </w:rPr>
        <w:t xml:space="preserve">el transporte del gas importado hasta </w:t>
      </w:r>
      <w:r w:rsidRPr="00E10F2E">
        <w:rPr>
          <w:rFonts w:ascii="Bookman Old Style" w:hAnsi="Bookman Old Style"/>
          <w:sz w:val="24"/>
          <w:szCs w:val="24"/>
        </w:rPr>
        <w:t>la planta</w:t>
      </w:r>
      <w:r w:rsidR="00E11A36" w:rsidRPr="00E10F2E">
        <w:rPr>
          <w:rFonts w:ascii="Bookman Old Style" w:hAnsi="Bookman Old Style"/>
          <w:sz w:val="24"/>
          <w:szCs w:val="24"/>
        </w:rPr>
        <w:t xml:space="preserve">. El contrato deberá entregarse </w:t>
      </w:r>
      <w:r w:rsidRPr="00E10F2E">
        <w:rPr>
          <w:rFonts w:ascii="Bookman Old Style" w:hAnsi="Bookman Old Style"/>
          <w:sz w:val="24"/>
          <w:szCs w:val="24"/>
        </w:rPr>
        <w:t xml:space="preserve">al menos un año antes del inicio de cada año del Período de Vigencia de la Obligación de Energía Firme. </w:t>
      </w:r>
    </w:p>
    <w:p w:rsidR="00C02546" w:rsidRPr="00E10F2E" w:rsidRDefault="00C02546" w:rsidP="0090324F">
      <w:pPr>
        <w:ind w:left="0"/>
        <w:jc w:val="both"/>
        <w:rPr>
          <w:rFonts w:ascii="Bookman Old Style" w:hAnsi="Bookman Old Style"/>
          <w:lang w:val="es-CO"/>
        </w:rPr>
      </w:pPr>
    </w:p>
    <w:p w:rsidR="003C7BA4" w:rsidRPr="00E10F2E" w:rsidRDefault="003C7BA4" w:rsidP="005B29FB">
      <w:pPr>
        <w:ind w:left="1080"/>
        <w:jc w:val="both"/>
        <w:rPr>
          <w:rFonts w:ascii="Bookman Old Style" w:hAnsi="Bookman Old Style"/>
        </w:rPr>
      </w:pPr>
      <w:r w:rsidRPr="00E10F2E">
        <w:rPr>
          <w:rFonts w:ascii="Bookman Old Style" w:hAnsi="Bookman Old Style"/>
        </w:rPr>
        <w:t xml:space="preserve">La auditoría deberá verificar que </w:t>
      </w:r>
      <w:r w:rsidR="001B6E7A" w:rsidRPr="00E10F2E">
        <w:rPr>
          <w:rFonts w:ascii="Bookman Old Style" w:hAnsi="Bookman Old Style"/>
        </w:rPr>
        <w:t xml:space="preserve">el suministro de gas </w:t>
      </w:r>
      <w:r w:rsidR="00E77AB8" w:rsidRPr="00E10F2E">
        <w:rPr>
          <w:rFonts w:ascii="Bookman Old Style" w:hAnsi="Bookman Old Style"/>
        </w:rPr>
        <w:t xml:space="preserve">y </w:t>
      </w:r>
      <w:r w:rsidR="001B6E7A" w:rsidRPr="00E10F2E">
        <w:rPr>
          <w:rFonts w:ascii="Bookman Old Style" w:hAnsi="Bookman Old Style"/>
        </w:rPr>
        <w:t xml:space="preserve">la </w:t>
      </w:r>
      <w:r w:rsidR="00E77AB8" w:rsidRPr="00E10F2E">
        <w:rPr>
          <w:rFonts w:ascii="Bookman Old Style" w:hAnsi="Bookman Old Style"/>
        </w:rPr>
        <w:t xml:space="preserve">capacidad de transporte </w:t>
      </w:r>
      <w:r w:rsidR="001B6E7A" w:rsidRPr="00E10F2E">
        <w:rPr>
          <w:rFonts w:ascii="Bookman Old Style" w:hAnsi="Bookman Old Style"/>
        </w:rPr>
        <w:t>contratados</w:t>
      </w:r>
      <w:r w:rsidRPr="00E10F2E">
        <w:rPr>
          <w:rFonts w:ascii="Bookman Old Style" w:hAnsi="Bookman Old Style"/>
        </w:rPr>
        <w:t xml:space="preserve"> sean suficientes para garantizar las OEF asignadas</w:t>
      </w:r>
      <w:r w:rsidR="008C7A69" w:rsidRPr="00E10F2E">
        <w:rPr>
          <w:rFonts w:ascii="Bookman Old Style" w:hAnsi="Bookman Old Style"/>
        </w:rPr>
        <w:t xml:space="preserve"> y respaldadas con este combustible</w:t>
      </w:r>
      <w:r w:rsidR="00E77AB8" w:rsidRPr="00E10F2E">
        <w:rPr>
          <w:rFonts w:ascii="Bookman Old Style" w:hAnsi="Bookman Old Style"/>
        </w:rPr>
        <w:t>.</w:t>
      </w:r>
    </w:p>
    <w:p w:rsidR="003909AF" w:rsidRPr="00E10F2E" w:rsidRDefault="003909AF" w:rsidP="0090324F">
      <w:pPr>
        <w:ind w:left="0"/>
        <w:jc w:val="both"/>
        <w:rPr>
          <w:rFonts w:ascii="Bookman Old Style" w:hAnsi="Bookman Old Style"/>
        </w:rPr>
      </w:pPr>
    </w:p>
    <w:p w:rsidR="0090324F" w:rsidRPr="00E10F2E" w:rsidRDefault="0090324F" w:rsidP="0090324F">
      <w:pPr>
        <w:ind w:left="0"/>
        <w:jc w:val="both"/>
        <w:rPr>
          <w:rFonts w:ascii="Bookman Old Style" w:hAnsi="Bookman Old Style"/>
        </w:rPr>
      </w:pPr>
      <w:r w:rsidRPr="00120525">
        <w:rPr>
          <w:rFonts w:ascii="Bookman Old Style" w:hAnsi="Bookman Old Style"/>
        </w:rPr>
        <w:t xml:space="preserve">El incumplimiento de cualquiera de los </w:t>
      </w:r>
      <w:r w:rsidR="00985EC5" w:rsidRPr="007955C6">
        <w:rPr>
          <w:rFonts w:ascii="Bookman Old Style" w:hAnsi="Bookman Old Style"/>
        </w:rPr>
        <w:t>requisitos</w:t>
      </w:r>
      <w:r w:rsidRPr="00E10F2E">
        <w:rPr>
          <w:rFonts w:ascii="Bookman Old Style" w:hAnsi="Bookman Old Style"/>
        </w:rPr>
        <w:t xml:space="preserve"> anteriormente señalados</w:t>
      </w:r>
      <w:r w:rsidR="00AC29ED" w:rsidRPr="00E10F2E">
        <w:rPr>
          <w:rFonts w:ascii="Bookman Old Style" w:hAnsi="Bookman Old Style"/>
        </w:rPr>
        <w:t xml:space="preserve"> en los plazos que se definan </w:t>
      </w:r>
      <w:r w:rsidRPr="00E10F2E">
        <w:rPr>
          <w:rFonts w:ascii="Bookman Old Style" w:hAnsi="Bookman Old Style"/>
        </w:rPr>
        <w:t>dará lugar</w:t>
      </w:r>
      <w:r w:rsidR="00AC29ED" w:rsidRPr="00E10F2E">
        <w:rPr>
          <w:rFonts w:ascii="Bookman Old Style" w:hAnsi="Bookman Old Style"/>
        </w:rPr>
        <w:t xml:space="preserve">, según corresponda, a que el agente no pueda participar en la subasta o el mecanismo de asignación o, si se trata de </w:t>
      </w:r>
      <w:r w:rsidR="00AC29ED" w:rsidRPr="00E10F2E">
        <w:rPr>
          <w:rFonts w:ascii="Bookman Old Style" w:hAnsi="Bookman Old Style"/>
        </w:rPr>
        <w:lastRenderedPageBreak/>
        <w:t xml:space="preserve">requisitos que se deban cumplir con posterioridad a </w:t>
      </w:r>
      <w:r w:rsidR="00364C2B" w:rsidRPr="00E10F2E">
        <w:rPr>
          <w:rFonts w:ascii="Bookman Old Style" w:hAnsi="Bookman Old Style"/>
        </w:rPr>
        <w:t xml:space="preserve">la subasta o el mecanismo de </w:t>
      </w:r>
      <w:r w:rsidR="00AC29ED" w:rsidRPr="00E10F2E">
        <w:rPr>
          <w:rFonts w:ascii="Bookman Old Style" w:hAnsi="Bookman Old Style"/>
        </w:rPr>
        <w:t>asignación</w:t>
      </w:r>
      <w:r w:rsidR="00B85C23" w:rsidRPr="00E10F2E">
        <w:rPr>
          <w:rFonts w:ascii="Bookman Old Style" w:hAnsi="Bookman Old Style"/>
        </w:rPr>
        <w:t>,</w:t>
      </w:r>
      <w:r w:rsidR="00AC29ED" w:rsidRPr="00E10F2E">
        <w:rPr>
          <w:rFonts w:ascii="Bookman Old Style" w:hAnsi="Bookman Old Style"/>
        </w:rPr>
        <w:t xml:space="preserve"> a la </w:t>
      </w:r>
      <w:r w:rsidRPr="00E10F2E">
        <w:rPr>
          <w:rFonts w:ascii="Bookman Old Style" w:hAnsi="Bookman Old Style"/>
        </w:rPr>
        <w:t>pérdida</w:t>
      </w:r>
      <w:r w:rsidR="00AC29ED" w:rsidRPr="00E10F2E">
        <w:rPr>
          <w:rFonts w:ascii="Bookman Old Style" w:hAnsi="Bookman Old Style"/>
        </w:rPr>
        <w:t xml:space="preserve"> </w:t>
      </w:r>
      <w:r w:rsidRPr="00E10F2E">
        <w:rPr>
          <w:rFonts w:ascii="Bookman Old Style" w:hAnsi="Bookman Old Style"/>
        </w:rPr>
        <w:t>de la</w:t>
      </w:r>
      <w:r w:rsidR="00AC29ED" w:rsidRPr="00E10F2E">
        <w:rPr>
          <w:rFonts w:ascii="Bookman Old Style" w:hAnsi="Bookman Old Style"/>
        </w:rPr>
        <w:t xml:space="preserve"> totalidad de la </w:t>
      </w:r>
      <w:r w:rsidRPr="00E10F2E">
        <w:rPr>
          <w:rFonts w:ascii="Bookman Old Style" w:hAnsi="Bookman Old Style"/>
        </w:rPr>
        <w:t>Obligaci</w:t>
      </w:r>
      <w:r w:rsidR="00AC29ED" w:rsidRPr="00E10F2E">
        <w:rPr>
          <w:rFonts w:ascii="Bookman Old Style" w:hAnsi="Bookman Old Style"/>
        </w:rPr>
        <w:t>ón</w:t>
      </w:r>
      <w:r w:rsidRPr="00E10F2E">
        <w:rPr>
          <w:rFonts w:ascii="Bookman Old Style" w:hAnsi="Bookman Old Style"/>
        </w:rPr>
        <w:t xml:space="preserve"> de Energía Firme </w:t>
      </w:r>
      <w:r w:rsidR="00AC29ED" w:rsidRPr="00E10F2E">
        <w:rPr>
          <w:rFonts w:ascii="Bookman Old Style" w:hAnsi="Bookman Old Style"/>
        </w:rPr>
        <w:t>respaldada</w:t>
      </w:r>
      <w:r w:rsidRPr="00E10F2E">
        <w:rPr>
          <w:rFonts w:ascii="Bookman Old Style" w:hAnsi="Bookman Old Style"/>
        </w:rPr>
        <w:t xml:space="preserve"> parcial o totalmente con gas natural importado</w:t>
      </w:r>
      <w:r w:rsidR="00906F25" w:rsidRPr="00E10F2E">
        <w:rPr>
          <w:rFonts w:ascii="Bookman Old Style" w:hAnsi="Bookman Old Style"/>
        </w:rPr>
        <w:t>.</w:t>
      </w:r>
      <w:r w:rsidRPr="00E10F2E">
        <w:rPr>
          <w:rFonts w:ascii="Bookman Old Style" w:hAnsi="Bookman Old Style"/>
        </w:rPr>
        <w:t xml:space="preserve"> </w:t>
      </w:r>
    </w:p>
    <w:p w:rsidR="0090324F" w:rsidRPr="00E10F2E" w:rsidRDefault="0090324F" w:rsidP="006635CA">
      <w:pPr>
        <w:ind w:left="0"/>
        <w:jc w:val="both"/>
        <w:rPr>
          <w:rFonts w:ascii="Bookman Old Style" w:hAnsi="Bookman Old Style"/>
        </w:rPr>
      </w:pPr>
    </w:p>
    <w:p w:rsidR="00C90DFD" w:rsidRPr="00E10F2E" w:rsidRDefault="00B7075B" w:rsidP="006635CA">
      <w:pPr>
        <w:ind w:left="0"/>
        <w:jc w:val="both"/>
        <w:rPr>
          <w:rFonts w:ascii="Bookman Old Style" w:hAnsi="Bookman Old Style"/>
        </w:rPr>
      </w:pPr>
      <w:r w:rsidRPr="00E10F2E">
        <w:rPr>
          <w:rFonts w:ascii="Bookman Old Style" w:hAnsi="Bookman Old Style"/>
          <w:b/>
        </w:rPr>
        <w:t>Parágrafo 1</w:t>
      </w:r>
      <w:r w:rsidRPr="00E10F2E">
        <w:rPr>
          <w:rFonts w:ascii="Bookman Old Style" w:hAnsi="Bookman Old Style"/>
        </w:rPr>
        <w:t xml:space="preserve">: </w:t>
      </w:r>
      <w:r w:rsidR="00026A3A" w:rsidRPr="00E10F2E">
        <w:rPr>
          <w:rFonts w:ascii="Bookman Old Style" w:hAnsi="Bookman Old Style"/>
        </w:rPr>
        <w:t xml:space="preserve">El auditor será contratado por el (los) agente(s) generador(es) que se </w:t>
      </w:r>
      <w:r w:rsidR="003D775E" w:rsidRPr="00E10F2E">
        <w:rPr>
          <w:rFonts w:ascii="Bookman Old Style" w:hAnsi="Bookman Old Style"/>
        </w:rPr>
        <w:t>aco</w:t>
      </w:r>
      <w:r w:rsidR="00DD32AC" w:rsidRPr="00E10F2E">
        <w:rPr>
          <w:rFonts w:ascii="Bookman Old Style" w:hAnsi="Bookman Old Style"/>
        </w:rPr>
        <w:t>ja</w:t>
      </w:r>
      <w:r w:rsidR="003D775E" w:rsidRPr="00E10F2E">
        <w:rPr>
          <w:rFonts w:ascii="Bookman Old Style" w:hAnsi="Bookman Old Style"/>
        </w:rPr>
        <w:t>(</w:t>
      </w:r>
      <w:r w:rsidR="00026A3A" w:rsidRPr="00E10F2E">
        <w:rPr>
          <w:rFonts w:ascii="Bookman Old Style" w:hAnsi="Bookman Old Style"/>
        </w:rPr>
        <w:t xml:space="preserve">n) a la </w:t>
      </w:r>
      <w:r w:rsidR="00DD32AC" w:rsidRPr="00E10F2E">
        <w:rPr>
          <w:rFonts w:ascii="Bookman Old Style" w:hAnsi="Bookman Old Style"/>
        </w:rPr>
        <w:t>OPACGNI</w:t>
      </w:r>
      <w:r w:rsidR="00C90DFD" w:rsidRPr="00E10F2E">
        <w:rPr>
          <w:rFonts w:ascii="Bookman Old Style" w:hAnsi="Bookman Old Style"/>
        </w:rPr>
        <w:t>, observando lo dispuesto en el numeral 6.1 del Anexo 6 de la Resolución CREG</w:t>
      </w:r>
      <w:r w:rsidR="002E5FB4" w:rsidRPr="00E10F2E">
        <w:rPr>
          <w:rFonts w:ascii="Bookman Old Style" w:hAnsi="Bookman Old Style"/>
        </w:rPr>
        <w:t xml:space="preserve"> </w:t>
      </w:r>
      <w:r w:rsidR="00C90DFD" w:rsidRPr="00E10F2E">
        <w:rPr>
          <w:rFonts w:ascii="Bookman Old Style" w:hAnsi="Bookman Old Style"/>
        </w:rPr>
        <w:t>071 de 2006,</w:t>
      </w:r>
      <w:r w:rsidR="00026A3A" w:rsidRPr="00E10F2E">
        <w:rPr>
          <w:rFonts w:ascii="Bookman Old Style" w:hAnsi="Bookman Old Style"/>
        </w:rPr>
        <w:t xml:space="preserve"> </w:t>
      </w:r>
      <w:r w:rsidR="00C90DFD" w:rsidRPr="00E10F2E">
        <w:rPr>
          <w:rFonts w:ascii="Bookman Old Style" w:hAnsi="Bookman Old Style"/>
        </w:rPr>
        <w:t xml:space="preserve">seleccionándolo </w:t>
      </w:r>
      <w:r w:rsidR="00026A3A" w:rsidRPr="00E10F2E">
        <w:rPr>
          <w:rFonts w:ascii="Bookman Old Style" w:hAnsi="Bookman Old Style"/>
        </w:rPr>
        <w:t>de una lista de auditores publicada por el CNO gas</w:t>
      </w:r>
      <w:r w:rsidR="00C90DFD" w:rsidRPr="00E10F2E">
        <w:rPr>
          <w:rFonts w:ascii="Bookman Old Style" w:hAnsi="Bookman Old Style"/>
        </w:rPr>
        <w:t>.</w:t>
      </w:r>
    </w:p>
    <w:p w:rsidR="00C90DFD" w:rsidRPr="00E10F2E" w:rsidRDefault="00C90DFD" w:rsidP="006635CA">
      <w:pPr>
        <w:ind w:left="0"/>
        <w:jc w:val="both"/>
        <w:rPr>
          <w:rFonts w:ascii="Bookman Old Style" w:hAnsi="Bookman Old Style"/>
        </w:rPr>
      </w:pPr>
    </w:p>
    <w:p w:rsidR="00B7075B" w:rsidRPr="00E10F2E" w:rsidRDefault="00C90DFD" w:rsidP="006635CA">
      <w:pPr>
        <w:ind w:left="0"/>
        <w:jc w:val="both"/>
        <w:rPr>
          <w:rFonts w:ascii="Bookman Old Style" w:hAnsi="Bookman Old Style"/>
        </w:rPr>
      </w:pPr>
      <w:r w:rsidRPr="00E10F2E">
        <w:rPr>
          <w:rFonts w:ascii="Bookman Old Style" w:hAnsi="Bookman Old Style"/>
        </w:rPr>
        <w:t xml:space="preserve">El CNO gas </w:t>
      </w:r>
      <w:r w:rsidR="00026A3A" w:rsidRPr="00E10F2E">
        <w:rPr>
          <w:rFonts w:ascii="Bookman Old Style" w:hAnsi="Bookman Old Style"/>
        </w:rPr>
        <w:t xml:space="preserve">publicará </w:t>
      </w:r>
      <w:r w:rsidRPr="00E10F2E">
        <w:rPr>
          <w:rFonts w:ascii="Bookman Old Style" w:hAnsi="Bookman Old Style"/>
        </w:rPr>
        <w:t xml:space="preserve">la </w:t>
      </w:r>
      <w:r w:rsidR="00026A3A" w:rsidRPr="00E10F2E">
        <w:rPr>
          <w:rFonts w:ascii="Bookman Old Style" w:hAnsi="Bookman Old Style"/>
        </w:rPr>
        <w:t>lista en un plazo de seis (6) meses contados a</w:t>
      </w:r>
      <w:r w:rsidR="00AB2848" w:rsidRPr="00E10F2E">
        <w:rPr>
          <w:rFonts w:ascii="Bookman Old Style" w:hAnsi="Bookman Old Style"/>
        </w:rPr>
        <w:t xml:space="preserve"> partir de</w:t>
      </w:r>
      <w:r w:rsidR="00026A3A" w:rsidRPr="00E10F2E">
        <w:rPr>
          <w:rFonts w:ascii="Bookman Old Style" w:hAnsi="Bookman Old Style"/>
        </w:rPr>
        <w:t xml:space="preserve"> la </w:t>
      </w:r>
      <w:r w:rsidR="00AB2848" w:rsidRPr="00E10F2E">
        <w:rPr>
          <w:rFonts w:ascii="Bookman Old Style" w:hAnsi="Bookman Old Style"/>
        </w:rPr>
        <w:t xml:space="preserve">vigencia </w:t>
      </w:r>
      <w:r w:rsidR="00026A3A" w:rsidRPr="00E10F2E">
        <w:rPr>
          <w:rFonts w:ascii="Bookman Old Style" w:hAnsi="Bookman Old Style"/>
        </w:rPr>
        <w:t>de la presente resolución. El CNO gas podrá actualizar la lista cuando lo considere conveniente.</w:t>
      </w:r>
    </w:p>
    <w:p w:rsidR="00B7075B" w:rsidRPr="00E10F2E" w:rsidRDefault="00B7075B" w:rsidP="006635CA">
      <w:pPr>
        <w:ind w:left="0"/>
        <w:jc w:val="both"/>
        <w:rPr>
          <w:rFonts w:ascii="Bookman Old Style" w:hAnsi="Bookman Old Style"/>
        </w:rPr>
      </w:pPr>
    </w:p>
    <w:p w:rsidR="00C90DFD" w:rsidRPr="00E10F2E" w:rsidRDefault="006635CA" w:rsidP="006635CA">
      <w:pPr>
        <w:ind w:left="0"/>
        <w:jc w:val="both"/>
        <w:rPr>
          <w:rFonts w:ascii="Bookman Old Style" w:hAnsi="Bookman Old Style"/>
        </w:rPr>
      </w:pPr>
      <w:r w:rsidRPr="00E10F2E">
        <w:rPr>
          <w:rFonts w:ascii="Bookman Old Style" w:hAnsi="Bookman Old Style"/>
          <w:b/>
        </w:rPr>
        <w:t>Parágrafo</w:t>
      </w:r>
      <w:r w:rsidR="00B7075B" w:rsidRPr="00E10F2E">
        <w:rPr>
          <w:rFonts w:ascii="Bookman Old Style" w:hAnsi="Bookman Old Style"/>
          <w:b/>
        </w:rPr>
        <w:t xml:space="preserve"> 2</w:t>
      </w:r>
      <w:r w:rsidR="003D775E" w:rsidRPr="00E10F2E">
        <w:rPr>
          <w:rFonts w:ascii="Bookman Old Style" w:hAnsi="Bookman Old Style"/>
          <w:b/>
        </w:rPr>
        <w:t>:</w:t>
      </w:r>
      <w:r w:rsidR="003D775E" w:rsidRPr="00E10F2E">
        <w:rPr>
          <w:rFonts w:ascii="Bookman Old Style" w:hAnsi="Bookman Old Style"/>
        </w:rPr>
        <w:t xml:space="preserve"> Quienes</w:t>
      </w:r>
      <w:r w:rsidRPr="00E10F2E">
        <w:rPr>
          <w:rFonts w:ascii="Bookman Old Style" w:hAnsi="Bookman Old Style"/>
        </w:rPr>
        <w:t xml:space="preserve"> para respaldar las OEF </w:t>
      </w:r>
      <w:r w:rsidR="00745C2C">
        <w:rPr>
          <w:rFonts w:ascii="Bookman Old Style" w:hAnsi="Bookman Old Style"/>
        </w:rPr>
        <w:t xml:space="preserve">con gas natural importado </w:t>
      </w:r>
      <w:r w:rsidRPr="00E10F2E">
        <w:rPr>
          <w:rFonts w:ascii="Bookman Old Style" w:hAnsi="Bookman Old Style"/>
        </w:rPr>
        <w:t>requieran nueva infraestructura de importación de gas natural deberán entregar</w:t>
      </w:r>
      <w:r w:rsidR="00DD32AC" w:rsidRPr="00E10F2E">
        <w:rPr>
          <w:rFonts w:ascii="Bookman Old Style" w:hAnsi="Bookman Old Style"/>
        </w:rPr>
        <w:t xml:space="preserve"> </w:t>
      </w:r>
      <w:r w:rsidRPr="00E10F2E">
        <w:rPr>
          <w:rFonts w:ascii="Bookman Old Style" w:hAnsi="Bookman Old Style"/>
        </w:rPr>
        <w:t>la garantía de suministro combustible definida en el Capítulo 5 de</w:t>
      </w:r>
      <w:r w:rsidR="00DD32AC" w:rsidRPr="00E10F2E">
        <w:rPr>
          <w:rFonts w:ascii="Bookman Old Style" w:hAnsi="Bookman Old Style"/>
        </w:rPr>
        <w:t xml:space="preserve"> la Resolución CREG 061 de 2007 en la fecha definida para entrega de garantías, según el cronograma que defin</w:t>
      </w:r>
      <w:r w:rsidR="00C37867" w:rsidRPr="00E10F2E">
        <w:rPr>
          <w:rFonts w:ascii="Bookman Old Style" w:hAnsi="Bookman Old Style"/>
        </w:rPr>
        <w:t>a</w:t>
      </w:r>
      <w:r w:rsidR="00DD32AC" w:rsidRPr="00E10F2E">
        <w:rPr>
          <w:rFonts w:ascii="Bookman Old Style" w:hAnsi="Bookman Old Style"/>
        </w:rPr>
        <w:t xml:space="preserve"> la Comisión en cumplimiento del artículo 18 de la Resolución CREG 071 de 2006.</w:t>
      </w:r>
    </w:p>
    <w:p w:rsidR="00C90DFD" w:rsidRPr="00E10F2E" w:rsidRDefault="00C90DFD" w:rsidP="006635CA">
      <w:pPr>
        <w:ind w:left="0"/>
        <w:jc w:val="both"/>
        <w:rPr>
          <w:rFonts w:ascii="Bookman Old Style" w:hAnsi="Bookman Old Style"/>
        </w:rPr>
      </w:pPr>
    </w:p>
    <w:p w:rsidR="00F50CD1" w:rsidRPr="00E10F2E" w:rsidRDefault="00432177" w:rsidP="00BA5842">
      <w:pPr>
        <w:ind w:left="0"/>
        <w:jc w:val="both"/>
        <w:rPr>
          <w:rFonts w:ascii="Bookman Old Style" w:hAnsi="Bookman Old Style"/>
        </w:rPr>
      </w:pPr>
      <w:r w:rsidRPr="00E10F2E">
        <w:rPr>
          <w:rFonts w:ascii="Bookman Old Style" w:hAnsi="Bookman Old Style"/>
          <w:b/>
        </w:rPr>
        <w:t xml:space="preserve">Parágrafo 3: </w:t>
      </w:r>
      <w:r w:rsidR="00F50CD1" w:rsidRPr="00120525">
        <w:rPr>
          <w:rFonts w:ascii="Bookman Old Style" w:hAnsi="Bookman Old Style"/>
        </w:rPr>
        <w:t xml:space="preserve">Para el </w:t>
      </w:r>
      <w:r w:rsidR="00F50CD1" w:rsidRPr="00273BC2">
        <w:rPr>
          <w:rFonts w:ascii="Bookman Old Style" w:hAnsi="Bookman Old Style"/>
        </w:rPr>
        <w:t>cálculo</w:t>
      </w:r>
      <w:r w:rsidR="00F50CD1" w:rsidRPr="007955C6">
        <w:rPr>
          <w:rFonts w:ascii="Bookman Old Style" w:hAnsi="Bookman Old Style"/>
        </w:rPr>
        <w:t xml:space="preserve"> de los índices TCR e IMM de que trata</w:t>
      </w:r>
      <w:r w:rsidR="00F50CD1" w:rsidRPr="00E10F2E">
        <w:rPr>
          <w:rFonts w:ascii="Bookman Old Style" w:hAnsi="Bookman Old Style"/>
        </w:rPr>
        <w:t xml:space="preserve"> el Anexo 3 de la Resolución CREG 071 de 2006 se aplicará lo siguiente:</w:t>
      </w:r>
    </w:p>
    <w:p w:rsidR="00F50CD1" w:rsidRPr="00E10F2E" w:rsidRDefault="00F50CD1" w:rsidP="00F50CD1">
      <w:pPr>
        <w:ind w:left="0"/>
        <w:jc w:val="both"/>
        <w:rPr>
          <w:rFonts w:ascii="Bookman Old Style" w:hAnsi="Bookman Old Style"/>
        </w:rPr>
      </w:pPr>
    </w:p>
    <w:p w:rsidR="00F50CD1" w:rsidRPr="00E10F2E" w:rsidRDefault="00F50CD1" w:rsidP="004B6EDA">
      <w:pPr>
        <w:pStyle w:val="Prrafodelista"/>
        <w:numPr>
          <w:ilvl w:val="0"/>
          <w:numId w:val="41"/>
        </w:numPr>
        <w:jc w:val="both"/>
        <w:rPr>
          <w:rFonts w:ascii="Bookman Old Style" w:hAnsi="Bookman Old Style"/>
          <w:sz w:val="24"/>
        </w:rPr>
      </w:pPr>
      <w:r w:rsidRPr="00E10F2E">
        <w:rPr>
          <w:rFonts w:ascii="Bookman Old Style" w:hAnsi="Bookman Old Style"/>
          <w:sz w:val="24"/>
        </w:rPr>
        <w:t xml:space="preserve">Para el cálculo del índice TCR se aplicará lo definido en el Anexo 3 de la Resolución CREG 071 de 2006. </w:t>
      </w:r>
    </w:p>
    <w:p w:rsidR="00F50CD1" w:rsidRPr="00E10F2E" w:rsidRDefault="00F50CD1" w:rsidP="00F50CD1">
      <w:pPr>
        <w:ind w:left="360"/>
        <w:jc w:val="both"/>
        <w:rPr>
          <w:rFonts w:ascii="Bookman Old Style" w:hAnsi="Bookman Old Style"/>
          <w:lang w:val="es-CO"/>
        </w:rPr>
      </w:pPr>
    </w:p>
    <w:p w:rsidR="00FC65D7" w:rsidRPr="00E10F2E" w:rsidRDefault="00FC65D7" w:rsidP="004B6EDA">
      <w:pPr>
        <w:pStyle w:val="Prrafodelista"/>
        <w:numPr>
          <w:ilvl w:val="0"/>
          <w:numId w:val="41"/>
        </w:numPr>
        <w:jc w:val="both"/>
        <w:rPr>
          <w:rFonts w:ascii="Bookman Old Style" w:hAnsi="Bookman Old Style"/>
          <w:sz w:val="24"/>
        </w:rPr>
      </w:pPr>
      <w:r w:rsidRPr="00E10F2E">
        <w:rPr>
          <w:rFonts w:ascii="Bookman Old Style" w:hAnsi="Bookman Old Style"/>
          <w:sz w:val="24"/>
        </w:rPr>
        <w:t>Para el cálculo del índice IMM la CREG utilizará la capacidad de la infraestructura de importación, asimilándola a la capacidad de producción del campo, y los contratos para el uso de esa infraestructura.</w:t>
      </w:r>
    </w:p>
    <w:p w:rsidR="00F50CD1" w:rsidRPr="004B6EDA" w:rsidRDefault="00F50CD1" w:rsidP="00842512">
      <w:pPr>
        <w:ind w:left="0"/>
        <w:jc w:val="both"/>
        <w:rPr>
          <w:rFonts w:ascii="Bookman Old Style" w:hAnsi="Bookman Old Style"/>
          <w:lang w:val="es-CO"/>
        </w:rPr>
      </w:pPr>
    </w:p>
    <w:p w:rsidR="00842512" w:rsidRPr="00E10F2E" w:rsidRDefault="002F40F0" w:rsidP="00842512">
      <w:pPr>
        <w:ind w:left="0"/>
        <w:jc w:val="both"/>
        <w:rPr>
          <w:rFonts w:ascii="Bookman Old Style" w:hAnsi="Bookman Old Style"/>
        </w:rPr>
      </w:pPr>
      <w:r w:rsidRPr="00E10F2E">
        <w:rPr>
          <w:rFonts w:ascii="Bookman Old Style" w:hAnsi="Bookman Old Style"/>
          <w:b/>
        </w:rPr>
        <w:t xml:space="preserve">Parágrafo </w:t>
      </w:r>
      <w:r w:rsidRPr="00120525">
        <w:rPr>
          <w:rFonts w:ascii="Bookman Old Style" w:hAnsi="Bookman Old Style"/>
          <w:b/>
        </w:rPr>
        <w:t>4</w:t>
      </w:r>
      <w:r w:rsidR="006D6E4A" w:rsidRPr="00273BC2">
        <w:rPr>
          <w:rFonts w:ascii="Bookman Old Style" w:hAnsi="Bookman Old Style"/>
          <w:b/>
        </w:rPr>
        <w:t>.</w:t>
      </w:r>
      <w:r w:rsidR="00842512" w:rsidRPr="007955C6">
        <w:rPr>
          <w:rFonts w:ascii="Bookman Old Style" w:hAnsi="Bookman Old Style"/>
        </w:rPr>
        <w:t xml:space="preserve"> El gas natural importado que entre al SNT deberá cumplir las disposiciones establecidas en el Reglamento Único de </w:t>
      </w:r>
      <w:r w:rsidR="00842512" w:rsidRPr="00E10F2E">
        <w:rPr>
          <w:rFonts w:ascii="Bookman Old Style" w:hAnsi="Bookman Old Style"/>
        </w:rPr>
        <w:t>Transporte o aquellas disposiciones que lo modifiquen, adicionen o complementen.</w:t>
      </w:r>
    </w:p>
    <w:p w:rsidR="00842512" w:rsidRPr="00E10F2E" w:rsidRDefault="00842512" w:rsidP="00810564">
      <w:pPr>
        <w:pStyle w:val="Prrafodelista"/>
        <w:ind w:left="1080"/>
        <w:jc w:val="both"/>
        <w:rPr>
          <w:rFonts w:ascii="Bookman Old Style" w:hAnsi="Bookman Old Style"/>
          <w:sz w:val="24"/>
          <w:lang w:val="es-ES"/>
        </w:rPr>
      </w:pPr>
    </w:p>
    <w:p w:rsidR="00887453" w:rsidRPr="00E10F2E" w:rsidRDefault="00887453" w:rsidP="006635CA">
      <w:pPr>
        <w:ind w:left="0"/>
        <w:jc w:val="both"/>
        <w:rPr>
          <w:rFonts w:ascii="Bookman Old Style" w:hAnsi="Bookman Old Style"/>
        </w:rPr>
      </w:pPr>
      <w:r w:rsidRPr="00120525">
        <w:rPr>
          <w:rFonts w:ascii="Bookman Old Style" w:hAnsi="Bookman Old Style"/>
          <w:b/>
        </w:rPr>
        <w:t>A</w:t>
      </w:r>
      <w:r w:rsidR="00D33CDE" w:rsidRPr="00273BC2">
        <w:rPr>
          <w:rFonts w:ascii="Bookman Old Style" w:hAnsi="Bookman Old Style"/>
          <w:b/>
        </w:rPr>
        <w:t>RTÍCULO</w:t>
      </w:r>
      <w:r w:rsidRPr="007955C6">
        <w:rPr>
          <w:rFonts w:ascii="Bookman Old Style" w:hAnsi="Bookman Old Style"/>
          <w:b/>
        </w:rPr>
        <w:t xml:space="preserve"> 5. Auditor</w:t>
      </w:r>
      <w:r w:rsidRPr="00E10F2E">
        <w:rPr>
          <w:rFonts w:ascii="Bookman Old Style" w:hAnsi="Bookman Old Style"/>
          <w:b/>
        </w:rPr>
        <w:t xml:space="preserve">ía </w:t>
      </w:r>
      <w:r w:rsidR="00437419" w:rsidRPr="00E10F2E">
        <w:rPr>
          <w:rFonts w:ascii="Bookman Old Style" w:hAnsi="Bookman Old Style"/>
          <w:b/>
        </w:rPr>
        <w:t xml:space="preserve">de </w:t>
      </w:r>
      <w:r w:rsidRPr="00E10F2E">
        <w:rPr>
          <w:rFonts w:ascii="Bookman Old Style" w:hAnsi="Bookman Old Style"/>
          <w:b/>
        </w:rPr>
        <w:t xml:space="preserve">construcción </w:t>
      </w:r>
      <w:r w:rsidR="00746AF2" w:rsidRPr="00E10F2E">
        <w:rPr>
          <w:rFonts w:ascii="Bookman Old Style" w:hAnsi="Bookman Old Style"/>
          <w:b/>
        </w:rPr>
        <w:t xml:space="preserve">de </w:t>
      </w:r>
      <w:r w:rsidR="000B0B3A">
        <w:rPr>
          <w:rFonts w:ascii="Bookman Old Style" w:hAnsi="Bookman Old Style"/>
          <w:b/>
        </w:rPr>
        <w:t>N</w:t>
      </w:r>
      <w:r w:rsidRPr="00E10F2E">
        <w:rPr>
          <w:rFonts w:ascii="Bookman Old Style" w:hAnsi="Bookman Old Style"/>
          <w:b/>
        </w:rPr>
        <w:t xml:space="preserve">ueva infraestructura </w:t>
      </w:r>
      <w:r w:rsidR="00746AF2" w:rsidRPr="00E10F2E">
        <w:rPr>
          <w:rFonts w:ascii="Bookman Old Style" w:hAnsi="Bookman Old Style"/>
          <w:b/>
        </w:rPr>
        <w:t xml:space="preserve">para  </w:t>
      </w:r>
      <w:r w:rsidRPr="00E10F2E">
        <w:rPr>
          <w:rFonts w:ascii="Bookman Old Style" w:hAnsi="Bookman Old Style"/>
          <w:b/>
        </w:rPr>
        <w:t>importación</w:t>
      </w:r>
      <w:r w:rsidR="000B0B3A">
        <w:rPr>
          <w:rFonts w:ascii="Bookman Old Style" w:hAnsi="Bookman Old Style"/>
          <w:b/>
        </w:rPr>
        <w:t xml:space="preserve"> de gas natural</w:t>
      </w:r>
      <w:r w:rsidRPr="00E10F2E">
        <w:rPr>
          <w:rFonts w:ascii="Bookman Old Style" w:hAnsi="Bookman Old Style"/>
          <w:b/>
        </w:rPr>
        <w:t xml:space="preserve"> para la OPACGNI</w:t>
      </w:r>
      <w:r w:rsidRPr="00E10F2E">
        <w:rPr>
          <w:rFonts w:ascii="Bookman Old Style" w:hAnsi="Bookman Old Style"/>
        </w:rPr>
        <w:t xml:space="preserve">. Los agentes generadores </w:t>
      </w:r>
      <w:r w:rsidR="00AC70EB" w:rsidRPr="00E10F2E">
        <w:rPr>
          <w:rFonts w:ascii="Bookman Old Style" w:hAnsi="Bookman Old Style"/>
        </w:rPr>
        <w:t xml:space="preserve">que se acojan a </w:t>
      </w:r>
      <w:r w:rsidRPr="00E10F2E">
        <w:rPr>
          <w:rFonts w:ascii="Bookman Old Style" w:hAnsi="Bookman Old Style"/>
        </w:rPr>
        <w:t>la OPACGNI con la construcción de la infraestructura nueva para importación de gas natural de un mercado líquido deberán</w:t>
      </w:r>
      <w:r w:rsidR="009A408D" w:rsidRPr="00E10F2E">
        <w:rPr>
          <w:rFonts w:ascii="Bookman Old Style" w:hAnsi="Bookman Old Style"/>
        </w:rPr>
        <w:t xml:space="preserve"> adoptar las medidas necesarias </w:t>
      </w:r>
      <w:r w:rsidRPr="00E10F2E">
        <w:rPr>
          <w:rFonts w:ascii="Bookman Old Style" w:hAnsi="Bookman Old Style"/>
        </w:rPr>
        <w:t xml:space="preserve"> </w:t>
      </w:r>
      <w:r w:rsidR="009A408D" w:rsidRPr="00E10F2E">
        <w:rPr>
          <w:rFonts w:ascii="Bookman Old Style" w:hAnsi="Bookman Old Style"/>
        </w:rPr>
        <w:t xml:space="preserve">para garantizar que se realice </w:t>
      </w:r>
      <w:r w:rsidR="000B7A20" w:rsidRPr="00E10F2E">
        <w:rPr>
          <w:rFonts w:ascii="Bookman Old Style" w:hAnsi="Bookman Old Style"/>
        </w:rPr>
        <w:t xml:space="preserve">una auditoría </w:t>
      </w:r>
      <w:r w:rsidR="009311B5" w:rsidRPr="00E10F2E">
        <w:rPr>
          <w:rFonts w:ascii="Bookman Old Style" w:hAnsi="Bookman Old Style"/>
        </w:rPr>
        <w:t xml:space="preserve">durante el proceso de construcción </w:t>
      </w:r>
      <w:r w:rsidR="003F1D03" w:rsidRPr="00E10F2E">
        <w:rPr>
          <w:rFonts w:ascii="Bookman Old Style" w:hAnsi="Bookman Old Style"/>
        </w:rPr>
        <w:t xml:space="preserve">para cada </w:t>
      </w:r>
      <w:r w:rsidR="009311B5">
        <w:rPr>
          <w:rFonts w:ascii="Bookman Old Style" w:hAnsi="Bookman Old Style"/>
        </w:rPr>
        <w:t>N</w:t>
      </w:r>
      <w:r w:rsidR="003F1D03" w:rsidRPr="00E10F2E">
        <w:rPr>
          <w:rFonts w:ascii="Bookman Old Style" w:hAnsi="Bookman Old Style"/>
        </w:rPr>
        <w:t>ueva infraestructura</w:t>
      </w:r>
      <w:r w:rsidR="009311B5">
        <w:rPr>
          <w:rFonts w:ascii="Bookman Old Style" w:hAnsi="Bookman Old Style"/>
        </w:rPr>
        <w:t xml:space="preserve"> que deberá cumplir</w:t>
      </w:r>
      <w:r w:rsidR="003F1D03" w:rsidRPr="00E10F2E">
        <w:rPr>
          <w:rFonts w:ascii="Bookman Old Style" w:hAnsi="Bookman Old Style"/>
        </w:rPr>
        <w:t xml:space="preserve"> </w:t>
      </w:r>
      <w:r w:rsidR="000B7A20" w:rsidRPr="00E10F2E">
        <w:rPr>
          <w:rFonts w:ascii="Bookman Old Style" w:hAnsi="Bookman Old Style"/>
        </w:rPr>
        <w:t>lo</w:t>
      </w:r>
      <w:r w:rsidR="006C1DB8" w:rsidRPr="00E10F2E">
        <w:rPr>
          <w:rFonts w:ascii="Bookman Old Style" w:hAnsi="Bookman Old Style"/>
        </w:rPr>
        <w:t>s</w:t>
      </w:r>
      <w:r w:rsidR="000B7A20" w:rsidRPr="00E10F2E">
        <w:rPr>
          <w:rFonts w:ascii="Bookman Old Style" w:hAnsi="Bookman Old Style"/>
        </w:rPr>
        <w:t xml:space="preserve"> siguiente</w:t>
      </w:r>
      <w:r w:rsidR="006C1DB8" w:rsidRPr="00E10F2E">
        <w:rPr>
          <w:rFonts w:ascii="Bookman Old Style" w:hAnsi="Bookman Old Style"/>
        </w:rPr>
        <w:t>s requisitos</w:t>
      </w:r>
      <w:r w:rsidRPr="00E10F2E">
        <w:rPr>
          <w:rFonts w:ascii="Bookman Old Style" w:hAnsi="Bookman Old Style"/>
        </w:rPr>
        <w:t>:</w:t>
      </w:r>
    </w:p>
    <w:p w:rsidR="000B7A20" w:rsidRPr="00E10F2E" w:rsidRDefault="000B7A20" w:rsidP="006635CA">
      <w:pPr>
        <w:ind w:left="0"/>
        <w:jc w:val="both"/>
        <w:rPr>
          <w:rFonts w:ascii="Bookman Old Style" w:hAnsi="Bookman Old Style"/>
        </w:rPr>
      </w:pPr>
    </w:p>
    <w:p w:rsidR="00D52ADC" w:rsidRPr="00E10F2E" w:rsidRDefault="000B7A20" w:rsidP="004B6EDA">
      <w:pPr>
        <w:pStyle w:val="Prrafodelista"/>
        <w:numPr>
          <w:ilvl w:val="0"/>
          <w:numId w:val="18"/>
        </w:numPr>
        <w:jc w:val="both"/>
        <w:rPr>
          <w:rFonts w:ascii="Bookman Old Style" w:hAnsi="Bookman Old Style"/>
          <w:sz w:val="24"/>
          <w:szCs w:val="24"/>
        </w:rPr>
      </w:pPr>
      <w:r w:rsidRPr="00E10F2E">
        <w:rPr>
          <w:rFonts w:ascii="Bookman Old Style" w:hAnsi="Bookman Old Style"/>
          <w:sz w:val="24"/>
          <w:szCs w:val="24"/>
        </w:rPr>
        <w:t>Será contratada por el ASIC observando lo dispuesto en el numeral 6.1 de</w:t>
      </w:r>
      <w:r w:rsidR="002E5FB4" w:rsidRPr="00E10F2E">
        <w:rPr>
          <w:rFonts w:ascii="Bookman Old Style" w:hAnsi="Bookman Old Style"/>
          <w:sz w:val="24"/>
          <w:szCs w:val="24"/>
        </w:rPr>
        <w:t xml:space="preserve">l Anexo 6 de la Resolución CREG </w:t>
      </w:r>
      <w:r w:rsidRPr="00E10F2E">
        <w:rPr>
          <w:rFonts w:ascii="Bookman Old Style" w:hAnsi="Bookman Old Style"/>
          <w:sz w:val="24"/>
          <w:szCs w:val="24"/>
        </w:rPr>
        <w:t>071 de 2006, seleccionándolo de una lista de auditores publicada por el CNO gas</w:t>
      </w:r>
      <w:r w:rsidR="00D52ADC" w:rsidRPr="00E10F2E">
        <w:rPr>
          <w:rFonts w:ascii="Bookman Old Style" w:hAnsi="Bookman Old Style"/>
          <w:sz w:val="24"/>
          <w:szCs w:val="24"/>
        </w:rPr>
        <w:t>.</w:t>
      </w:r>
    </w:p>
    <w:p w:rsidR="00D52ADC" w:rsidRPr="004B6EDA" w:rsidRDefault="00D52ADC" w:rsidP="004B6EDA">
      <w:pPr>
        <w:jc w:val="both"/>
        <w:rPr>
          <w:rFonts w:ascii="Bookman Old Style" w:hAnsi="Bookman Old Style"/>
        </w:rPr>
      </w:pPr>
    </w:p>
    <w:p w:rsidR="002A6056" w:rsidRPr="004B6EDA" w:rsidRDefault="006B305C" w:rsidP="004B6EDA">
      <w:pPr>
        <w:pStyle w:val="Prrafodelista"/>
        <w:numPr>
          <w:ilvl w:val="0"/>
          <w:numId w:val="18"/>
        </w:numPr>
        <w:jc w:val="both"/>
        <w:rPr>
          <w:rFonts w:ascii="Bookman Old Style" w:hAnsi="Bookman Old Style"/>
          <w:sz w:val="24"/>
          <w:szCs w:val="24"/>
        </w:rPr>
      </w:pPr>
      <w:r w:rsidRPr="004B6EDA">
        <w:rPr>
          <w:rFonts w:ascii="Bookman Old Style" w:hAnsi="Bookman Old Style"/>
          <w:sz w:val="24"/>
          <w:szCs w:val="24"/>
        </w:rPr>
        <w:t xml:space="preserve">El costo de auditoría será </w:t>
      </w:r>
      <w:r w:rsidR="003F1D03" w:rsidRPr="004B6EDA">
        <w:rPr>
          <w:rFonts w:ascii="Bookman Old Style" w:hAnsi="Bookman Old Style"/>
          <w:sz w:val="24"/>
          <w:szCs w:val="24"/>
        </w:rPr>
        <w:t xml:space="preserve">pagado </w:t>
      </w:r>
      <w:r w:rsidRPr="004B6EDA">
        <w:rPr>
          <w:rFonts w:ascii="Bookman Old Style" w:hAnsi="Bookman Old Style"/>
          <w:sz w:val="24"/>
          <w:szCs w:val="24"/>
        </w:rPr>
        <w:t xml:space="preserve">por la(s) planta(s) y/o unidad(es) térmica(s) que </w:t>
      </w:r>
      <w:r w:rsidR="001F65D8" w:rsidRPr="004B6EDA">
        <w:rPr>
          <w:rFonts w:ascii="Bookman Old Style" w:hAnsi="Bookman Old Style"/>
          <w:sz w:val="24"/>
          <w:szCs w:val="24"/>
        </w:rPr>
        <w:t xml:space="preserve">se </w:t>
      </w:r>
      <w:r w:rsidR="009C551C" w:rsidRPr="004B6EDA">
        <w:rPr>
          <w:rFonts w:ascii="Bookman Old Style" w:hAnsi="Bookman Old Style"/>
          <w:sz w:val="24"/>
          <w:szCs w:val="24"/>
        </w:rPr>
        <w:t xml:space="preserve">hayan </w:t>
      </w:r>
      <w:r w:rsidR="001F65D8" w:rsidRPr="004B6EDA">
        <w:rPr>
          <w:rFonts w:ascii="Bookman Old Style" w:hAnsi="Bookman Old Style"/>
          <w:sz w:val="24"/>
          <w:szCs w:val="24"/>
        </w:rPr>
        <w:t xml:space="preserve">acogido a la </w:t>
      </w:r>
      <w:r w:rsidRPr="004B6EDA">
        <w:rPr>
          <w:rFonts w:ascii="Bookman Old Style" w:hAnsi="Bookman Old Style"/>
          <w:sz w:val="24"/>
          <w:szCs w:val="24"/>
        </w:rPr>
        <w:t xml:space="preserve">OPACGNI </w:t>
      </w:r>
      <w:r w:rsidR="00432419" w:rsidRPr="004B6EDA">
        <w:rPr>
          <w:rFonts w:ascii="Bookman Old Style" w:hAnsi="Bookman Old Style"/>
          <w:sz w:val="24"/>
          <w:szCs w:val="24"/>
        </w:rPr>
        <w:t xml:space="preserve">con la </w:t>
      </w:r>
      <w:r w:rsidR="00960E8C">
        <w:rPr>
          <w:rFonts w:ascii="Bookman Old Style" w:hAnsi="Bookman Old Style"/>
          <w:sz w:val="24"/>
          <w:szCs w:val="24"/>
        </w:rPr>
        <w:t xml:space="preserve">misma </w:t>
      </w:r>
      <w:r w:rsidR="009311B5">
        <w:rPr>
          <w:rFonts w:ascii="Bookman Old Style" w:hAnsi="Bookman Old Style"/>
          <w:sz w:val="24"/>
          <w:szCs w:val="24"/>
        </w:rPr>
        <w:t>N</w:t>
      </w:r>
      <w:r w:rsidR="00432419" w:rsidRPr="004B6EDA">
        <w:rPr>
          <w:rFonts w:ascii="Bookman Old Style" w:hAnsi="Bookman Old Style"/>
          <w:sz w:val="24"/>
          <w:szCs w:val="24"/>
        </w:rPr>
        <w:t xml:space="preserve">ueva infraestructura, </w:t>
      </w:r>
      <w:r w:rsidRPr="004B6EDA">
        <w:rPr>
          <w:rFonts w:ascii="Bookman Old Style" w:hAnsi="Bookman Old Style"/>
          <w:sz w:val="24"/>
          <w:szCs w:val="24"/>
        </w:rPr>
        <w:t>en proporción a la cantidad respaldada con esta opción.</w:t>
      </w:r>
      <w:r w:rsidR="00CF08C9" w:rsidRPr="004B6EDA">
        <w:rPr>
          <w:rFonts w:ascii="Bookman Old Style" w:hAnsi="Bookman Old Style"/>
          <w:sz w:val="24"/>
          <w:szCs w:val="24"/>
        </w:rPr>
        <w:t xml:space="preserve"> </w:t>
      </w:r>
    </w:p>
    <w:p w:rsidR="00CF08C9" w:rsidRDefault="00CF08C9" w:rsidP="004B6EDA">
      <w:pPr>
        <w:jc w:val="both"/>
        <w:rPr>
          <w:rFonts w:ascii="Bookman Old Style" w:hAnsi="Bookman Old Style"/>
        </w:rPr>
      </w:pPr>
    </w:p>
    <w:p w:rsidR="004B6EDA" w:rsidRDefault="004B6EDA" w:rsidP="004B6EDA">
      <w:pPr>
        <w:jc w:val="both"/>
        <w:rPr>
          <w:rFonts w:ascii="Bookman Old Style" w:hAnsi="Bookman Old Style"/>
        </w:rPr>
      </w:pPr>
    </w:p>
    <w:p w:rsidR="004B6EDA" w:rsidRPr="004B6EDA" w:rsidRDefault="004B6EDA" w:rsidP="004B6EDA">
      <w:pPr>
        <w:jc w:val="both"/>
        <w:rPr>
          <w:rFonts w:ascii="Bookman Old Style" w:hAnsi="Bookman Old Style"/>
        </w:rPr>
      </w:pPr>
    </w:p>
    <w:p w:rsidR="002A6056" w:rsidRPr="00E10F2E" w:rsidRDefault="002A6056" w:rsidP="006B305C">
      <w:pPr>
        <w:pStyle w:val="Prrafodelista"/>
        <w:numPr>
          <w:ilvl w:val="0"/>
          <w:numId w:val="18"/>
        </w:numPr>
        <w:jc w:val="both"/>
        <w:rPr>
          <w:rFonts w:ascii="Bookman Old Style" w:hAnsi="Bookman Old Style"/>
          <w:sz w:val="24"/>
          <w:szCs w:val="24"/>
        </w:rPr>
      </w:pPr>
      <w:r w:rsidRPr="00E10F2E">
        <w:rPr>
          <w:rFonts w:ascii="Bookman Old Style" w:hAnsi="Bookman Old Style"/>
          <w:sz w:val="24"/>
          <w:szCs w:val="24"/>
        </w:rPr>
        <w:t xml:space="preserve">El Auditor designado para </w:t>
      </w:r>
      <w:r w:rsidRPr="00120525">
        <w:rPr>
          <w:rFonts w:ascii="Bookman Old Style" w:hAnsi="Bookman Old Style"/>
          <w:sz w:val="24"/>
          <w:szCs w:val="24"/>
        </w:rPr>
        <w:t>verificar el cumplimiento del cronograma de construcción</w:t>
      </w:r>
      <w:r w:rsidR="00602952" w:rsidRPr="00273BC2">
        <w:rPr>
          <w:rFonts w:ascii="Bookman Old Style" w:hAnsi="Bookman Old Style"/>
          <w:sz w:val="24"/>
          <w:szCs w:val="24"/>
        </w:rPr>
        <w:t>, la curva S</w:t>
      </w:r>
      <w:r w:rsidRPr="007955C6">
        <w:rPr>
          <w:rFonts w:ascii="Bookman Old Style" w:hAnsi="Bookman Old Style"/>
          <w:sz w:val="24"/>
          <w:szCs w:val="24"/>
        </w:rPr>
        <w:t xml:space="preserve"> y la puesta en operación de la </w:t>
      </w:r>
      <w:r w:rsidR="003F1D03" w:rsidRPr="00E10F2E">
        <w:rPr>
          <w:rFonts w:ascii="Bookman Old Style" w:hAnsi="Bookman Old Style"/>
          <w:sz w:val="24"/>
          <w:szCs w:val="24"/>
        </w:rPr>
        <w:t>infraestructura</w:t>
      </w:r>
      <w:r w:rsidRPr="00E10F2E">
        <w:rPr>
          <w:rFonts w:ascii="Bookman Old Style" w:hAnsi="Bookman Old Style"/>
          <w:sz w:val="24"/>
          <w:szCs w:val="24"/>
        </w:rPr>
        <w:t xml:space="preserve">, deberá entregar cada </w:t>
      </w:r>
      <w:r w:rsidR="00CA2EBF" w:rsidRPr="00E10F2E">
        <w:rPr>
          <w:rFonts w:ascii="Bookman Old Style" w:hAnsi="Bookman Old Style"/>
          <w:sz w:val="24"/>
          <w:szCs w:val="24"/>
        </w:rPr>
        <w:t xml:space="preserve">trimestre </w:t>
      </w:r>
      <w:r w:rsidRPr="00E10F2E">
        <w:rPr>
          <w:rFonts w:ascii="Bookman Old Style" w:hAnsi="Bookman Old Style"/>
          <w:sz w:val="24"/>
          <w:szCs w:val="24"/>
        </w:rPr>
        <w:t>al M</w:t>
      </w:r>
      <w:r w:rsidR="004400C6" w:rsidRPr="00E10F2E">
        <w:rPr>
          <w:rFonts w:ascii="Bookman Old Style" w:hAnsi="Bookman Old Style"/>
          <w:sz w:val="24"/>
          <w:szCs w:val="24"/>
        </w:rPr>
        <w:t xml:space="preserve">inisterio de Minas y </w:t>
      </w:r>
      <w:r w:rsidR="00437419" w:rsidRPr="00E10F2E">
        <w:rPr>
          <w:rFonts w:ascii="Bookman Old Style" w:hAnsi="Bookman Old Style"/>
          <w:sz w:val="24"/>
          <w:szCs w:val="24"/>
        </w:rPr>
        <w:t>Energía</w:t>
      </w:r>
      <w:r w:rsidRPr="00E10F2E">
        <w:rPr>
          <w:rFonts w:ascii="Bookman Old Style" w:hAnsi="Bookman Old Style"/>
          <w:sz w:val="24"/>
          <w:szCs w:val="24"/>
        </w:rPr>
        <w:t xml:space="preserve">, </w:t>
      </w:r>
      <w:r w:rsidR="004400C6" w:rsidRPr="00E10F2E">
        <w:rPr>
          <w:rFonts w:ascii="Bookman Old Style" w:hAnsi="Bookman Old Style"/>
          <w:sz w:val="24"/>
          <w:szCs w:val="24"/>
        </w:rPr>
        <w:t xml:space="preserve">la </w:t>
      </w:r>
      <w:r w:rsidRPr="00E10F2E">
        <w:rPr>
          <w:rFonts w:ascii="Bookman Old Style" w:hAnsi="Bookman Old Style"/>
          <w:sz w:val="24"/>
          <w:szCs w:val="24"/>
        </w:rPr>
        <w:t>C</w:t>
      </w:r>
      <w:r w:rsidR="004400C6" w:rsidRPr="00E10F2E">
        <w:rPr>
          <w:rFonts w:ascii="Bookman Old Style" w:hAnsi="Bookman Old Style"/>
          <w:sz w:val="24"/>
          <w:szCs w:val="24"/>
        </w:rPr>
        <w:t>omisión de Regulación de Energía y Gas</w:t>
      </w:r>
      <w:r w:rsidRPr="00E10F2E">
        <w:rPr>
          <w:rFonts w:ascii="Bookman Old Style" w:hAnsi="Bookman Old Style"/>
          <w:sz w:val="24"/>
          <w:szCs w:val="24"/>
        </w:rPr>
        <w:t xml:space="preserve">, </w:t>
      </w:r>
      <w:r w:rsidR="004400C6" w:rsidRPr="00E10F2E">
        <w:rPr>
          <w:rFonts w:ascii="Bookman Old Style" w:hAnsi="Bookman Old Style"/>
          <w:sz w:val="24"/>
          <w:szCs w:val="24"/>
        </w:rPr>
        <w:t xml:space="preserve">la Unidad de Planeación Minero Energética </w:t>
      </w:r>
      <w:r w:rsidRPr="00E10F2E">
        <w:rPr>
          <w:rFonts w:ascii="Bookman Old Style" w:hAnsi="Bookman Old Style"/>
          <w:sz w:val="24"/>
          <w:szCs w:val="24"/>
        </w:rPr>
        <w:t>y al C</w:t>
      </w:r>
      <w:r w:rsidR="004400C6" w:rsidRPr="00E10F2E">
        <w:rPr>
          <w:rFonts w:ascii="Bookman Old Style" w:hAnsi="Bookman Old Style"/>
          <w:sz w:val="24"/>
          <w:szCs w:val="24"/>
        </w:rPr>
        <w:t xml:space="preserve">entro </w:t>
      </w:r>
      <w:r w:rsidRPr="00E10F2E">
        <w:rPr>
          <w:rFonts w:ascii="Bookman Old Style" w:hAnsi="Bookman Old Style"/>
          <w:sz w:val="24"/>
          <w:szCs w:val="24"/>
        </w:rPr>
        <w:t>N</w:t>
      </w:r>
      <w:r w:rsidR="004400C6" w:rsidRPr="00E10F2E">
        <w:rPr>
          <w:rFonts w:ascii="Bookman Old Style" w:hAnsi="Bookman Old Style"/>
          <w:sz w:val="24"/>
          <w:szCs w:val="24"/>
        </w:rPr>
        <w:t xml:space="preserve">acional de </w:t>
      </w:r>
      <w:r w:rsidRPr="00E10F2E">
        <w:rPr>
          <w:rFonts w:ascii="Bookman Old Style" w:hAnsi="Bookman Old Style"/>
          <w:sz w:val="24"/>
          <w:szCs w:val="24"/>
        </w:rPr>
        <w:t>D</w:t>
      </w:r>
      <w:r w:rsidR="004400C6" w:rsidRPr="00E10F2E">
        <w:rPr>
          <w:rFonts w:ascii="Bookman Old Style" w:hAnsi="Bookman Old Style"/>
          <w:sz w:val="24"/>
          <w:szCs w:val="24"/>
        </w:rPr>
        <w:t>espacho</w:t>
      </w:r>
      <w:r w:rsidRPr="00E10F2E">
        <w:rPr>
          <w:rFonts w:ascii="Bookman Old Style" w:hAnsi="Bookman Old Style"/>
          <w:sz w:val="24"/>
          <w:szCs w:val="24"/>
        </w:rPr>
        <w:t xml:space="preserve"> un informe de avance </w:t>
      </w:r>
      <w:r w:rsidR="002B5716" w:rsidRPr="00E10F2E">
        <w:rPr>
          <w:rFonts w:ascii="Bookman Old Style" w:hAnsi="Bookman Old Style"/>
          <w:sz w:val="24"/>
          <w:szCs w:val="24"/>
        </w:rPr>
        <w:t>del proyecto y un informe final a su culminación</w:t>
      </w:r>
      <w:r w:rsidRPr="00E10F2E">
        <w:rPr>
          <w:rFonts w:ascii="Bookman Old Style" w:hAnsi="Bookman Old Style"/>
          <w:sz w:val="24"/>
          <w:szCs w:val="24"/>
        </w:rPr>
        <w:t>.</w:t>
      </w:r>
    </w:p>
    <w:p w:rsidR="002B5716" w:rsidRPr="00E10F2E" w:rsidRDefault="002B5716" w:rsidP="002B5716">
      <w:pPr>
        <w:pStyle w:val="Prrafodelista"/>
        <w:rPr>
          <w:rFonts w:ascii="Bookman Old Style" w:hAnsi="Bookman Old Style"/>
          <w:sz w:val="24"/>
          <w:szCs w:val="24"/>
        </w:rPr>
      </w:pPr>
    </w:p>
    <w:p w:rsidR="002B5716" w:rsidRPr="00E10F2E" w:rsidRDefault="002B5716" w:rsidP="006B305C">
      <w:pPr>
        <w:pStyle w:val="Prrafodelista"/>
        <w:numPr>
          <w:ilvl w:val="0"/>
          <w:numId w:val="18"/>
        </w:numPr>
        <w:jc w:val="both"/>
        <w:rPr>
          <w:rFonts w:ascii="Bookman Old Style" w:hAnsi="Bookman Old Style"/>
          <w:sz w:val="24"/>
          <w:szCs w:val="24"/>
        </w:rPr>
      </w:pPr>
      <w:r w:rsidRPr="00E10F2E">
        <w:rPr>
          <w:rFonts w:ascii="Bookman Old Style" w:hAnsi="Bookman Old Style"/>
          <w:sz w:val="24"/>
          <w:szCs w:val="24"/>
        </w:rPr>
        <w:t>El Auditor deberá observar las condiciones definidas en los numerales 4, 5, 6, 7 y 9 del numeral 1.5 de</w:t>
      </w:r>
      <w:r w:rsidR="002E5FB4" w:rsidRPr="00E10F2E">
        <w:rPr>
          <w:rFonts w:ascii="Bookman Old Style" w:hAnsi="Bookman Old Style"/>
          <w:sz w:val="24"/>
          <w:szCs w:val="24"/>
        </w:rPr>
        <w:t xml:space="preserve">l Anexo 1 de la Resolución CREG </w:t>
      </w:r>
      <w:r w:rsidRPr="00E10F2E">
        <w:rPr>
          <w:rFonts w:ascii="Bookman Old Style" w:hAnsi="Bookman Old Style"/>
          <w:sz w:val="24"/>
          <w:szCs w:val="24"/>
        </w:rPr>
        <w:t>071 de 2006.</w:t>
      </w:r>
    </w:p>
    <w:p w:rsidR="002B5716" w:rsidRPr="00E10F2E" w:rsidRDefault="002B5716" w:rsidP="002B5716">
      <w:pPr>
        <w:pStyle w:val="Prrafodelista"/>
        <w:rPr>
          <w:rFonts w:ascii="Bookman Old Style" w:hAnsi="Bookman Old Style"/>
          <w:sz w:val="24"/>
          <w:szCs w:val="24"/>
        </w:rPr>
      </w:pPr>
    </w:p>
    <w:p w:rsidR="002B5716" w:rsidRPr="00E10F2E" w:rsidRDefault="00C37202" w:rsidP="006B305C">
      <w:pPr>
        <w:pStyle w:val="Prrafodelista"/>
        <w:numPr>
          <w:ilvl w:val="0"/>
          <w:numId w:val="18"/>
        </w:numPr>
        <w:jc w:val="both"/>
        <w:rPr>
          <w:rFonts w:ascii="Bookman Old Style" w:hAnsi="Bookman Old Style"/>
          <w:sz w:val="24"/>
          <w:szCs w:val="24"/>
        </w:rPr>
      </w:pPr>
      <w:r w:rsidRPr="00E10F2E">
        <w:rPr>
          <w:rFonts w:ascii="Bookman Old Style" w:hAnsi="Bookman Old Style"/>
          <w:sz w:val="24"/>
          <w:szCs w:val="24"/>
        </w:rPr>
        <w:t>Cuando sea del caso, e</w:t>
      </w:r>
      <w:r w:rsidR="002B5716" w:rsidRPr="00E10F2E">
        <w:rPr>
          <w:rFonts w:ascii="Bookman Old Style" w:hAnsi="Bookman Old Style"/>
          <w:sz w:val="24"/>
          <w:szCs w:val="24"/>
        </w:rPr>
        <w:t>l Auditor será el responsable de informar al ASIC el número de días de retraso de entrada en operación de la infraestructura de importación</w:t>
      </w:r>
      <w:r w:rsidR="0025245A" w:rsidRPr="00E10F2E">
        <w:rPr>
          <w:rFonts w:ascii="Bookman Old Style" w:hAnsi="Bookman Old Style"/>
          <w:sz w:val="24"/>
          <w:szCs w:val="24"/>
        </w:rPr>
        <w:t xml:space="preserve"> con relación a la curva S entregada por el agente a la CREG</w:t>
      </w:r>
      <w:r w:rsidR="002B5716" w:rsidRPr="00E10F2E">
        <w:rPr>
          <w:rFonts w:ascii="Bookman Old Style" w:hAnsi="Bookman Old Style"/>
          <w:sz w:val="24"/>
          <w:szCs w:val="24"/>
        </w:rPr>
        <w:t>.</w:t>
      </w:r>
    </w:p>
    <w:p w:rsidR="00F57D0B" w:rsidRPr="00E10F2E" w:rsidRDefault="00F57D0B" w:rsidP="00D53AA2">
      <w:pPr>
        <w:ind w:left="0"/>
        <w:jc w:val="both"/>
        <w:rPr>
          <w:rFonts w:ascii="Bookman Old Style" w:hAnsi="Bookman Old Style"/>
        </w:rPr>
      </w:pPr>
    </w:p>
    <w:p w:rsidR="004849C6" w:rsidRPr="00E10F2E" w:rsidRDefault="00E456BB" w:rsidP="004849C6">
      <w:pPr>
        <w:ind w:left="0"/>
        <w:jc w:val="both"/>
        <w:rPr>
          <w:rFonts w:ascii="Bookman Old Style" w:hAnsi="Bookman Old Style"/>
        </w:rPr>
      </w:pPr>
      <w:r w:rsidRPr="00E10F2E">
        <w:rPr>
          <w:rFonts w:ascii="Bookman Old Style" w:hAnsi="Bookman Old Style"/>
          <w:b/>
        </w:rPr>
        <w:t>A</w:t>
      </w:r>
      <w:r w:rsidR="00D33CDE" w:rsidRPr="00E10F2E">
        <w:rPr>
          <w:rFonts w:ascii="Bookman Old Style" w:hAnsi="Bookman Old Style"/>
          <w:b/>
        </w:rPr>
        <w:t>RTÍCULO</w:t>
      </w:r>
      <w:r w:rsidRPr="00E10F2E">
        <w:rPr>
          <w:rFonts w:ascii="Bookman Old Style" w:hAnsi="Bookman Old Style"/>
          <w:b/>
        </w:rPr>
        <w:t xml:space="preserve"> 6. Incumplimiento en el cronograma de construcción. </w:t>
      </w:r>
      <w:r w:rsidRPr="00E10F2E">
        <w:rPr>
          <w:rFonts w:ascii="Bookman Old Style" w:hAnsi="Bookman Old Style"/>
        </w:rPr>
        <w:t>El retraso en el cronograma de construcción de la</w:t>
      </w:r>
      <w:r w:rsidR="001D0A6F">
        <w:rPr>
          <w:rFonts w:ascii="Bookman Old Style" w:hAnsi="Bookman Old Style"/>
        </w:rPr>
        <w:t xml:space="preserve"> Nueva</w:t>
      </w:r>
      <w:r w:rsidRPr="00E10F2E">
        <w:rPr>
          <w:rFonts w:ascii="Bookman Old Style" w:hAnsi="Bookman Old Style"/>
        </w:rPr>
        <w:t xml:space="preserve"> infraestructura de importación frente al I</w:t>
      </w:r>
      <w:r w:rsidR="00437419" w:rsidRPr="00E10F2E">
        <w:rPr>
          <w:rFonts w:ascii="Bookman Old Style" w:hAnsi="Bookman Old Style"/>
        </w:rPr>
        <w:t xml:space="preserve">nicio del </w:t>
      </w:r>
      <w:r w:rsidRPr="00E10F2E">
        <w:rPr>
          <w:rFonts w:ascii="Bookman Old Style" w:hAnsi="Bookman Old Style"/>
        </w:rPr>
        <w:t>P</w:t>
      </w:r>
      <w:r w:rsidR="00437419" w:rsidRPr="00E10F2E">
        <w:rPr>
          <w:rFonts w:ascii="Bookman Old Style" w:hAnsi="Bookman Old Style"/>
        </w:rPr>
        <w:t xml:space="preserve">eríodo de </w:t>
      </w:r>
      <w:r w:rsidRPr="00E10F2E">
        <w:rPr>
          <w:rFonts w:ascii="Bookman Old Style" w:hAnsi="Bookman Old Style"/>
        </w:rPr>
        <w:t>V</w:t>
      </w:r>
      <w:r w:rsidR="00437419" w:rsidRPr="00E10F2E">
        <w:rPr>
          <w:rFonts w:ascii="Bookman Old Style" w:hAnsi="Bookman Old Style"/>
        </w:rPr>
        <w:t xml:space="preserve">igencia de la </w:t>
      </w:r>
      <w:r w:rsidRPr="00E10F2E">
        <w:rPr>
          <w:rFonts w:ascii="Bookman Old Style" w:hAnsi="Bookman Old Style"/>
        </w:rPr>
        <w:t>O</w:t>
      </w:r>
      <w:r w:rsidR="00437419" w:rsidRPr="00E10F2E">
        <w:rPr>
          <w:rFonts w:ascii="Bookman Old Style" w:hAnsi="Bookman Old Style"/>
        </w:rPr>
        <w:t>bligación</w:t>
      </w:r>
      <w:r w:rsidRPr="00E10F2E">
        <w:rPr>
          <w:rFonts w:ascii="Bookman Old Style" w:hAnsi="Bookman Old Style"/>
        </w:rPr>
        <w:t>,</w:t>
      </w:r>
      <w:r w:rsidR="00437419" w:rsidRPr="00E10F2E">
        <w:rPr>
          <w:rFonts w:ascii="Bookman Old Style" w:hAnsi="Bookman Old Style"/>
        </w:rPr>
        <w:t xml:space="preserve"> IPVO,</w:t>
      </w:r>
      <w:r w:rsidRPr="00E10F2E">
        <w:rPr>
          <w:rFonts w:ascii="Bookman Old Style" w:hAnsi="Bookman Old Style"/>
        </w:rPr>
        <w:t xml:space="preserve"> que no constituya incumplimiento grave e insalvable dará lugar a</w:t>
      </w:r>
      <w:r w:rsidR="00D45087" w:rsidRPr="00E10F2E">
        <w:rPr>
          <w:rFonts w:ascii="Bookman Old Style" w:hAnsi="Bookman Old Style"/>
        </w:rPr>
        <w:t xml:space="preserve"> las siguientes obligaciones</w:t>
      </w:r>
      <w:r w:rsidRPr="00E10F2E">
        <w:rPr>
          <w:rFonts w:ascii="Bookman Old Style" w:hAnsi="Bookman Old Style"/>
        </w:rPr>
        <w:t xml:space="preserve">: i) Obligación de el o los agentes de </w:t>
      </w:r>
      <w:r w:rsidR="004849C6" w:rsidRPr="00E10F2E">
        <w:rPr>
          <w:rFonts w:ascii="Bookman Old Style" w:hAnsi="Bookman Old Style"/>
        </w:rPr>
        <w:t>garantizar el cumplimiento de la Obligación de Energía Firme asignada mediante</w:t>
      </w:r>
      <w:r w:rsidR="00517DB3" w:rsidRPr="00E10F2E">
        <w:rPr>
          <w:rFonts w:ascii="Bookman Old Style" w:hAnsi="Bookman Old Style"/>
        </w:rPr>
        <w:t xml:space="preserve"> alguno</w:t>
      </w:r>
      <w:r w:rsidR="004849C6" w:rsidRPr="00E10F2E">
        <w:rPr>
          <w:rFonts w:ascii="Bookman Old Style" w:hAnsi="Bookman Old Style"/>
        </w:rPr>
        <w:t xml:space="preserve"> de los Anillos de Seguridad</w:t>
      </w:r>
      <w:r w:rsidRPr="00E10F2E">
        <w:rPr>
          <w:rFonts w:ascii="Bookman Old Style" w:hAnsi="Bookman Old Style"/>
        </w:rPr>
        <w:t xml:space="preserve">, y  ii) Obligación de el o los agentes de constituir y entregar garantía de construcción </w:t>
      </w:r>
      <w:r w:rsidR="00DF3731" w:rsidRPr="00E10F2E">
        <w:rPr>
          <w:rFonts w:ascii="Bookman Old Style" w:hAnsi="Bookman Old Style"/>
        </w:rPr>
        <w:t xml:space="preserve">de </w:t>
      </w:r>
      <w:r w:rsidR="001D0A6F">
        <w:rPr>
          <w:rFonts w:ascii="Bookman Old Style" w:hAnsi="Bookman Old Style"/>
        </w:rPr>
        <w:t xml:space="preserve">la Nueva </w:t>
      </w:r>
      <w:r w:rsidR="00DF3731" w:rsidRPr="00E10F2E">
        <w:rPr>
          <w:rFonts w:ascii="Bookman Old Style" w:hAnsi="Bookman Old Style"/>
        </w:rPr>
        <w:t xml:space="preserve">infraestructura de gas importado </w:t>
      </w:r>
      <w:r w:rsidRPr="00E10F2E">
        <w:rPr>
          <w:rFonts w:ascii="Bookman Old Style" w:hAnsi="Bookman Old Style"/>
        </w:rPr>
        <w:t>por todas la OEF respaldadas con</w:t>
      </w:r>
      <w:r w:rsidR="001D0A6F">
        <w:rPr>
          <w:rFonts w:ascii="Bookman Old Style" w:hAnsi="Bookman Old Style"/>
        </w:rPr>
        <w:t xml:space="preserve"> dicha</w:t>
      </w:r>
      <w:r w:rsidRPr="00E10F2E">
        <w:rPr>
          <w:rFonts w:ascii="Bookman Old Style" w:hAnsi="Bookman Old Style"/>
        </w:rPr>
        <w:t xml:space="preserve"> infraestructura</w:t>
      </w:r>
      <w:r w:rsidR="00517DB3" w:rsidRPr="00E10F2E">
        <w:rPr>
          <w:rFonts w:ascii="Bookman Old Style" w:hAnsi="Bookman Old Style"/>
        </w:rPr>
        <w:t>,</w:t>
      </w:r>
      <w:r w:rsidRPr="00E10F2E">
        <w:rPr>
          <w:rFonts w:ascii="Bookman Old Style" w:hAnsi="Bookman Old Style"/>
        </w:rPr>
        <w:t xml:space="preserve"> </w:t>
      </w:r>
      <w:r w:rsidR="00517DB3" w:rsidRPr="00E10F2E">
        <w:rPr>
          <w:rFonts w:ascii="Bookman Old Style" w:hAnsi="Bookman Old Style"/>
        </w:rPr>
        <w:t xml:space="preserve">que </w:t>
      </w:r>
      <w:r w:rsidR="00DF3731" w:rsidRPr="00E10F2E">
        <w:rPr>
          <w:rFonts w:ascii="Bookman Old Style" w:hAnsi="Bookman Old Style"/>
        </w:rPr>
        <w:t>cumpla</w:t>
      </w:r>
      <w:r w:rsidR="00517DB3" w:rsidRPr="00E10F2E">
        <w:rPr>
          <w:rFonts w:ascii="Bookman Old Style" w:hAnsi="Bookman Old Style"/>
        </w:rPr>
        <w:t xml:space="preserve"> </w:t>
      </w:r>
      <w:r w:rsidRPr="00E10F2E">
        <w:rPr>
          <w:rFonts w:ascii="Bookman Old Style" w:hAnsi="Bookman Old Style"/>
        </w:rPr>
        <w:t xml:space="preserve">con las condiciones definidas </w:t>
      </w:r>
      <w:r w:rsidR="0011422B" w:rsidRPr="00E10F2E">
        <w:rPr>
          <w:rFonts w:ascii="Bookman Old Style" w:hAnsi="Bookman Old Style"/>
        </w:rPr>
        <w:t xml:space="preserve">en el </w:t>
      </w:r>
      <w:r w:rsidR="008A64D7" w:rsidRPr="00E10F2E">
        <w:rPr>
          <w:rFonts w:ascii="Bookman Old Style" w:hAnsi="Bookman Old Style"/>
        </w:rPr>
        <w:t xml:space="preserve">Anexo </w:t>
      </w:r>
      <w:r w:rsidR="0011422B" w:rsidRPr="00E10F2E">
        <w:rPr>
          <w:rFonts w:ascii="Bookman Old Style" w:hAnsi="Bookman Old Style"/>
        </w:rPr>
        <w:t>de esta Resolución</w:t>
      </w:r>
      <w:r w:rsidRPr="00E10F2E">
        <w:rPr>
          <w:rFonts w:ascii="Bookman Old Style" w:hAnsi="Bookman Old Style"/>
        </w:rPr>
        <w:t>, teniendo en cuenta el ajuste por incumplimiento de cronograma</w:t>
      </w:r>
      <w:r w:rsidR="00D45087" w:rsidRPr="00E10F2E">
        <w:rPr>
          <w:rFonts w:ascii="Bookman Old Style" w:hAnsi="Bookman Old Style"/>
        </w:rPr>
        <w:t>.</w:t>
      </w:r>
      <w:r w:rsidR="00451A99" w:rsidRPr="00E10F2E">
        <w:rPr>
          <w:rFonts w:ascii="Bookman Old Style" w:hAnsi="Bookman Old Style"/>
        </w:rPr>
        <w:t xml:space="preserve"> </w:t>
      </w:r>
      <w:r w:rsidR="00D45087" w:rsidRPr="00E10F2E">
        <w:rPr>
          <w:rFonts w:ascii="Bookman Old Style" w:hAnsi="Bookman Old Style"/>
        </w:rPr>
        <w:t>Las</w:t>
      </w:r>
      <w:r w:rsidRPr="00E10F2E">
        <w:rPr>
          <w:rFonts w:ascii="Bookman Old Style" w:hAnsi="Bookman Old Style"/>
        </w:rPr>
        <w:t xml:space="preserve"> anteriores </w:t>
      </w:r>
      <w:r w:rsidR="00D45087" w:rsidRPr="00E10F2E">
        <w:rPr>
          <w:rFonts w:ascii="Bookman Old Style" w:hAnsi="Bookman Old Style"/>
        </w:rPr>
        <w:t xml:space="preserve">obligaciones </w:t>
      </w:r>
      <w:r w:rsidR="00FD33A6" w:rsidRPr="00E10F2E">
        <w:rPr>
          <w:rFonts w:ascii="Bookman Old Style" w:hAnsi="Bookman Old Style"/>
        </w:rPr>
        <w:t xml:space="preserve">se deberán cumplir en </w:t>
      </w:r>
      <w:r w:rsidR="00DC0A49" w:rsidRPr="00E10F2E">
        <w:rPr>
          <w:rFonts w:ascii="Bookman Old Style" w:hAnsi="Bookman Old Style"/>
        </w:rPr>
        <w:t>los quince (15) días hábiles siguientes a la entrega del informe de que trata el artículo 5 de esta Resolución</w:t>
      </w:r>
      <w:r w:rsidRPr="00E10F2E">
        <w:rPr>
          <w:rFonts w:ascii="Bookman Old Style" w:hAnsi="Bookman Old Style"/>
        </w:rPr>
        <w:t>.</w:t>
      </w:r>
      <w:r w:rsidR="004849C6" w:rsidRPr="00E10F2E">
        <w:rPr>
          <w:rFonts w:ascii="Bookman Old Style" w:hAnsi="Bookman Old Style"/>
        </w:rPr>
        <w:t xml:space="preserve">  </w:t>
      </w:r>
      <w:r w:rsidR="003A0B5C" w:rsidRPr="00E10F2E">
        <w:rPr>
          <w:rFonts w:ascii="Bookman Old Style" w:hAnsi="Bookman Old Style"/>
        </w:rPr>
        <w:t>H</w:t>
      </w:r>
      <w:r w:rsidR="004849C6" w:rsidRPr="00E10F2E">
        <w:rPr>
          <w:rFonts w:ascii="Bookman Old Style" w:hAnsi="Bookman Old Style"/>
        </w:rPr>
        <w:t>abrá lugar a la pérdida de la</w:t>
      </w:r>
      <w:r w:rsidR="003A0B5C" w:rsidRPr="00E10F2E">
        <w:rPr>
          <w:rFonts w:ascii="Bookman Old Style" w:hAnsi="Bookman Old Style"/>
        </w:rPr>
        <w:t>s</w:t>
      </w:r>
      <w:r w:rsidR="004849C6" w:rsidRPr="00E10F2E">
        <w:rPr>
          <w:rFonts w:ascii="Bookman Old Style" w:hAnsi="Bookman Old Style"/>
        </w:rPr>
        <w:t xml:space="preserve"> </w:t>
      </w:r>
      <w:r w:rsidR="003A0B5C" w:rsidRPr="00E10F2E">
        <w:rPr>
          <w:rFonts w:ascii="Bookman Old Style" w:hAnsi="Bookman Old Style"/>
        </w:rPr>
        <w:t>asignaciones</w:t>
      </w:r>
      <w:r w:rsidR="004849C6" w:rsidRPr="00E10F2E">
        <w:rPr>
          <w:rFonts w:ascii="Bookman Old Style" w:hAnsi="Bookman Old Style"/>
        </w:rPr>
        <w:t xml:space="preserve"> de las Obligaciones de Energía Firme</w:t>
      </w:r>
      <w:r w:rsidR="003A0B5C" w:rsidRPr="00E10F2E">
        <w:rPr>
          <w:rFonts w:ascii="Bookman Old Style" w:hAnsi="Bookman Old Style"/>
        </w:rPr>
        <w:t xml:space="preserve"> </w:t>
      </w:r>
      <w:r w:rsidR="005C0252" w:rsidRPr="00E10F2E">
        <w:rPr>
          <w:rFonts w:ascii="Bookman Old Style" w:hAnsi="Bookman Old Style"/>
        </w:rPr>
        <w:t>y</w:t>
      </w:r>
      <w:r w:rsidR="00932D6D" w:rsidRPr="00E10F2E">
        <w:rPr>
          <w:rFonts w:ascii="Bookman Old Style" w:hAnsi="Bookman Old Style"/>
        </w:rPr>
        <w:t xml:space="preserve"> a</w:t>
      </w:r>
      <w:r w:rsidR="005C0252" w:rsidRPr="00E10F2E">
        <w:rPr>
          <w:rFonts w:ascii="Bookman Old Style" w:hAnsi="Bookman Old Style"/>
        </w:rPr>
        <w:t xml:space="preserve"> </w:t>
      </w:r>
      <w:r w:rsidR="00BB554A" w:rsidRPr="00E10F2E">
        <w:rPr>
          <w:rFonts w:ascii="Bookman Old Style" w:hAnsi="Bookman Old Style"/>
        </w:rPr>
        <w:t>la ejecución de la garantía, si es del caso</w:t>
      </w:r>
      <w:r w:rsidR="00BE50DB" w:rsidRPr="00E10F2E">
        <w:rPr>
          <w:rFonts w:ascii="Bookman Old Style" w:hAnsi="Bookman Old Style"/>
        </w:rPr>
        <w:t>.</w:t>
      </w:r>
      <w:r w:rsidR="004849C6" w:rsidRPr="00E10F2E">
        <w:rPr>
          <w:rFonts w:ascii="Bookman Old Style" w:hAnsi="Bookman Old Style"/>
        </w:rPr>
        <w:t xml:space="preserve"> </w:t>
      </w:r>
    </w:p>
    <w:p w:rsidR="00E456BB" w:rsidRPr="00E10F2E" w:rsidRDefault="00E456BB" w:rsidP="00E456BB">
      <w:pPr>
        <w:ind w:left="0"/>
        <w:jc w:val="both"/>
        <w:rPr>
          <w:rFonts w:ascii="Bookman Old Style" w:hAnsi="Bookman Old Style"/>
        </w:rPr>
      </w:pPr>
    </w:p>
    <w:p w:rsidR="00EA253A" w:rsidRPr="00E10F2E" w:rsidRDefault="00E456BB" w:rsidP="006635CA">
      <w:pPr>
        <w:ind w:left="0"/>
        <w:jc w:val="both"/>
        <w:rPr>
          <w:rFonts w:ascii="Bookman Old Style" w:hAnsi="Bookman Old Style"/>
        </w:rPr>
      </w:pPr>
      <w:r w:rsidRPr="00E10F2E">
        <w:rPr>
          <w:rFonts w:ascii="Bookman Old Style" w:hAnsi="Bookman Old Style"/>
        </w:rPr>
        <w:t>El retraso en el cronograma de construcción de la infraestructura de la importación frente al IPVO, que constituya incumplimiento grave e insalvable</w:t>
      </w:r>
      <w:r w:rsidR="00916E8C" w:rsidRPr="00E10F2E">
        <w:rPr>
          <w:rFonts w:ascii="Bookman Old Style" w:hAnsi="Bookman Old Style"/>
        </w:rPr>
        <w:t>, entendido como aquél mayor a un año,</w:t>
      </w:r>
      <w:r w:rsidRPr="00E10F2E">
        <w:rPr>
          <w:rFonts w:ascii="Bookman Old Style" w:hAnsi="Bookman Old Style"/>
        </w:rPr>
        <w:t xml:space="preserve"> dará lugar a la pérdida de la asignación de las Obligaciones de Energía Firme que hayan sido respaldadas parcial o totalmente con gas natural importado</w:t>
      </w:r>
      <w:r w:rsidR="00BB554A" w:rsidRPr="00E10F2E">
        <w:rPr>
          <w:rFonts w:ascii="Bookman Old Style" w:hAnsi="Bookman Old Style"/>
        </w:rPr>
        <w:t xml:space="preserve"> y a la ejecución de la garantía, si es del caso</w:t>
      </w:r>
      <w:r w:rsidR="001D0A6F">
        <w:rPr>
          <w:rFonts w:ascii="Bookman Old Style" w:hAnsi="Bookman Old Style"/>
        </w:rPr>
        <w:t>, cuando no se cumpla con las obligaciones antes descritas en los plazos señalados</w:t>
      </w:r>
      <w:r w:rsidR="00BB554A" w:rsidRPr="00E10F2E">
        <w:rPr>
          <w:rFonts w:ascii="Bookman Old Style" w:hAnsi="Bookman Old Style"/>
        </w:rPr>
        <w:t xml:space="preserve">. </w:t>
      </w:r>
      <w:r w:rsidRPr="00E10F2E">
        <w:rPr>
          <w:rFonts w:ascii="Bookman Old Style" w:hAnsi="Bookman Old Style"/>
        </w:rPr>
        <w:t xml:space="preserve">  </w:t>
      </w:r>
    </w:p>
    <w:p w:rsidR="00EA253A" w:rsidRPr="00E10F2E" w:rsidRDefault="00EA253A" w:rsidP="006635CA">
      <w:pPr>
        <w:ind w:left="0"/>
        <w:jc w:val="both"/>
        <w:rPr>
          <w:rFonts w:ascii="Bookman Old Style" w:hAnsi="Bookman Old Style"/>
        </w:rPr>
      </w:pPr>
    </w:p>
    <w:p w:rsidR="00B56398" w:rsidRPr="00E10F2E" w:rsidRDefault="00E972CE" w:rsidP="00B56398">
      <w:pPr>
        <w:ind w:left="0"/>
        <w:jc w:val="both"/>
        <w:rPr>
          <w:rFonts w:ascii="Bookman Old Style" w:hAnsi="Bookman Old Style"/>
        </w:rPr>
      </w:pPr>
      <w:r w:rsidRPr="00E10F2E">
        <w:rPr>
          <w:rFonts w:ascii="Bookman Old Style" w:hAnsi="Bookman Old Style"/>
          <w:b/>
        </w:rPr>
        <w:t xml:space="preserve">ARTÍCULO 7. Asignación de Obligaciones de Energía Firme del Cargo por Confiabilidad a plantas térmicas que se acojan a la OPACGNI con </w:t>
      </w:r>
      <w:r w:rsidR="000B0B3A">
        <w:rPr>
          <w:rFonts w:ascii="Bookman Old Style" w:hAnsi="Bookman Old Style"/>
          <w:b/>
        </w:rPr>
        <w:t>N</w:t>
      </w:r>
      <w:r w:rsidRPr="00E10F2E">
        <w:rPr>
          <w:rFonts w:ascii="Bookman Old Style" w:hAnsi="Bookman Old Style"/>
          <w:b/>
        </w:rPr>
        <w:t>ueva infraestructura de importación</w:t>
      </w:r>
      <w:r w:rsidR="000B0B3A">
        <w:rPr>
          <w:rFonts w:ascii="Bookman Old Style" w:hAnsi="Bookman Old Style"/>
          <w:b/>
        </w:rPr>
        <w:t xml:space="preserve"> de gas natural</w:t>
      </w:r>
      <w:r w:rsidRPr="00E10F2E">
        <w:rPr>
          <w:rFonts w:ascii="Bookman Old Style" w:hAnsi="Bookman Old Style"/>
          <w:b/>
        </w:rPr>
        <w:t xml:space="preserve">. </w:t>
      </w:r>
      <w:r w:rsidRPr="00E10F2E">
        <w:rPr>
          <w:rFonts w:ascii="Bookman Old Style" w:hAnsi="Bookman Old Style"/>
        </w:rPr>
        <w:t>Las plantas y/o unidades térmicas que se acojan a la OPACGNI con nueva infraestructura de importación podrán seleccionar el Período de Vigencia de la Obligación</w:t>
      </w:r>
      <w:r w:rsidR="006D427A" w:rsidRPr="00E10F2E">
        <w:rPr>
          <w:rFonts w:ascii="Bookman Old Style" w:hAnsi="Bookman Old Style"/>
        </w:rPr>
        <w:t>,</w:t>
      </w:r>
      <w:r w:rsidRPr="00E10F2E">
        <w:rPr>
          <w:rFonts w:ascii="Bookman Old Style" w:hAnsi="Bookman Old Style"/>
        </w:rPr>
        <w:t xml:space="preserve"> </w:t>
      </w:r>
      <w:r w:rsidR="006D427A" w:rsidRPr="00E10F2E">
        <w:rPr>
          <w:rFonts w:ascii="Bookman Old Style" w:hAnsi="Bookman Old Style"/>
        </w:rPr>
        <w:t xml:space="preserve">según </w:t>
      </w:r>
      <w:r w:rsidR="00BB554A" w:rsidRPr="00E10F2E">
        <w:rPr>
          <w:rFonts w:ascii="Bookman Old Style" w:hAnsi="Bookman Old Style"/>
        </w:rPr>
        <w:t xml:space="preserve">defina la CREG </w:t>
      </w:r>
      <w:r w:rsidRPr="00E10F2E">
        <w:rPr>
          <w:rFonts w:ascii="Bookman Old Style" w:hAnsi="Bookman Old Style"/>
        </w:rPr>
        <w:t xml:space="preserve"> </w:t>
      </w:r>
      <w:r w:rsidR="00B56398" w:rsidRPr="00E10F2E">
        <w:rPr>
          <w:rFonts w:ascii="Bookman Old Style" w:hAnsi="Bookman Old Style"/>
        </w:rPr>
        <w:t xml:space="preserve">en la resolución que expida </w:t>
      </w:r>
      <w:r w:rsidR="00BB554A" w:rsidRPr="00E10F2E">
        <w:rPr>
          <w:rFonts w:ascii="Bookman Old Style" w:hAnsi="Bookman Old Style"/>
        </w:rPr>
        <w:t>en cumplimiento del artículo 18 de la Resolución CREG 071 de 2006,</w:t>
      </w:r>
      <w:r w:rsidR="00B56398" w:rsidRPr="00E10F2E">
        <w:rPr>
          <w:rFonts w:ascii="Bookman Old Style" w:hAnsi="Bookman Old Style"/>
        </w:rPr>
        <w:t xml:space="preserve"> siempre que </w:t>
      </w:r>
      <w:r w:rsidRPr="00E10F2E">
        <w:rPr>
          <w:rFonts w:ascii="Bookman Old Style" w:hAnsi="Bookman Old Style"/>
        </w:rPr>
        <w:t xml:space="preserve">el gas natural importado </w:t>
      </w:r>
      <w:r w:rsidR="00B56398" w:rsidRPr="00E10F2E">
        <w:rPr>
          <w:rFonts w:ascii="Bookman Old Style" w:hAnsi="Bookman Old Style"/>
        </w:rPr>
        <w:t xml:space="preserve">con el que se respalde la obligación represente </w:t>
      </w:r>
      <w:r w:rsidRPr="00E10F2E">
        <w:rPr>
          <w:rFonts w:ascii="Bookman Old Style" w:hAnsi="Bookman Old Style"/>
        </w:rPr>
        <w:t xml:space="preserve">por lo menos el 50% del combustible requerido para la ENFICC de la planta y/o unidad.  </w:t>
      </w:r>
    </w:p>
    <w:p w:rsidR="00B56398" w:rsidRPr="00E10F2E" w:rsidRDefault="00B56398" w:rsidP="00B56398">
      <w:pPr>
        <w:ind w:left="0"/>
        <w:jc w:val="both"/>
        <w:rPr>
          <w:rFonts w:ascii="Bookman Old Style" w:hAnsi="Bookman Old Style"/>
        </w:rPr>
      </w:pPr>
    </w:p>
    <w:p w:rsidR="00E972CE" w:rsidRPr="00E10F2E" w:rsidRDefault="00E972CE" w:rsidP="00B56398">
      <w:pPr>
        <w:ind w:left="0"/>
        <w:jc w:val="both"/>
        <w:rPr>
          <w:rFonts w:ascii="Bookman Old Style" w:hAnsi="Bookman Old Style"/>
        </w:rPr>
      </w:pPr>
      <w:r w:rsidRPr="00E10F2E">
        <w:rPr>
          <w:rFonts w:ascii="Bookman Old Style" w:hAnsi="Bookman Old Style"/>
        </w:rPr>
        <w:lastRenderedPageBreak/>
        <w:t>En caso de que la cantidad de gas natural importado sea inferior al porcentaje anteriormente señalado,  la asignación será de un (1) año.</w:t>
      </w:r>
    </w:p>
    <w:p w:rsidR="00E972CE" w:rsidRPr="00E10F2E" w:rsidRDefault="00E972CE" w:rsidP="006635CA">
      <w:pPr>
        <w:ind w:left="0"/>
        <w:jc w:val="both"/>
        <w:rPr>
          <w:rFonts w:ascii="Bookman Old Style" w:hAnsi="Bookman Old Style"/>
        </w:rPr>
      </w:pPr>
    </w:p>
    <w:p w:rsidR="00AA175F" w:rsidRPr="00E10F2E" w:rsidRDefault="00AA175F" w:rsidP="00AA175F">
      <w:pPr>
        <w:ind w:left="0"/>
        <w:jc w:val="both"/>
        <w:rPr>
          <w:rFonts w:ascii="Bookman Old Style" w:hAnsi="Bookman Old Style"/>
        </w:rPr>
      </w:pPr>
      <w:r w:rsidRPr="00E10F2E">
        <w:rPr>
          <w:rFonts w:ascii="Bookman Old Style" w:hAnsi="Bookman Old Style"/>
          <w:b/>
        </w:rPr>
        <w:t>A</w:t>
      </w:r>
      <w:r w:rsidR="00D33CDE" w:rsidRPr="00E10F2E">
        <w:rPr>
          <w:rFonts w:ascii="Bookman Old Style" w:hAnsi="Bookman Old Style"/>
          <w:b/>
        </w:rPr>
        <w:t>RTÍCULO</w:t>
      </w:r>
      <w:r w:rsidRPr="00E10F2E">
        <w:rPr>
          <w:rFonts w:ascii="Bookman Old Style" w:hAnsi="Bookman Old Style"/>
          <w:b/>
        </w:rPr>
        <w:t xml:space="preserve"> </w:t>
      </w:r>
      <w:r w:rsidR="00E972CE" w:rsidRPr="00E10F2E">
        <w:rPr>
          <w:rFonts w:ascii="Bookman Old Style" w:hAnsi="Bookman Old Style"/>
          <w:b/>
        </w:rPr>
        <w:t>8</w:t>
      </w:r>
      <w:r w:rsidRPr="00E10F2E">
        <w:rPr>
          <w:rFonts w:ascii="Bookman Old Style" w:hAnsi="Bookman Old Style"/>
          <w:b/>
        </w:rPr>
        <w:t xml:space="preserve">. Condiciones para respaldar las OEF con </w:t>
      </w:r>
      <w:r w:rsidR="00380391" w:rsidRPr="00E10F2E">
        <w:rPr>
          <w:rFonts w:ascii="Bookman Old Style" w:hAnsi="Bookman Old Style"/>
          <w:b/>
        </w:rPr>
        <w:t xml:space="preserve">gas importado haciendo uso de </w:t>
      </w:r>
      <w:r w:rsidRPr="00E10F2E">
        <w:rPr>
          <w:rFonts w:ascii="Bookman Old Style" w:hAnsi="Bookman Old Style"/>
          <w:b/>
        </w:rPr>
        <w:t>infraestructura existente de importación de gas natural</w:t>
      </w:r>
      <w:r w:rsidR="00DD32AC" w:rsidRPr="00E10F2E">
        <w:rPr>
          <w:rFonts w:ascii="Bookman Old Style" w:hAnsi="Bookman Old Style"/>
          <w:b/>
        </w:rPr>
        <w:t xml:space="preserve"> de un mercado líquido</w:t>
      </w:r>
      <w:r w:rsidRPr="00E10F2E">
        <w:rPr>
          <w:rFonts w:ascii="Bookman Old Style" w:hAnsi="Bookman Old Style"/>
        </w:rPr>
        <w:t xml:space="preserve">. En caso de contar con infraestructura </w:t>
      </w:r>
      <w:r w:rsidR="0089292A" w:rsidRPr="00E10F2E">
        <w:rPr>
          <w:rFonts w:ascii="Bookman Old Style" w:hAnsi="Bookman Old Style"/>
        </w:rPr>
        <w:t xml:space="preserve">existente </w:t>
      </w:r>
      <w:r w:rsidRPr="00E10F2E">
        <w:rPr>
          <w:rFonts w:ascii="Bookman Old Style" w:hAnsi="Bookman Old Style"/>
        </w:rPr>
        <w:t>para importar el gas natural</w:t>
      </w:r>
      <w:r w:rsidR="001E737A" w:rsidRPr="00E10F2E">
        <w:rPr>
          <w:rFonts w:ascii="Bookman Old Style" w:hAnsi="Bookman Old Style"/>
        </w:rPr>
        <w:t xml:space="preserve"> de un mercado líquido</w:t>
      </w:r>
      <w:r w:rsidRPr="00E10F2E">
        <w:rPr>
          <w:rFonts w:ascii="Bookman Old Style" w:hAnsi="Bookman Old Style"/>
        </w:rPr>
        <w:t xml:space="preserve"> y con el acceso a la misma, l</w:t>
      </w:r>
      <w:r w:rsidR="00547D7A">
        <w:rPr>
          <w:rFonts w:ascii="Bookman Old Style" w:hAnsi="Bookman Old Style"/>
        </w:rPr>
        <w:t>os</w:t>
      </w:r>
      <w:r w:rsidRPr="00E10F2E">
        <w:rPr>
          <w:rFonts w:ascii="Bookman Old Style" w:hAnsi="Bookman Old Style"/>
        </w:rPr>
        <w:t xml:space="preserve"> representante</w:t>
      </w:r>
      <w:r w:rsidR="00547D7A">
        <w:rPr>
          <w:rFonts w:ascii="Bookman Old Style" w:hAnsi="Bookman Old Style"/>
        </w:rPr>
        <w:t>s</w:t>
      </w:r>
      <w:r w:rsidRPr="00E10F2E">
        <w:rPr>
          <w:rFonts w:ascii="Bookman Old Style" w:hAnsi="Bookman Old Style"/>
        </w:rPr>
        <w:t xml:space="preserve"> de las plantas y/o unidades de generación térmica que deseen acogerse a la </w:t>
      </w:r>
      <w:r w:rsidR="001E737A" w:rsidRPr="00E10F2E">
        <w:rPr>
          <w:rFonts w:ascii="Bookman Old Style" w:hAnsi="Bookman Old Style"/>
        </w:rPr>
        <w:t>OPACGNI</w:t>
      </w:r>
      <w:r w:rsidRPr="00E10F2E">
        <w:rPr>
          <w:rFonts w:ascii="Bookman Old Style" w:hAnsi="Bookman Old Style"/>
        </w:rPr>
        <w:t xml:space="preserve"> deberán cumplir los siguientes requisitos:</w:t>
      </w:r>
    </w:p>
    <w:p w:rsidR="00AA175F" w:rsidRPr="00E10F2E" w:rsidRDefault="00AA175F" w:rsidP="00AA175F">
      <w:pPr>
        <w:ind w:left="0"/>
        <w:jc w:val="both"/>
        <w:rPr>
          <w:rFonts w:ascii="Bookman Old Style" w:hAnsi="Bookman Old Style"/>
        </w:rPr>
      </w:pPr>
    </w:p>
    <w:p w:rsidR="00AA175F" w:rsidRPr="00E10F2E" w:rsidRDefault="00AA175F" w:rsidP="006B305C">
      <w:pPr>
        <w:pStyle w:val="Prrafodelista"/>
        <w:numPr>
          <w:ilvl w:val="0"/>
          <w:numId w:val="24"/>
        </w:numPr>
        <w:jc w:val="both"/>
        <w:rPr>
          <w:rFonts w:ascii="Bookman Old Style" w:hAnsi="Bookman Old Style"/>
        </w:rPr>
      </w:pPr>
      <w:r w:rsidRPr="00E10F2E">
        <w:rPr>
          <w:rFonts w:ascii="Bookman Old Style" w:hAnsi="Bookman Old Style"/>
          <w:sz w:val="24"/>
          <w:szCs w:val="24"/>
        </w:rPr>
        <w:t xml:space="preserve">Entregar, en la fecha de la declaración, debidamente auditado, el contrato celebrado con </w:t>
      </w:r>
      <w:r w:rsidR="009D05A0" w:rsidRPr="00E10F2E">
        <w:rPr>
          <w:rFonts w:ascii="Bookman Old Style" w:hAnsi="Bookman Old Style"/>
          <w:sz w:val="24"/>
          <w:szCs w:val="24"/>
        </w:rPr>
        <w:t xml:space="preserve">el </w:t>
      </w:r>
      <w:r w:rsidRPr="00E10F2E">
        <w:rPr>
          <w:rFonts w:ascii="Bookman Old Style" w:hAnsi="Bookman Old Style"/>
          <w:sz w:val="24"/>
          <w:szCs w:val="24"/>
        </w:rPr>
        <w:t xml:space="preserve">propietario o representante de la infraestructura de importación. En el contrato deberá </w:t>
      </w:r>
      <w:r w:rsidR="009D05A0" w:rsidRPr="00E10F2E">
        <w:rPr>
          <w:rFonts w:ascii="Bookman Old Style" w:hAnsi="Bookman Old Style"/>
          <w:sz w:val="24"/>
          <w:szCs w:val="24"/>
        </w:rPr>
        <w:t xml:space="preserve">señalarse expresamente </w:t>
      </w:r>
      <w:r w:rsidRPr="00E10F2E">
        <w:rPr>
          <w:rFonts w:ascii="Bookman Old Style" w:hAnsi="Bookman Old Style"/>
          <w:sz w:val="24"/>
          <w:szCs w:val="24"/>
        </w:rPr>
        <w:t>la capacidad en firme contratada.</w:t>
      </w:r>
    </w:p>
    <w:p w:rsidR="00AA175F" w:rsidRPr="00DE5D40" w:rsidRDefault="00AA175F" w:rsidP="00AA175F">
      <w:pPr>
        <w:ind w:left="0"/>
        <w:jc w:val="both"/>
        <w:rPr>
          <w:rFonts w:ascii="Bookman Old Style" w:hAnsi="Bookman Old Style"/>
        </w:rPr>
      </w:pPr>
    </w:p>
    <w:p w:rsidR="00CD05DB" w:rsidRPr="00267BBB" w:rsidRDefault="00AA175F" w:rsidP="00CD05DB">
      <w:pPr>
        <w:pStyle w:val="Prrafodelista"/>
        <w:numPr>
          <w:ilvl w:val="0"/>
          <w:numId w:val="24"/>
        </w:numPr>
        <w:jc w:val="both"/>
        <w:rPr>
          <w:rFonts w:ascii="Bookman Old Style" w:hAnsi="Bookman Old Style"/>
          <w:sz w:val="24"/>
          <w:szCs w:val="24"/>
        </w:rPr>
      </w:pPr>
      <w:r w:rsidRPr="004B6EDA">
        <w:rPr>
          <w:rFonts w:ascii="Bookman Old Style" w:hAnsi="Bookman Old Style"/>
          <w:sz w:val="24"/>
          <w:szCs w:val="24"/>
        </w:rPr>
        <w:t xml:space="preserve">Entregar, un año antes del inicio de cada año del Período de Vigencia de la Obligación de Energía Firme, debidamente auditado, el contrato celebrado con comercializador de gas </w:t>
      </w:r>
      <w:r w:rsidR="00483978" w:rsidRPr="004B6EDA">
        <w:rPr>
          <w:rFonts w:ascii="Bookman Old Style" w:hAnsi="Bookman Old Style"/>
          <w:sz w:val="24"/>
          <w:szCs w:val="24"/>
        </w:rPr>
        <w:t xml:space="preserve">natural </w:t>
      </w:r>
      <w:r w:rsidRPr="004B6EDA">
        <w:rPr>
          <w:rFonts w:ascii="Bookman Old Style" w:hAnsi="Bookman Old Style"/>
          <w:sz w:val="24"/>
          <w:szCs w:val="24"/>
        </w:rPr>
        <w:t>importado de un mercado líquido para el suministro de gas.</w:t>
      </w:r>
      <w:r w:rsidR="00CD05DB" w:rsidRPr="004B6EDA">
        <w:rPr>
          <w:rFonts w:ascii="Bookman Old Style" w:hAnsi="Bookman Old Style"/>
          <w:sz w:val="24"/>
          <w:szCs w:val="24"/>
        </w:rPr>
        <w:t xml:space="preserve"> </w:t>
      </w:r>
    </w:p>
    <w:p w:rsidR="00AA175F" w:rsidRPr="00A00D0E" w:rsidRDefault="00AA175F" w:rsidP="00AA175F">
      <w:pPr>
        <w:pStyle w:val="Prrafodelista"/>
        <w:rPr>
          <w:rFonts w:ascii="Bookman Old Style" w:hAnsi="Bookman Old Style"/>
          <w:sz w:val="24"/>
          <w:szCs w:val="24"/>
        </w:rPr>
      </w:pPr>
    </w:p>
    <w:p w:rsidR="008E1009" w:rsidRPr="00267BBB" w:rsidRDefault="00AA175F" w:rsidP="005B29FB">
      <w:pPr>
        <w:pStyle w:val="Prrafodelista"/>
        <w:numPr>
          <w:ilvl w:val="0"/>
          <w:numId w:val="24"/>
        </w:numPr>
        <w:jc w:val="both"/>
        <w:rPr>
          <w:rFonts w:ascii="Bookman Old Style" w:hAnsi="Bookman Old Style"/>
          <w:sz w:val="24"/>
          <w:szCs w:val="24"/>
        </w:rPr>
      </w:pPr>
      <w:r w:rsidRPr="004B6EDA">
        <w:rPr>
          <w:rFonts w:ascii="Bookman Old Style" w:hAnsi="Bookman Old Style"/>
          <w:sz w:val="24"/>
          <w:szCs w:val="24"/>
        </w:rPr>
        <w:t>Entregar, debidamente auditado, el contrato de transporte en el S</w:t>
      </w:r>
      <w:r w:rsidR="00437419" w:rsidRPr="004B6EDA">
        <w:rPr>
          <w:rFonts w:ascii="Bookman Old Style" w:hAnsi="Bookman Old Style"/>
          <w:sz w:val="24"/>
          <w:szCs w:val="24"/>
        </w:rPr>
        <w:t xml:space="preserve">istema </w:t>
      </w:r>
      <w:r w:rsidRPr="004B6EDA">
        <w:rPr>
          <w:rFonts w:ascii="Bookman Old Style" w:hAnsi="Bookman Old Style"/>
          <w:sz w:val="24"/>
          <w:szCs w:val="24"/>
        </w:rPr>
        <w:t>N</w:t>
      </w:r>
      <w:r w:rsidR="00437419" w:rsidRPr="004B6EDA">
        <w:rPr>
          <w:rFonts w:ascii="Bookman Old Style" w:hAnsi="Bookman Old Style"/>
          <w:sz w:val="24"/>
          <w:szCs w:val="24"/>
        </w:rPr>
        <w:t xml:space="preserve">acional de </w:t>
      </w:r>
      <w:r w:rsidRPr="004B6EDA">
        <w:rPr>
          <w:rFonts w:ascii="Bookman Old Style" w:hAnsi="Bookman Old Style"/>
          <w:sz w:val="24"/>
          <w:szCs w:val="24"/>
        </w:rPr>
        <w:t>T</w:t>
      </w:r>
      <w:r w:rsidR="00437419" w:rsidRPr="004B6EDA">
        <w:rPr>
          <w:rFonts w:ascii="Bookman Old Style" w:hAnsi="Bookman Old Style"/>
          <w:sz w:val="24"/>
          <w:szCs w:val="24"/>
        </w:rPr>
        <w:t>ransporte de Gas, SNT,</w:t>
      </w:r>
      <w:r w:rsidRPr="004B6EDA">
        <w:rPr>
          <w:rFonts w:ascii="Bookman Old Style" w:hAnsi="Bookman Old Style"/>
          <w:sz w:val="24"/>
          <w:szCs w:val="24"/>
        </w:rPr>
        <w:t xml:space="preserve"> con capacidad en firme hasta la planta, al menos un año antes del inicio de cada año del Período de Vigencia de la Obligación de Energía Firme. </w:t>
      </w:r>
      <w:r w:rsidR="008E1009" w:rsidRPr="004B6EDA">
        <w:rPr>
          <w:rFonts w:ascii="Bookman Old Style" w:hAnsi="Bookman Old Style"/>
          <w:sz w:val="24"/>
          <w:szCs w:val="24"/>
        </w:rPr>
        <w:t xml:space="preserve"> </w:t>
      </w:r>
    </w:p>
    <w:p w:rsidR="00AA175F" w:rsidRPr="00A00D0E" w:rsidRDefault="00AA175F" w:rsidP="00AA175F">
      <w:pPr>
        <w:ind w:left="0"/>
        <w:jc w:val="both"/>
        <w:rPr>
          <w:rFonts w:ascii="Bookman Old Style" w:hAnsi="Bookman Old Style"/>
          <w:highlight w:val="yellow"/>
          <w:lang w:val="es-CO"/>
        </w:rPr>
      </w:pPr>
    </w:p>
    <w:p w:rsidR="004A75C4" w:rsidRPr="00E10F2E" w:rsidRDefault="004A75C4" w:rsidP="005B29FB">
      <w:pPr>
        <w:ind w:left="0"/>
        <w:jc w:val="both"/>
        <w:rPr>
          <w:rFonts w:ascii="Bookman Old Style" w:hAnsi="Bookman Old Style"/>
        </w:rPr>
      </w:pPr>
      <w:r w:rsidRPr="00E10F2E">
        <w:rPr>
          <w:rFonts w:ascii="Bookman Old Style" w:hAnsi="Bookman Old Style"/>
        </w:rPr>
        <w:t>La auditoría deberá verificar que las cantidades de gas y de capacidad de transporte contratadas sean suficientes para garantizar las OEF asignadas.</w:t>
      </w:r>
    </w:p>
    <w:p w:rsidR="004A75C4" w:rsidRPr="00E10F2E" w:rsidRDefault="004A75C4" w:rsidP="00AA175F">
      <w:pPr>
        <w:ind w:left="0"/>
        <w:jc w:val="both"/>
        <w:rPr>
          <w:rFonts w:ascii="Bookman Old Style" w:hAnsi="Bookman Old Style"/>
          <w:highlight w:val="yellow"/>
        </w:rPr>
      </w:pPr>
    </w:p>
    <w:p w:rsidR="00AA175F" w:rsidRPr="00E10F2E" w:rsidRDefault="00AA175F" w:rsidP="00AA175F">
      <w:pPr>
        <w:ind w:left="0"/>
        <w:jc w:val="both"/>
        <w:rPr>
          <w:rFonts w:ascii="Bookman Old Style" w:hAnsi="Bookman Old Style"/>
        </w:rPr>
      </w:pPr>
      <w:r w:rsidRPr="00E10F2E">
        <w:rPr>
          <w:rFonts w:ascii="Bookman Old Style" w:hAnsi="Bookman Old Style"/>
        </w:rPr>
        <w:t xml:space="preserve">El incumplimiento en la entrega oportuna de alguno de los documentos definidos en este artículo dará lugar a la pérdida de los derechos a la asignación de la Obligación de Energía Firme que </w:t>
      </w:r>
      <w:r w:rsidR="00F21A68" w:rsidRPr="00E10F2E">
        <w:rPr>
          <w:rFonts w:ascii="Bookman Old Style" w:hAnsi="Bookman Old Style"/>
        </w:rPr>
        <w:t xml:space="preserve">hayan sido </w:t>
      </w:r>
      <w:r w:rsidRPr="00E10F2E">
        <w:rPr>
          <w:rFonts w:ascii="Bookman Old Style" w:hAnsi="Bookman Old Style"/>
        </w:rPr>
        <w:t>respaldadas</w:t>
      </w:r>
      <w:r w:rsidR="009D05A0" w:rsidRPr="00E10F2E">
        <w:rPr>
          <w:rFonts w:ascii="Bookman Old Style" w:hAnsi="Bookman Old Style"/>
        </w:rPr>
        <w:t xml:space="preserve"> total o parcialmente</w:t>
      </w:r>
      <w:r w:rsidRPr="00E10F2E">
        <w:rPr>
          <w:rFonts w:ascii="Bookman Old Style" w:hAnsi="Bookman Old Style"/>
        </w:rPr>
        <w:t xml:space="preserve"> con gas importado.</w:t>
      </w:r>
    </w:p>
    <w:p w:rsidR="00AA175F" w:rsidRPr="00E10F2E" w:rsidRDefault="00AA175F" w:rsidP="00AA175F">
      <w:pPr>
        <w:ind w:left="0"/>
        <w:jc w:val="both"/>
        <w:rPr>
          <w:rFonts w:ascii="Bookman Old Style" w:hAnsi="Bookman Old Style"/>
        </w:rPr>
      </w:pPr>
    </w:p>
    <w:p w:rsidR="00AA175F" w:rsidRPr="00E10F2E" w:rsidRDefault="00AA175F" w:rsidP="00AA175F">
      <w:pPr>
        <w:ind w:left="0"/>
        <w:jc w:val="both"/>
        <w:rPr>
          <w:rFonts w:ascii="Bookman Old Style" w:hAnsi="Bookman Old Style"/>
        </w:rPr>
      </w:pPr>
      <w:r w:rsidRPr="00E10F2E">
        <w:rPr>
          <w:rFonts w:ascii="Bookman Old Style" w:hAnsi="Bookman Old Style"/>
          <w:b/>
        </w:rPr>
        <w:t>Parágrafo</w:t>
      </w:r>
      <w:r w:rsidR="00441721" w:rsidRPr="00E10F2E">
        <w:rPr>
          <w:rFonts w:ascii="Bookman Old Style" w:hAnsi="Bookman Old Style"/>
          <w:b/>
        </w:rPr>
        <w:t xml:space="preserve"> 1</w:t>
      </w:r>
      <w:r w:rsidRPr="00E10F2E">
        <w:rPr>
          <w:rFonts w:ascii="Bookman Old Style" w:hAnsi="Bookman Old Style"/>
        </w:rPr>
        <w:t xml:space="preserve">. A quienes se acojan a la </w:t>
      </w:r>
      <w:r w:rsidR="00441721" w:rsidRPr="00E10F2E">
        <w:rPr>
          <w:rFonts w:ascii="Bookman Old Style" w:hAnsi="Bookman Old Style"/>
        </w:rPr>
        <w:t>OPACGNI</w:t>
      </w:r>
      <w:r w:rsidRPr="00E10F2E">
        <w:rPr>
          <w:rFonts w:ascii="Bookman Old Style" w:hAnsi="Bookman Old Style"/>
        </w:rPr>
        <w:t xml:space="preserve"> haciendo uso de infraestructura </w:t>
      </w:r>
      <w:r w:rsidR="00524F7B" w:rsidRPr="00E10F2E">
        <w:rPr>
          <w:rFonts w:ascii="Bookman Old Style" w:hAnsi="Bookman Old Style"/>
        </w:rPr>
        <w:t xml:space="preserve">existente </w:t>
      </w:r>
      <w:r w:rsidRPr="00E10F2E">
        <w:rPr>
          <w:rFonts w:ascii="Bookman Old Style" w:hAnsi="Bookman Old Style"/>
        </w:rPr>
        <w:t xml:space="preserve">de importación de gas natural, no les aplicará lo definido en el Reglamento de Garantías para el Cargo por Confiabilidad adoptado mediante la Resolución CREG 061 de 2007, específicamente </w:t>
      </w:r>
      <w:r w:rsidR="00AB702F">
        <w:rPr>
          <w:rFonts w:ascii="Bookman Old Style" w:hAnsi="Bookman Old Style"/>
        </w:rPr>
        <w:t>en los siguientes aspectos</w:t>
      </w:r>
      <w:r w:rsidRPr="00E10F2E">
        <w:rPr>
          <w:rFonts w:ascii="Bookman Old Style" w:hAnsi="Bookman Old Style"/>
        </w:rPr>
        <w:t>: i) Garantía para amparar la disponibilidad de contratos de combustible durante el período de planeación, ii) Garantía para amparar la continuidad de contratos de combustible cuando su duración sea inferior al período de vigencia de la obligación.</w:t>
      </w:r>
    </w:p>
    <w:p w:rsidR="00441721" w:rsidRPr="00E10F2E" w:rsidRDefault="00441721" w:rsidP="00AA175F">
      <w:pPr>
        <w:ind w:left="0"/>
        <w:jc w:val="both"/>
        <w:rPr>
          <w:rFonts w:ascii="Bookman Old Style" w:hAnsi="Bookman Old Style"/>
        </w:rPr>
      </w:pPr>
    </w:p>
    <w:p w:rsidR="00A941AE" w:rsidRPr="00E10F2E" w:rsidRDefault="00441721" w:rsidP="00AA175F">
      <w:pPr>
        <w:ind w:left="0"/>
        <w:jc w:val="both"/>
        <w:rPr>
          <w:rFonts w:ascii="Bookman Old Style" w:hAnsi="Bookman Old Style"/>
        </w:rPr>
      </w:pPr>
      <w:r w:rsidRPr="00E10F2E">
        <w:rPr>
          <w:rFonts w:ascii="Bookman Old Style" w:hAnsi="Bookman Old Style"/>
          <w:b/>
        </w:rPr>
        <w:t>Parágrafo 2</w:t>
      </w:r>
      <w:r w:rsidRPr="00E10F2E">
        <w:rPr>
          <w:rFonts w:ascii="Bookman Old Style" w:hAnsi="Bookman Old Style"/>
        </w:rPr>
        <w:t xml:space="preserve">. </w:t>
      </w:r>
      <w:r w:rsidR="00A941AE" w:rsidRPr="00E10F2E">
        <w:rPr>
          <w:rFonts w:ascii="Bookman Old Style" w:hAnsi="Bookman Old Style"/>
        </w:rPr>
        <w:t xml:space="preserve">Para el cálculo de los índices TCR e IMM de que trata el </w:t>
      </w:r>
      <w:r w:rsidR="00AA0315" w:rsidRPr="00E10F2E">
        <w:rPr>
          <w:rFonts w:ascii="Bookman Old Style" w:hAnsi="Bookman Old Style"/>
        </w:rPr>
        <w:t xml:space="preserve">Anexo </w:t>
      </w:r>
      <w:r w:rsidR="00A941AE" w:rsidRPr="00E10F2E">
        <w:rPr>
          <w:rFonts w:ascii="Bookman Old Style" w:hAnsi="Bookman Old Style"/>
        </w:rPr>
        <w:t>3 de la Resolución CREG</w:t>
      </w:r>
      <w:r w:rsidR="002E5FB4" w:rsidRPr="00E10F2E">
        <w:rPr>
          <w:rFonts w:ascii="Bookman Old Style" w:hAnsi="Bookman Old Style"/>
        </w:rPr>
        <w:t xml:space="preserve"> </w:t>
      </w:r>
      <w:r w:rsidR="00A941AE" w:rsidRPr="00E10F2E">
        <w:rPr>
          <w:rFonts w:ascii="Bookman Old Style" w:hAnsi="Bookman Old Style"/>
        </w:rPr>
        <w:t>071 de 2006 se aplicará lo siguiente:</w:t>
      </w:r>
    </w:p>
    <w:p w:rsidR="00A941AE" w:rsidRPr="00E10F2E" w:rsidRDefault="00A941AE" w:rsidP="00AA175F">
      <w:pPr>
        <w:ind w:left="0"/>
        <w:jc w:val="both"/>
        <w:rPr>
          <w:rFonts w:ascii="Bookman Old Style" w:hAnsi="Bookman Old Style"/>
        </w:rPr>
      </w:pPr>
    </w:p>
    <w:p w:rsidR="00A941AE" w:rsidRDefault="00441721" w:rsidP="004B6EDA">
      <w:pPr>
        <w:pStyle w:val="Prrafodelista"/>
        <w:numPr>
          <w:ilvl w:val="0"/>
          <w:numId w:val="40"/>
        </w:numPr>
        <w:jc w:val="both"/>
        <w:rPr>
          <w:rFonts w:ascii="Bookman Old Style" w:hAnsi="Bookman Old Style"/>
          <w:sz w:val="24"/>
        </w:rPr>
      </w:pPr>
      <w:r w:rsidRPr="00E10F2E">
        <w:rPr>
          <w:rFonts w:ascii="Bookman Old Style" w:hAnsi="Bookman Old Style"/>
          <w:sz w:val="24"/>
        </w:rPr>
        <w:t xml:space="preserve">Para el </w:t>
      </w:r>
      <w:r w:rsidR="000106AE" w:rsidRPr="00E10F2E">
        <w:rPr>
          <w:rFonts w:ascii="Bookman Old Style" w:hAnsi="Bookman Old Style"/>
          <w:sz w:val="24"/>
        </w:rPr>
        <w:t xml:space="preserve">cálculo del </w:t>
      </w:r>
      <w:r w:rsidRPr="00E10F2E">
        <w:rPr>
          <w:rFonts w:ascii="Bookman Old Style" w:hAnsi="Bookman Old Style"/>
          <w:sz w:val="24"/>
        </w:rPr>
        <w:t xml:space="preserve">índice </w:t>
      </w:r>
      <w:r w:rsidR="000106AE" w:rsidRPr="00E10F2E">
        <w:rPr>
          <w:rFonts w:ascii="Bookman Old Style" w:hAnsi="Bookman Old Style"/>
          <w:sz w:val="24"/>
        </w:rPr>
        <w:t>TCR se aplicará lo definido en e</w:t>
      </w:r>
      <w:r w:rsidR="002E5FB4" w:rsidRPr="00E10F2E">
        <w:rPr>
          <w:rFonts w:ascii="Bookman Old Style" w:hAnsi="Bookman Old Style"/>
          <w:sz w:val="24"/>
        </w:rPr>
        <w:t xml:space="preserve">l </w:t>
      </w:r>
      <w:r w:rsidR="00E57D45" w:rsidRPr="00E10F2E">
        <w:rPr>
          <w:rFonts w:ascii="Bookman Old Style" w:hAnsi="Bookman Old Style"/>
          <w:sz w:val="24"/>
        </w:rPr>
        <w:t xml:space="preserve">Anexo </w:t>
      </w:r>
      <w:r w:rsidR="002E5FB4" w:rsidRPr="00E10F2E">
        <w:rPr>
          <w:rFonts w:ascii="Bookman Old Style" w:hAnsi="Bookman Old Style"/>
          <w:sz w:val="24"/>
        </w:rPr>
        <w:t xml:space="preserve">3 de la Resolución CREG </w:t>
      </w:r>
      <w:r w:rsidR="000106AE" w:rsidRPr="00E10F2E">
        <w:rPr>
          <w:rFonts w:ascii="Bookman Old Style" w:hAnsi="Bookman Old Style"/>
          <w:sz w:val="24"/>
        </w:rPr>
        <w:t xml:space="preserve">071 de 2006. </w:t>
      </w:r>
    </w:p>
    <w:p w:rsidR="008D5EAA" w:rsidRPr="00E10F2E" w:rsidRDefault="008D5EAA" w:rsidP="004B6EDA">
      <w:pPr>
        <w:pStyle w:val="Prrafodelista"/>
        <w:ind w:left="1080"/>
        <w:jc w:val="both"/>
        <w:rPr>
          <w:rFonts w:ascii="Bookman Old Style" w:hAnsi="Bookman Old Style"/>
          <w:sz w:val="24"/>
        </w:rPr>
      </w:pPr>
    </w:p>
    <w:p w:rsidR="00441721" w:rsidRPr="00E10F2E" w:rsidRDefault="000106AE" w:rsidP="004B6EDA">
      <w:pPr>
        <w:pStyle w:val="Prrafodelista"/>
        <w:numPr>
          <w:ilvl w:val="0"/>
          <w:numId w:val="40"/>
        </w:numPr>
        <w:jc w:val="both"/>
        <w:rPr>
          <w:rFonts w:ascii="Bookman Old Style" w:hAnsi="Bookman Old Style"/>
          <w:sz w:val="24"/>
        </w:rPr>
      </w:pPr>
      <w:r w:rsidRPr="00E10F2E">
        <w:rPr>
          <w:rFonts w:ascii="Bookman Old Style" w:hAnsi="Bookman Old Style"/>
          <w:sz w:val="24"/>
        </w:rPr>
        <w:t>Para el cálculo del índice IMM la CREG utilizará la capacidad de la infraestructura de importación</w:t>
      </w:r>
      <w:r w:rsidR="00982208" w:rsidRPr="00E10F2E">
        <w:rPr>
          <w:rFonts w:ascii="Bookman Old Style" w:hAnsi="Bookman Old Style"/>
          <w:sz w:val="24"/>
        </w:rPr>
        <w:t xml:space="preserve">, asimilándola a la capacidad de </w:t>
      </w:r>
      <w:r w:rsidR="00982208" w:rsidRPr="00E10F2E">
        <w:rPr>
          <w:rFonts w:ascii="Bookman Old Style" w:hAnsi="Bookman Old Style"/>
          <w:sz w:val="24"/>
        </w:rPr>
        <w:lastRenderedPageBreak/>
        <w:t xml:space="preserve">producción del </w:t>
      </w:r>
      <w:r w:rsidR="002F4713" w:rsidRPr="00E10F2E">
        <w:rPr>
          <w:rFonts w:ascii="Bookman Old Style" w:hAnsi="Bookman Old Style"/>
          <w:sz w:val="24"/>
        </w:rPr>
        <w:t>campo</w:t>
      </w:r>
      <w:r w:rsidR="00982208" w:rsidRPr="00E10F2E">
        <w:rPr>
          <w:rFonts w:ascii="Bookman Old Style" w:hAnsi="Bookman Old Style"/>
          <w:sz w:val="24"/>
        </w:rPr>
        <w:t xml:space="preserve">, </w:t>
      </w:r>
      <w:r w:rsidRPr="00E10F2E">
        <w:rPr>
          <w:rFonts w:ascii="Bookman Old Style" w:hAnsi="Bookman Old Style"/>
          <w:sz w:val="24"/>
        </w:rPr>
        <w:t xml:space="preserve">y los contratos </w:t>
      </w:r>
      <w:r w:rsidR="00F810DC" w:rsidRPr="00E10F2E">
        <w:rPr>
          <w:rFonts w:ascii="Bookman Old Style" w:hAnsi="Bookman Old Style"/>
          <w:sz w:val="24"/>
        </w:rPr>
        <w:t>para el uso de esa infraestructura</w:t>
      </w:r>
      <w:r w:rsidRPr="00E10F2E">
        <w:rPr>
          <w:rFonts w:ascii="Bookman Old Style" w:hAnsi="Bookman Old Style"/>
          <w:sz w:val="24"/>
        </w:rPr>
        <w:t>.</w:t>
      </w:r>
    </w:p>
    <w:p w:rsidR="000106AE" w:rsidRPr="00E10F2E" w:rsidRDefault="000106AE" w:rsidP="00AA175F">
      <w:pPr>
        <w:ind w:left="0"/>
        <w:jc w:val="both"/>
        <w:rPr>
          <w:rFonts w:ascii="Bookman Old Style" w:hAnsi="Bookman Old Style"/>
        </w:rPr>
      </w:pPr>
    </w:p>
    <w:p w:rsidR="00AA175F" w:rsidRPr="00E10F2E" w:rsidRDefault="000106AE" w:rsidP="000106AE">
      <w:pPr>
        <w:ind w:left="0"/>
        <w:jc w:val="both"/>
        <w:rPr>
          <w:rFonts w:ascii="Bookman Old Style" w:hAnsi="Bookman Old Style"/>
        </w:rPr>
      </w:pPr>
      <w:r w:rsidRPr="00E10F2E">
        <w:rPr>
          <w:rFonts w:ascii="Bookman Old Style" w:hAnsi="Bookman Old Style"/>
          <w:b/>
        </w:rPr>
        <w:t>Parágrafo 3</w:t>
      </w:r>
      <w:r w:rsidRPr="00E10F2E">
        <w:rPr>
          <w:rFonts w:ascii="Bookman Old Style" w:hAnsi="Bookman Old Style"/>
        </w:rPr>
        <w:t xml:space="preserve">. El </w:t>
      </w:r>
      <w:r w:rsidR="00AA0315" w:rsidRPr="00E10F2E">
        <w:rPr>
          <w:rFonts w:ascii="Bookman Old Style" w:hAnsi="Bookman Old Style"/>
        </w:rPr>
        <w:t>gas natural importado</w:t>
      </w:r>
      <w:r w:rsidRPr="00E10F2E">
        <w:rPr>
          <w:rFonts w:ascii="Bookman Old Style" w:hAnsi="Bookman Old Style"/>
        </w:rPr>
        <w:t xml:space="preserve"> que entre al S</w:t>
      </w:r>
      <w:r w:rsidR="00F5558E" w:rsidRPr="00E10F2E">
        <w:rPr>
          <w:rFonts w:ascii="Bookman Old Style" w:hAnsi="Bookman Old Style"/>
        </w:rPr>
        <w:t xml:space="preserve">istema </w:t>
      </w:r>
      <w:r w:rsidRPr="00E10F2E">
        <w:rPr>
          <w:rFonts w:ascii="Bookman Old Style" w:hAnsi="Bookman Old Style"/>
        </w:rPr>
        <w:t>N</w:t>
      </w:r>
      <w:r w:rsidR="00F5558E" w:rsidRPr="00E10F2E">
        <w:rPr>
          <w:rFonts w:ascii="Bookman Old Style" w:hAnsi="Bookman Old Style"/>
        </w:rPr>
        <w:t xml:space="preserve">acional de </w:t>
      </w:r>
      <w:r w:rsidRPr="00E10F2E">
        <w:rPr>
          <w:rFonts w:ascii="Bookman Old Style" w:hAnsi="Bookman Old Style"/>
        </w:rPr>
        <w:t>T</w:t>
      </w:r>
      <w:r w:rsidR="00F5558E" w:rsidRPr="00E10F2E">
        <w:rPr>
          <w:rFonts w:ascii="Bookman Old Style" w:hAnsi="Bookman Old Style"/>
        </w:rPr>
        <w:t>ransporte</w:t>
      </w:r>
      <w:r w:rsidRPr="00E10F2E">
        <w:rPr>
          <w:rFonts w:ascii="Bookman Old Style" w:hAnsi="Bookman Old Style"/>
        </w:rPr>
        <w:t xml:space="preserve"> deberá cumplir las disposiciones establecidas en el Reglamento Único de Transporte</w:t>
      </w:r>
      <w:r w:rsidR="00797C93" w:rsidRPr="00E10F2E">
        <w:rPr>
          <w:rFonts w:ascii="Bookman Old Style" w:hAnsi="Bookman Old Style"/>
        </w:rPr>
        <w:t xml:space="preserve"> o aquellas disposiciones que lo modifiquen, adicionen o complementen</w:t>
      </w:r>
      <w:r w:rsidRPr="00E10F2E">
        <w:rPr>
          <w:rFonts w:ascii="Bookman Old Style" w:hAnsi="Bookman Old Style"/>
        </w:rPr>
        <w:t>.</w:t>
      </w:r>
    </w:p>
    <w:p w:rsidR="009410B2" w:rsidRPr="00E10F2E" w:rsidRDefault="009410B2" w:rsidP="009410B2">
      <w:pPr>
        <w:ind w:left="0"/>
        <w:jc w:val="both"/>
        <w:rPr>
          <w:rFonts w:ascii="Bookman Old Style" w:hAnsi="Bookman Old Style"/>
        </w:rPr>
      </w:pPr>
    </w:p>
    <w:p w:rsidR="000106AE" w:rsidRPr="00E10F2E" w:rsidRDefault="000106AE" w:rsidP="00AA175F">
      <w:pPr>
        <w:ind w:left="0"/>
        <w:rPr>
          <w:rFonts w:ascii="Bookman Old Style" w:hAnsi="Bookman Old Style"/>
        </w:rPr>
      </w:pPr>
    </w:p>
    <w:p w:rsidR="00866A25" w:rsidRPr="00E10F2E" w:rsidRDefault="00AA175F" w:rsidP="00AA175F">
      <w:pPr>
        <w:ind w:left="0"/>
        <w:jc w:val="both"/>
        <w:rPr>
          <w:rFonts w:ascii="Bookman Old Style" w:hAnsi="Bookman Old Style"/>
        </w:rPr>
      </w:pPr>
      <w:r w:rsidRPr="00E10F2E">
        <w:rPr>
          <w:rFonts w:ascii="Bookman Old Style" w:hAnsi="Bookman Old Style"/>
          <w:b/>
        </w:rPr>
        <w:t>A</w:t>
      </w:r>
      <w:r w:rsidR="00D33CDE" w:rsidRPr="00E10F2E">
        <w:rPr>
          <w:rFonts w:ascii="Bookman Old Style" w:hAnsi="Bookman Old Style"/>
          <w:b/>
        </w:rPr>
        <w:t>RTÍCULO</w:t>
      </w:r>
      <w:r w:rsidRPr="00E10F2E">
        <w:rPr>
          <w:rFonts w:ascii="Bookman Old Style" w:hAnsi="Bookman Old Style"/>
          <w:b/>
        </w:rPr>
        <w:t xml:space="preserve"> </w:t>
      </w:r>
      <w:r w:rsidR="00E26972" w:rsidRPr="00E10F2E">
        <w:rPr>
          <w:rFonts w:ascii="Bookman Old Style" w:hAnsi="Bookman Old Style"/>
          <w:b/>
        </w:rPr>
        <w:t>9</w:t>
      </w:r>
      <w:r w:rsidRPr="00E10F2E">
        <w:rPr>
          <w:rFonts w:ascii="Bookman Old Style" w:hAnsi="Bookman Old Style"/>
          <w:b/>
        </w:rPr>
        <w:t xml:space="preserve">. Combustible para las pruebas de disponibilidad de plantas térmicas que utilizan gas natural importado. </w:t>
      </w:r>
      <w:r w:rsidRPr="00E10F2E">
        <w:rPr>
          <w:rFonts w:ascii="Bookman Old Style" w:hAnsi="Bookman Old Style"/>
        </w:rPr>
        <w:t xml:space="preserve">Las plantas de generación </w:t>
      </w:r>
      <w:r w:rsidR="006F7AAC" w:rsidRPr="00E10F2E">
        <w:rPr>
          <w:rFonts w:ascii="Bookman Old Style" w:hAnsi="Bookman Old Style"/>
        </w:rPr>
        <w:t xml:space="preserve">térmica </w:t>
      </w:r>
      <w:r w:rsidRPr="00E10F2E">
        <w:rPr>
          <w:rFonts w:ascii="Bookman Old Style" w:hAnsi="Bookman Old Style"/>
        </w:rPr>
        <w:t>que decla</w:t>
      </w:r>
      <w:r w:rsidR="006A79F2" w:rsidRPr="00E10F2E">
        <w:rPr>
          <w:rFonts w:ascii="Bookman Old Style" w:hAnsi="Bookman Old Style"/>
        </w:rPr>
        <w:t>ren</w:t>
      </w:r>
      <w:r w:rsidRPr="00E10F2E">
        <w:rPr>
          <w:rFonts w:ascii="Bookman Old Style" w:hAnsi="Bookman Old Style"/>
        </w:rPr>
        <w:t xml:space="preserve"> gas natural importado </w:t>
      </w:r>
      <w:r w:rsidR="005F57D4" w:rsidRPr="00E10F2E">
        <w:rPr>
          <w:rFonts w:ascii="Bookman Old Style" w:hAnsi="Bookman Old Style"/>
        </w:rPr>
        <w:t xml:space="preserve">como único combustible </w:t>
      </w:r>
      <w:r w:rsidRPr="00E10F2E">
        <w:rPr>
          <w:rFonts w:ascii="Bookman Old Style" w:hAnsi="Bookman Old Style"/>
        </w:rPr>
        <w:t xml:space="preserve">para respaldar Obligaciones de Energía Firme, podrán </w:t>
      </w:r>
      <w:r w:rsidR="002D7D4A" w:rsidRPr="00E10F2E">
        <w:rPr>
          <w:rFonts w:ascii="Bookman Old Style" w:hAnsi="Bookman Old Style"/>
        </w:rPr>
        <w:t xml:space="preserve">optar por </w:t>
      </w:r>
      <w:r w:rsidRPr="00E10F2E">
        <w:rPr>
          <w:rFonts w:ascii="Bookman Old Style" w:hAnsi="Bookman Old Style"/>
        </w:rPr>
        <w:t xml:space="preserve">hacer las pruebas </w:t>
      </w:r>
      <w:r w:rsidR="005F57D4" w:rsidRPr="00E10F2E">
        <w:rPr>
          <w:rFonts w:ascii="Bookman Old Style" w:hAnsi="Bookman Old Style"/>
        </w:rPr>
        <w:t>de que tratan las Resoluciones CREG</w:t>
      </w:r>
      <w:r w:rsidR="002E5FB4" w:rsidRPr="00E10F2E">
        <w:rPr>
          <w:rFonts w:ascii="Bookman Old Style" w:hAnsi="Bookman Old Style"/>
        </w:rPr>
        <w:t xml:space="preserve"> </w:t>
      </w:r>
      <w:r w:rsidR="005F57D4" w:rsidRPr="00E10F2E">
        <w:rPr>
          <w:rFonts w:ascii="Bookman Old Style" w:hAnsi="Bookman Old Style"/>
        </w:rPr>
        <w:t>085 de 2007 y CREG</w:t>
      </w:r>
      <w:r w:rsidR="002E5FB4" w:rsidRPr="00E10F2E">
        <w:rPr>
          <w:rFonts w:ascii="Bookman Old Style" w:hAnsi="Bookman Old Style"/>
        </w:rPr>
        <w:t xml:space="preserve"> </w:t>
      </w:r>
      <w:r w:rsidR="005F57D4" w:rsidRPr="00E10F2E">
        <w:rPr>
          <w:rFonts w:ascii="Bookman Old Style" w:hAnsi="Bookman Old Style"/>
        </w:rPr>
        <w:t>177 de 2008</w:t>
      </w:r>
      <w:r w:rsidR="00EB0537" w:rsidRPr="00E10F2E">
        <w:rPr>
          <w:rFonts w:ascii="Bookman Old Style" w:hAnsi="Bookman Old Style"/>
        </w:rPr>
        <w:t>, y las que las modifiquen o adicionen,</w:t>
      </w:r>
      <w:r w:rsidR="005F57D4" w:rsidRPr="00E10F2E">
        <w:rPr>
          <w:rFonts w:ascii="Bookman Old Style" w:hAnsi="Bookman Old Style"/>
        </w:rPr>
        <w:t xml:space="preserve"> con un combustible </w:t>
      </w:r>
      <w:r w:rsidR="00822498" w:rsidRPr="00E10F2E">
        <w:rPr>
          <w:rFonts w:ascii="Bookman Old Style" w:hAnsi="Bookman Old Style"/>
        </w:rPr>
        <w:t xml:space="preserve">alterno </w:t>
      </w:r>
      <w:r w:rsidR="002D7D4A" w:rsidRPr="00E10F2E">
        <w:rPr>
          <w:rFonts w:ascii="Bookman Old Style" w:hAnsi="Bookman Old Style"/>
        </w:rPr>
        <w:t>al gas natural importado</w:t>
      </w:r>
      <w:r w:rsidR="005F57D4" w:rsidRPr="00E10F2E">
        <w:rPr>
          <w:rFonts w:ascii="Bookman Old Style" w:hAnsi="Bookman Old Style"/>
        </w:rPr>
        <w:t>.</w:t>
      </w:r>
      <w:r w:rsidR="00AA1235" w:rsidRPr="00E10F2E">
        <w:rPr>
          <w:rFonts w:ascii="Bookman Old Style" w:hAnsi="Bookman Old Style"/>
        </w:rPr>
        <w:t xml:space="preserve"> </w:t>
      </w:r>
    </w:p>
    <w:p w:rsidR="007A72FF" w:rsidRPr="00E10F2E" w:rsidRDefault="007A72FF" w:rsidP="00AA175F">
      <w:pPr>
        <w:ind w:left="0"/>
        <w:jc w:val="both"/>
        <w:rPr>
          <w:rFonts w:ascii="Bookman Old Style" w:hAnsi="Bookman Old Style"/>
        </w:rPr>
      </w:pPr>
    </w:p>
    <w:p w:rsidR="00437419" w:rsidRPr="00E10F2E" w:rsidRDefault="007A72FF" w:rsidP="00AA175F">
      <w:pPr>
        <w:ind w:left="0"/>
        <w:jc w:val="both"/>
        <w:rPr>
          <w:rFonts w:ascii="Bookman Old Style" w:hAnsi="Bookman Old Style"/>
        </w:rPr>
      </w:pPr>
      <w:r w:rsidRPr="00E10F2E">
        <w:rPr>
          <w:rFonts w:ascii="Bookman Old Style" w:hAnsi="Bookman Old Style"/>
        </w:rPr>
        <w:t>L</w:t>
      </w:r>
      <w:r w:rsidR="006A79F2" w:rsidRPr="00E10F2E">
        <w:rPr>
          <w:rFonts w:ascii="Bookman Old Style" w:hAnsi="Bookman Old Style"/>
        </w:rPr>
        <w:t xml:space="preserve">as plantas o unidades de generación que </w:t>
      </w:r>
      <w:r w:rsidR="00437419" w:rsidRPr="00E10F2E">
        <w:rPr>
          <w:rFonts w:ascii="Bookman Old Style" w:hAnsi="Bookman Old Style"/>
        </w:rPr>
        <w:t>declar</w:t>
      </w:r>
      <w:r w:rsidR="006A79F2" w:rsidRPr="00E10F2E">
        <w:rPr>
          <w:rFonts w:ascii="Bookman Old Style" w:hAnsi="Bookman Old Style"/>
        </w:rPr>
        <w:t xml:space="preserve">en </w:t>
      </w:r>
      <w:r w:rsidR="00437419" w:rsidRPr="00E10F2E">
        <w:rPr>
          <w:rFonts w:ascii="Bookman Old Style" w:hAnsi="Bookman Old Style"/>
        </w:rPr>
        <w:t xml:space="preserve"> gas natural importado y otro combustible, </w:t>
      </w:r>
      <w:r w:rsidR="006A79F2" w:rsidRPr="00E10F2E">
        <w:rPr>
          <w:rFonts w:ascii="Bookman Old Style" w:hAnsi="Bookman Old Style"/>
        </w:rPr>
        <w:t xml:space="preserve">podrán hacer </w:t>
      </w:r>
      <w:r w:rsidR="00437419" w:rsidRPr="00E10F2E">
        <w:rPr>
          <w:rFonts w:ascii="Bookman Old Style" w:hAnsi="Bookman Old Style"/>
        </w:rPr>
        <w:t>las pruebas con este último combustible.</w:t>
      </w:r>
    </w:p>
    <w:p w:rsidR="00437419" w:rsidRPr="00E10F2E" w:rsidRDefault="00437419" w:rsidP="00AA175F">
      <w:pPr>
        <w:ind w:left="0"/>
        <w:jc w:val="both"/>
        <w:rPr>
          <w:rFonts w:ascii="Bookman Old Style" w:hAnsi="Bookman Old Style"/>
        </w:rPr>
      </w:pPr>
    </w:p>
    <w:p w:rsidR="00866A25" w:rsidRPr="00E10F2E" w:rsidRDefault="00866A25" w:rsidP="00AA175F">
      <w:pPr>
        <w:ind w:left="0"/>
        <w:jc w:val="both"/>
        <w:rPr>
          <w:rFonts w:ascii="Bookman Old Style" w:hAnsi="Bookman Old Style"/>
        </w:rPr>
      </w:pPr>
      <w:r w:rsidRPr="00E10F2E">
        <w:rPr>
          <w:rFonts w:ascii="Bookman Old Style" w:hAnsi="Bookman Old Style"/>
          <w:b/>
        </w:rPr>
        <w:t>A</w:t>
      </w:r>
      <w:r w:rsidR="00D33CDE" w:rsidRPr="00E10F2E">
        <w:rPr>
          <w:rFonts w:ascii="Bookman Old Style" w:hAnsi="Bookman Old Style"/>
          <w:b/>
        </w:rPr>
        <w:t>RTÍCULO</w:t>
      </w:r>
      <w:r w:rsidRPr="00E10F2E">
        <w:rPr>
          <w:rFonts w:ascii="Bookman Old Style" w:hAnsi="Bookman Old Style"/>
          <w:b/>
        </w:rPr>
        <w:t xml:space="preserve"> </w:t>
      </w:r>
      <w:r w:rsidR="007644E3" w:rsidRPr="00E10F2E">
        <w:rPr>
          <w:rFonts w:ascii="Bookman Old Style" w:hAnsi="Bookman Old Style"/>
          <w:b/>
        </w:rPr>
        <w:t>1</w:t>
      </w:r>
      <w:r w:rsidR="00E26972" w:rsidRPr="00E10F2E">
        <w:rPr>
          <w:rFonts w:ascii="Bookman Old Style" w:hAnsi="Bookman Old Style"/>
          <w:b/>
        </w:rPr>
        <w:t>0</w:t>
      </w:r>
      <w:r w:rsidRPr="00E10F2E">
        <w:rPr>
          <w:rFonts w:ascii="Bookman Old Style" w:hAnsi="Bookman Old Style"/>
          <w:b/>
        </w:rPr>
        <w:t xml:space="preserve">. Verificación de cumplimiento de Obligaciones de Energía Firme de plantas térmicas con gas natural importado. </w:t>
      </w:r>
      <w:r w:rsidRPr="00E10F2E">
        <w:rPr>
          <w:rFonts w:ascii="Bookman Old Style" w:hAnsi="Bookman Old Style"/>
        </w:rPr>
        <w:t>Las plantas</w:t>
      </w:r>
      <w:r w:rsidR="0049006F" w:rsidRPr="00E10F2E">
        <w:rPr>
          <w:rFonts w:ascii="Bookman Old Style" w:hAnsi="Bookman Old Style"/>
        </w:rPr>
        <w:t xml:space="preserve"> y/o unidades</w:t>
      </w:r>
      <w:r w:rsidRPr="00E10F2E">
        <w:rPr>
          <w:rFonts w:ascii="Bookman Old Style" w:hAnsi="Bookman Old Style"/>
        </w:rPr>
        <w:t xml:space="preserve"> de generación térmica que </w:t>
      </w:r>
      <w:r w:rsidR="00163BCD" w:rsidRPr="00E10F2E">
        <w:rPr>
          <w:rFonts w:ascii="Bookman Old Style" w:hAnsi="Bookman Old Style"/>
        </w:rPr>
        <w:t>respalden</w:t>
      </w:r>
      <w:r w:rsidR="00106387" w:rsidRPr="00E10F2E">
        <w:rPr>
          <w:rFonts w:ascii="Bookman Old Style" w:hAnsi="Bookman Old Style"/>
        </w:rPr>
        <w:t xml:space="preserve"> las OEF con</w:t>
      </w:r>
      <w:r w:rsidRPr="00E10F2E">
        <w:rPr>
          <w:rFonts w:ascii="Bookman Old Style" w:hAnsi="Bookman Old Style"/>
        </w:rPr>
        <w:t xml:space="preserve"> gas natural importado </w:t>
      </w:r>
      <w:r w:rsidR="0049006F" w:rsidRPr="00E10F2E">
        <w:rPr>
          <w:rFonts w:ascii="Bookman Old Style" w:hAnsi="Bookman Old Style"/>
        </w:rPr>
        <w:t xml:space="preserve">en una cantidad de </w:t>
      </w:r>
      <w:r w:rsidR="00A941AE" w:rsidRPr="00E10F2E">
        <w:rPr>
          <w:rFonts w:ascii="Bookman Old Style" w:hAnsi="Bookman Old Style"/>
        </w:rPr>
        <w:t xml:space="preserve">por </w:t>
      </w:r>
      <w:r w:rsidR="00053B2E" w:rsidRPr="00E10F2E">
        <w:rPr>
          <w:rFonts w:ascii="Bookman Old Style" w:hAnsi="Bookman Old Style"/>
        </w:rPr>
        <w:t>lo menos el 50% del combustible requerido para la ENFICC de la planta,</w:t>
      </w:r>
      <w:r w:rsidRPr="00E10F2E">
        <w:rPr>
          <w:rFonts w:ascii="Bookman Old Style" w:hAnsi="Bookman Old Style"/>
        </w:rPr>
        <w:t xml:space="preserve"> podrán generar con un combustible </w:t>
      </w:r>
      <w:r w:rsidR="00822498" w:rsidRPr="00E10F2E">
        <w:rPr>
          <w:rFonts w:ascii="Bookman Old Style" w:hAnsi="Bookman Old Style"/>
        </w:rPr>
        <w:t xml:space="preserve">alterno </w:t>
      </w:r>
      <w:r w:rsidR="005F17C2" w:rsidRPr="00E10F2E">
        <w:rPr>
          <w:rFonts w:ascii="Bookman Old Style" w:hAnsi="Bookman Old Style"/>
        </w:rPr>
        <w:t>para</w:t>
      </w:r>
      <w:r w:rsidRPr="00E10F2E">
        <w:rPr>
          <w:rFonts w:ascii="Bookman Old Style" w:hAnsi="Bookman Old Style"/>
        </w:rPr>
        <w:t xml:space="preserve"> la verificación del cumplimiento de las Obligaciones de Energía Firme </w:t>
      </w:r>
      <w:r w:rsidR="005F17C2" w:rsidRPr="00E10F2E">
        <w:rPr>
          <w:rFonts w:ascii="Bookman Old Style" w:hAnsi="Bookman Old Style"/>
        </w:rPr>
        <w:t xml:space="preserve">durante </w:t>
      </w:r>
      <w:r w:rsidR="00053B2E" w:rsidRPr="00E10F2E">
        <w:rPr>
          <w:rFonts w:ascii="Bookman Old Style" w:hAnsi="Bookman Old Style"/>
        </w:rPr>
        <w:t xml:space="preserve">los </w:t>
      </w:r>
      <w:r w:rsidR="00822498" w:rsidRPr="00E10F2E">
        <w:rPr>
          <w:rFonts w:ascii="Bookman Old Style" w:hAnsi="Bookman Old Style"/>
        </w:rPr>
        <w:t xml:space="preserve">períodos fuera del </w:t>
      </w:r>
      <w:r w:rsidR="00053B2E" w:rsidRPr="00E10F2E">
        <w:rPr>
          <w:rFonts w:ascii="Bookman Old Style" w:hAnsi="Bookman Old Style"/>
        </w:rPr>
        <w:t>P</w:t>
      </w:r>
      <w:r w:rsidR="00822498" w:rsidRPr="00E10F2E">
        <w:rPr>
          <w:rFonts w:ascii="Bookman Old Style" w:hAnsi="Bookman Old Style"/>
        </w:rPr>
        <w:t xml:space="preserve">eríodo de </w:t>
      </w:r>
      <w:r w:rsidR="00053B2E" w:rsidRPr="00E10F2E">
        <w:rPr>
          <w:rFonts w:ascii="Bookman Old Style" w:hAnsi="Bookman Old Style"/>
        </w:rPr>
        <w:t>R</w:t>
      </w:r>
      <w:r w:rsidR="00822498" w:rsidRPr="00E10F2E">
        <w:rPr>
          <w:rFonts w:ascii="Bookman Old Style" w:hAnsi="Bookman Old Style"/>
        </w:rPr>
        <w:t xml:space="preserve">iesgo de </w:t>
      </w:r>
      <w:r w:rsidR="00053B2E" w:rsidRPr="00E10F2E">
        <w:rPr>
          <w:rFonts w:ascii="Bookman Old Style" w:hAnsi="Bookman Old Style"/>
        </w:rPr>
        <w:t>D</w:t>
      </w:r>
      <w:r w:rsidR="00822498" w:rsidRPr="00E10F2E">
        <w:rPr>
          <w:rFonts w:ascii="Bookman Old Style" w:hAnsi="Bookman Old Style"/>
        </w:rPr>
        <w:t>esabastecimiento</w:t>
      </w:r>
      <w:r w:rsidR="00EB0537" w:rsidRPr="00E10F2E">
        <w:rPr>
          <w:rFonts w:ascii="Bookman Old Style" w:hAnsi="Bookman Old Style"/>
        </w:rPr>
        <w:t>, p</w:t>
      </w:r>
      <w:r w:rsidR="005F17C2" w:rsidRPr="00E10F2E">
        <w:rPr>
          <w:rFonts w:ascii="Bookman Old Style" w:hAnsi="Bookman Old Style"/>
        </w:rPr>
        <w:t>ara lo cual se aplicarán las siguiente reglas:</w:t>
      </w:r>
    </w:p>
    <w:p w:rsidR="00866A25" w:rsidRPr="00E10F2E" w:rsidRDefault="00866A25" w:rsidP="00AA175F">
      <w:pPr>
        <w:ind w:left="0"/>
        <w:jc w:val="both"/>
        <w:rPr>
          <w:rFonts w:ascii="Bookman Old Style" w:hAnsi="Bookman Old Style"/>
        </w:rPr>
      </w:pPr>
    </w:p>
    <w:p w:rsidR="00510485" w:rsidRPr="00E10F2E" w:rsidRDefault="00A97F05" w:rsidP="009C1F40">
      <w:pPr>
        <w:pStyle w:val="Prrafodelista"/>
        <w:numPr>
          <w:ilvl w:val="0"/>
          <w:numId w:val="28"/>
        </w:numPr>
        <w:jc w:val="both"/>
        <w:rPr>
          <w:rFonts w:ascii="Bookman Old Style" w:hAnsi="Bookman Old Style"/>
          <w:sz w:val="24"/>
          <w:szCs w:val="24"/>
        </w:rPr>
      </w:pPr>
      <w:r w:rsidRPr="004B6EDA">
        <w:rPr>
          <w:rFonts w:ascii="Bookman Old Style" w:hAnsi="Bookman Old Style"/>
          <w:sz w:val="24"/>
          <w:szCs w:val="24"/>
        </w:rPr>
        <w:t>S</w:t>
      </w:r>
      <w:r w:rsidR="00866A25" w:rsidRPr="004B6EDA">
        <w:rPr>
          <w:rFonts w:ascii="Bookman Old Style" w:hAnsi="Bookman Old Style"/>
          <w:sz w:val="24"/>
          <w:szCs w:val="24"/>
        </w:rPr>
        <w:t xml:space="preserve">e determina </w:t>
      </w:r>
      <w:r w:rsidR="00D31E20" w:rsidRPr="004B6EDA">
        <w:rPr>
          <w:rFonts w:ascii="Bookman Old Style" w:hAnsi="Bookman Old Style"/>
          <w:sz w:val="24"/>
          <w:szCs w:val="24"/>
        </w:rPr>
        <w:t xml:space="preserve">el factor k como </w:t>
      </w:r>
      <w:r w:rsidR="00866A25" w:rsidRPr="004B6EDA">
        <w:rPr>
          <w:rFonts w:ascii="Bookman Old Style" w:hAnsi="Bookman Old Style"/>
          <w:sz w:val="24"/>
          <w:szCs w:val="24"/>
        </w:rPr>
        <w:t xml:space="preserve">la relación entre la Capacidad Efectiva Neta con el combustible </w:t>
      </w:r>
      <w:r w:rsidR="00822498" w:rsidRPr="004B6EDA">
        <w:rPr>
          <w:rFonts w:ascii="Bookman Old Style" w:hAnsi="Bookman Old Style"/>
          <w:sz w:val="24"/>
          <w:szCs w:val="24"/>
        </w:rPr>
        <w:t xml:space="preserve">alterno y la Capacidad Efectiva Neta con gas natural importado, factor </w:t>
      </w:r>
      <w:r w:rsidR="00D31E20" w:rsidRPr="004B6EDA">
        <w:rPr>
          <w:rFonts w:ascii="Bookman Old Style" w:hAnsi="Bookman Old Style"/>
          <w:sz w:val="24"/>
          <w:szCs w:val="24"/>
        </w:rPr>
        <w:t xml:space="preserve">este </w:t>
      </w:r>
      <w:r w:rsidR="00822498" w:rsidRPr="004B6EDA">
        <w:rPr>
          <w:rFonts w:ascii="Bookman Old Style" w:hAnsi="Bookman Old Style"/>
          <w:sz w:val="24"/>
          <w:szCs w:val="24"/>
        </w:rPr>
        <w:t>que multiplicará, siempre que sea menor que uno (1)</w:t>
      </w:r>
      <w:r w:rsidR="00510485" w:rsidRPr="004B6EDA">
        <w:rPr>
          <w:rFonts w:ascii="Bookman Old Style" w:hAnsi="Bookman Old Style"/>
          <w:sz w:val="24"/>
          <w:szCs w:val="24"/>
        </w:rPr>
        <w:t>, las Obligaciones Diarias de Energía Firme</w:t>
      </w:r>
      <w:r w:rsidR="005A2AFB" w:rsidRPr="004B6EDA">
        <w:rPr>
          <w:rFonts w:ascii="Bookman Old Style" w:hAnsi="Bookman Old Style"/>
          <w:sz w:val="24"/>
          <w:szCs w:val="24"/>
        </w:rPr>
        <w:t>.</w:t>
      </w:r>
      <w:r w:rsidR="005A2AFB" w:rsidRPr="00E10F2E">
        <w:rPr>
          <w:rFonts w:ascii="Bookman Old Style" w:hAnsi="Bookman Old Style"/>
        </w:rPr>
        <w:t xml:space="preserve"> </w:t>
      </w:r>
    </w:p>
    <w:p w:rsidR="00510485" w:rsidRPr="00E10F2E" w:rsidRDefault="00510485" w:rsidP="009C1F40">
      <w:pPr>
        <w:ind w:left="0"/>
        <w:rPr>
          <w:rFonts w:ascii="Bookman Old Style" w:hAnsi="Bookman Old Style"/>
        </w:rPr>
      </w:pPr>
    </w:p>
    <w:p w:rsidR="004350A9" w:rsidRPr="00E10F2E" w:rsidRDefault="00FE43D1" w:rsidP="00593B54">
      <w:pPr>
        <w:pStyle w:val="Prrafodelista"/>
        <w:numPr>
          <w:ilvl w:val="0"/>
          <w:numId w:val="28"/>
        </w:numPr>
        <w:jc w:val="both"/>
        <w:rPr>
          <w:rFonts w:ascii="Bookman Old Style" w:hAnsi="Bookman Old Style"/>
          <w:sz w:val="24"/>
          <w:szCs w:val="24"/>
        </w:rPr>
      </w:pPr>
      <w:r w:rsidRPr="004B6EDA">
        <w:rPr>
          <w:rFonts w:ascii="Bookman Old Style" w:hAnsi="Bookman Old Style"/>
          <w:sz w:val="24"/>
          <w:szCs w:val="24"/>
        </w:rPr>
        <w:t>L</w:t>
      </w:r>
      <w:r w:rsidR="004350A9" w:rsidRPr="004B6EDA">
        <w:rPr>
          <w:rFonts w:ascii="Bookman Old Style" w:hAnsi="Bookman Old Style"/>
          <w:sz w:val="24"/>
          <w:szCs w:val="24"/>
        </w:rPr>
        <w:t>a</w:t>
      </w:r>
      <w:r w:rsidR="00510485" w:rsidRPr="004B6EDA">
        <w:rPr>
          <w:rFonts w:ascii="Bookman Old Style" w:hAnsi="Bookman Old Style"/>
          <w:sz w:val="24"/>
          <w:szCs w:val="24"/>
        </w:rPr>
        <w:t xml:space="preserve"> R</w:t>
      </w:r>
      <w:r w:rsidR="004350A9" w:rsidRPr="004B6EDA">
        <w:rPr>
          <w:rFonts w:ascii="Bookman Old Style" w:hAnsi="Bookman Old Style"/>
          <w:sz w:val="24"/>
          <w:szCs w:val="24"/>
        </w:rPr>
        <w:t xml:space="preserve">emuneración </w:t>
      </w:r>
      <w:r w:rsidR="00510485" w:rsidRPr="004B6EDA">
        <w:rPr>
          <w:rFonts w:ascii="Bookman Old Style" w:hAnsi="Bookman Old Style"/>
          <w:sz w:val="24"/>
          <w:szCs w:val="24"/>
        </w:rPr>
        <w:t>R</w:t>
      </w:r>
      <w:r w:rsidR="004350A9" w:rsidRPr="004B6EDA">
        <w:rPr>
          <w:rFonts w:ascii="Bookman Old Style" w:hAnsi="Bookman Old Style"/>
          <w:sz w:val="24"/>
          <w:szCs w:val="24"/>
        </w:rPr>
        <w:t xml:space="preserve">eal </w:t>
      </w:r>
      <w:r w:rsidR="00510485" w:rsidRPr="004B6EDA">
        <w:rPr>
          <w:rFonts w:ascii="Bookman Old Style" w:hAnsi="Bookman Old Style"/>
          <w:sz w:val="24"/>
          <w:szCs w:val="24"/>
        </w:rPr>
        <w:t>I</w:t>
      </w:r>
      <w:r w:rsidR="004350A9" w:rsidRPr="004B6EDA">
        <w:rPr>
          <w:rFonts w:ascii="Bookman Old Style" w:hAnsi="Bookman Old Style"/>
          <w:sz w:val="24"/>
          <w:szCs w:val="24"/>
        </w:rPr>
        <w:t xml:space="preserve">ndividual </w:t>
      </w:r>
      <w:r w:rsidR="00510485" w:rsidRPr="004B6EDA">
        <w:rPr>
          <w:rFonts w:ascii="Bookman Old Style" w:hAnsi="Bookman Old Style"/>
          <w:sz w:val="24"/>
          <w:szCs w:val="24"/>
        </w:rPr>
        <w:t>D</w:t>
      </w:r>
      <w:r w:rsidR="004350A9" w:rsidRPr="004B6EDA">
        <w:rPr>
          <w:rFonts w:ascii="Bookman Old Style" w:hAnsi="Bookman Old Style"/>
          <w:sz w:val="24"/>
          <w:szCs w:val="24"/>
        </w:rPr>
        <w:t>iaria RRID</w:t>
      </w:r>
      <w:r w:rsidR="00510485" w:rsidRPr="004B6EDA">
        <w:rPr>
          <w:rFonts w:ascii="Bookman Old Style" w:hAnsi="Bookman Old Style"/>
          <w:sz w:val="24"/>
          <w:szCs w:val="24"/>
        </w:rPr>
        <w:t xml:space="preserve">, </w:t>
      </w:r>
      <w:r w:rsidR="004350A9" w:rsidRPr="00E27FC5">
        <w:rPr>
          <w:rFonts w:ascii="Bookman Old Style" w:hAnsi="Bookman Old Style"/>
          <w:sz w:val="24"/>
          <w:szCs w:val="24"/>
        </w:rPr>
        <w:t>de la Obligación de Energía Firme respaldada por la planta o unidad</w:t>
      </w:r>
      <w:r w:rsidR="004350A9" w:rsidRPr="007955C6">
        <w:rPr>
          <w:rFonts w:ascii="Bookman Old Style" w:hAnsi="Bookman Old Style"/>
          <w:sz w:val="24"/>
          <w:szCs w:val="24"/>
        </w:rPr>
        <w:t xml:space="preserve"> de generación i en el día d del mes m (RRID </w:t>
      </w:r>
      <w:proofErr w:type="spellStart"/>
      <w:r w:rsidR="004350A9" w:rsidRPr="00E10F2E">
        <w:rPr>
          <w:rFonts w:ascii="Bookman Old Style" w:hAnsi="Bookman Old Style"/>
          <w:sz w:val="24"/>
          <w:szCs w:val="24"/>
          <w:vertAlign w:val="subscript"/>
        </w:rPr>
        <w:t>i,d,m</w:t>
      </w:r>
      <w:proofErr w:type="spellEnd"/>
      <w:r w:rsidR="004350A9" w:rsidRPr="00E10F2E">
        <w:rPr>
          <w:rFonts w:ascii="Bookman Old Style" w:hAnsi="Bookman Old Style"/>
          <w:sz w:val="24"/>
          <w:szCs w:val="24"/>
        </w:rPr>
        <w:t>) se calculará de acuerdo con la siguiente fórmula:</w:t>
      </w:r>
    </w:p>
    <w:p w:rsidR="004350A9" w:rsidRPr="00E10F2E" w:rsidRDefault="004350A9" w:rsidP="004350A9">
      <w:pPr>
        <w:ind w:left="708" w:right="333"/>
        <w:rPr>
          <w:rFonts w:ascii="Bookman Old Style" w:hAnsi="Bookman Old Style"/>
          <w:iCs/>
        </w:rPr>
      </w:pPr>
    </w:p>
    <w:p w:rsidR="004350A9" w:rsidRPr="00120525" w:rsidRDefault="00894F7D" w:rsidP="004350A9">
      <w:pPr>
        <w:ind w:left="708" w:right="333"/>
        <w:jc w:val="center"/>
        <w:rPr>
          <w:rFonts w:ascii="Bookman Old Style" w:hAnsi="Bookman Old Style"/>
          <w:iCs/>
        </w:rPr>
      </w:pPr>
      <w:r w:rsidRPr="00120525">
        <w:rPr>
          <w:rFonts w:ascii="Bookman Old Style" w:hAnsi="Bookman Old Style"/>
          <w:iCs/>
          <w:position w:val="-62"/>
        </w:rPr>
        <w:object w:dxaOrig="6540" w:dyaOrig="1359">
          <v:shape id="_x0000_i1026" type="#_x0000_t75" style="width:327pt;height:69pt" o:ole="">
            <v:imagedata r:id="rId11" o:title=""/>
          </v:shape>
          <o:OLEObject Type="Embed" ProgID="Equation.3" ShapeID="_x0000_i1026" DrawAspect="Content" ObjectID="_1379224954" r:id="rId12"/>
        </w:object>
      </w:r>
      <w:r w:rsidR="004350A9" w:rsidRPr="00E10F2E">
        <w:rPr>
          <w:rFonts w:ascii="Bookman Old Style" w:hAnsi="Bookman Old Style"/>
          <w:iCs/>
          <w:position w:val="-62"/>
        </w:rPr>
        <w:t xml:space="preserve"> </w:t>
      </w:r>
    </w:p>
    <w:p w:rsidR="004350A9" w:rsidRPr="00E10F2E" w:rsidRDefault="004350A9" w:rsidP="004350A9">
      <w:pPr>
        <w:ind w:left="708" w:right="333"/>
        <w:rPr>
          <w:rFonts w:ascii="Bookman Old Style" w:hAnsi="Bookman Old Style"/>
          <w:iCs/>
        </w:rPr>
      </w:pPr>
    </w:p>
    <w:p w:rsidR="004350A9" w:rsidRPr="00E10F2E" w:rsidRDefault="004350A9" w:rsidP="009C1F40">
      <w:pPr>
        <w:ind w:left="708" w:right="333"/>
        <w:jc w:val="both"/>
        <w:rPr>
          <w:rFonts w:ascii="Bookman Old Style" w:hAnsi="Bookman Old Style"/>
          <w:iCs/>
        </w:rPr>
      </w:pPr>
      <w:proofErr w:type="spellStart"/>
      <w:proofErr w:type="gramStart"/>
      <w:r w:rsidRPr="00E10F2E">
        <w:rPr>
          <w:rFonts w:ascii="Bookman Old Style" w:hAnsi="Bookman Old Style"/>
          <w:iCs/>
        </w:rPr>
        <w:t>donde</w:t>
      </w:r>
      <w:proofErr w:type="spellEnd"/>
      <w:proofErr w:type="gramEnd"/>
      <w:r w:rsidRPr="00E10F2E">
        <w:rPr>
          <w:rFonts w:ascii="Bookman Old Style" w:hAnsi="Bookman Old Style"/>
          <w:iCs/>
        </w:rPr>
        <w:t>:</w:t>
      </w:r>
    </w:p>
    <w:p w:rsidR="004350A9" w:rsidRPr="00E10F2E" w:rsidRDefault="004350A9" w:rsidP="009C1F40">
      <w:pPr>
        <w:ind w:left="708" w:right="333"/>
        <w:jc w:val="both"/>
        <w:rPr>
          <w:rFonts w:ascii="Bookman Old Style" w:hAnsi="Bookman Old Style"/>
          <w:iCs/>
        </w:rPr>
      </w:pPr>
    </w:p>
    <w:p w:rsidR="004350A9" w:rsidRPr="00E10F2E" w:rsidRDefault="004350A9" w:rsidP="009C1F40">
      <w:pPr>
        <w:ind w:left="2160" w:right="333" w:hanging="1452"/>
        <w:jc w:val="both"/>
        <w:rPr>
          <w:rFonts w:ascii="Bookman Old Style" w:hAnsi="Bookman Old Style"/>
          <w:iCs/>
        </w:rPr>
      </w:pPr>
      <w:proofErr w:type="spellStart"/>
      <w:r w:rsidRPr="00E10F2E">
        <w:rPr>
          <w:rFonts w:ascii="Bookman Old Style" w:hAnsi="Bookman Old Style"/>
          <w:iCs/>
        </w:rPr>
        <w:t>DC</w:t>
      </w:r>
      <w:r w:rsidRPr="00E10F2E">
        <w:rPr>
          <w:rFonts w:ascii="Bookman Old Style" w:hAnsi="Bookman Old Style"/>
          <w:iCs/>
          <w:vertAlign w:val="subscript"/>
        </w:rPr>
        <w:t>i,h,d,m</w:t>
      </w:r>
      <w:proofErr w:type="spellEnd"/>
      <w:r w:rsidRPr="00E10F2E">
        <w:rPr>
          <w:rFonts w:ascii="Bookman Old Style" w:hAnsi="Bookman Old Style"/>
          <w:iCs/>
        </w:rPr>
        <w:t>:</w:t>
      </w:r>
      <w:r w:rsidRPr="00E10F2E">
        <w:rPr>
          <w:rFonts w:ascii="Bookman Old Style" w:hAnsi="Bookman Old Style"/>
          <w:iCs/>
        </w:rPr>
        <w:tab/>
        <w:t xml:space="preserve">Disponibilidad Comercial de la planta i en la hora h del día d del mes m, expresado en kilovatios (kW), sin considerar la indisponibilidad respaldada mediante contratos de respaldo, declaraciones de respaldo  o </w:t>
      </w:r>
      <w:r w:rsidRPr="00E10F2E">
        <w:rPr>
          <w:rFonts w:ascii="Bookman Old Style" w:hAnsi="Bookman Old Style"/>
          <w:iCs/>
        </w:rPr>
        <w:lastRenderedPageBreak/>
        <w:t>cualquier otro anillo de seguridad. Este respaldo debió registrarse previamente ante el ASIC. Cuando el precio de bolsa sea mayor que el precio de escasez se considerarán las cantidades despachadas de estos tipos de cubrimiento.  Cuando no se cumpla la condición anterior, se considerará la cantidad registrada de estos tipos de cubrimiento.</w:t>
      </w:r>
    </w:p>
    <w:p w:rsidR="004350A9" w:rsidRPr="00E10F2E" w:rsidRDefault="004350A9" w:rsidP="009C1F40">
      <w:pPr>
        <w:ind w:left="2160" w:right="333" w:hanging="1452"/>
        <w:jc w:val="both"/>
        <w:rPr>
          <w:rFonts w:ascii="Bookman Old Style" w:hAnsi="Bookman Old Style"/>
          <w:iCs/>
        </w:rPr>
      </w:pPr>
    </w:p>
    <w:p w:rsidR="004350A9" w:rsidRPr="00E10F2E" w:rsidRDefault="004350A9" w:rsidP="004B6EDA">
      <w:pPr>
        <w:ind w:left="709" w:right="333"/>
        <w:jc w:val="both"/>
        <w:rPr>
          <w:rFonts w:ascii="Bookman Old Style" w:hAnsi="Bookman Old Style"/>
          <w:iCs/>
        </w:rPr>
      </w:pPr>
      <w:r w:rsidRPr="00E10F2E">
        <w:rPr>
          <w:rFonts w:ascii="Bookman Old Style" w:hAnsi="Bookman Old Style"/>
          <w:iCs/>
        </w:rPr>
        <w:t>El cálculo de esta componente se realizará de la siguiente forma:</w:t>
      </w:r>
    </w:p>
    <w:p w:rsidR="004350A9" w:rsidRPr="00E10F2E" w:rsidRDefault="004350A9" w:rsidP="004350A9">
      <w:pPr>
        <w:ind w:left="2160" w:right="333" w:hanging="1452"/>
        <w:rPr>
          <w:rFonts w:ascii="Bookman Old Style" w:hAnsi="Bookman Old Style"/>
          <w:iCs/>
        </w:rPr>
      </w:pPr>
    </w:p>
    <w:p w:rsidR="004350A9" w:rsidRPr="00E10F2E" w:rsidRDefault="004350A9" w:rsidP="004350A9">
      <w:pPr>
        <w:ind w:left="2160" w:right="333" w:hanging="1452"/>
        <w:rPr>
          <w:rFonts w:ascii="Bookman Old Style" w:hAnsi="Bookman Old Style"/>
          <w:iCs/>
        </w:rPr>
      </w:pPr>
    </w:p>
    <w:p w:rsidR="004350A9" w:rsidRPr="00E10F2E" w:rsidRDefault="00173F57" w:rsidP="004350A9">
      <w:pPr>
        <w:ind w:left="2160" w:right="333" w:hanging="1452"/>
        <w:jc w:val="right"/>
        <w:rPr>
          <w:rFonts w:ascii="Bookman Old Style" w:hAnsi="Bookman Old Style"/>
        </w:rPr>
      </w:pPr>
      <w:r w:rsidRPr="00120525">
        <w:rPr>
          <w:rFonts w:ascii="Bookman Old Style" w:hAnsi="Bookman Old Style"/>
          <w:position w:val="-70"/>
        </w:rPr>
        <w:object w:dxaOrig="6440" w:dyaOrig="1520">
          <v:shape id="_x0000_i1027" type="#_x0000_t75" style="width:321pt;height:75pt" o:ole="">
            <v:imagedata r:id="rId13" o:title=""/>
          </v:shape>
          <o:OLEObject Type="Embed" ProgID="Equation.3" ShapeID="_x0000_i1027" DrawAspect="Content" ObjectID="_1379224955" r:id="rId14"/>
        </w:object>
      </w:r>
    </w:p>
    <w:p w:rsidR="004350A9" w:rsidRPr="00120525" w:rsidRDefault="004350A9" w:rsidP="004350A9">
      <w:pPr>
        <w:ind w:left="2160" w:right="333" w:hanging="1452"/>
        <w:rPr>
          <w:rFonts w:ascii="Bookman Old Style" w:hAnsi="Bookman Old Style"/>
        </w:rPr>
      </w:pPr>
    </w:p>
    <w:p w:rsidR="004350A9" w:rsidRPr="00E10F2E" w:rsidRDefault="004350A9" w:rsidP="004B6EDA">
      <w:pPr>
        <w:ind w:left="709" w:right="333" w:hanging="36"/>
        <w:rPr>
          <w:rFonts w:ascii="Bookman Old Style" w:hAnsi="Bookman Old Style"/>
          <w:iCs/>
        </w:rPr>
      </w:pPr>
      <w:r w:rsidRPr="00E10F2E">
        <w:rPr>
          <w:rFonts w:ascii="Bookman Old Style" w:hAnsi="Bookman Old Style"/>
        </w:rPr>
        <w:tab/>
      </w:r>
      <w:proofErr w:type="spellStart"/>
      <w:proofErr w:type="gramStart"/>
      <w:r w:rsidRPr="00E10F2E">
        <w:rPr>
          <w:rFonts w:ascii="Bookman Old Style" w:hAnsi="Bookman Old Style"/>
          <w:iCs/>
        </w:rPr>
        <w:t>donde</w:t>
      </w:r>
      <w:proofErr w:type="spellEnd"/>
      <w:proofErr w:type="gramEnd"/>
      <w:r w:rsidRPr="00E10F2E">
        <w:rPr>
          <w:rFonts w:ascii="Bookman Old Style" w:hAnsi="Bookman Old Style"/>
          <w:iCs/>
        </w:rPr>
        <w:t>:</w:t>
      </w:r>
    </w:p>
    <w:p w:rsidR="004350A9" w:rsidRPr="00E10F2E" w:rsidRDefault="004350A9" w:rsidP="004350A9">
      <w:pPr>
        <w:ind w:left="2160" w:right="333" w:hanging="36"/>
        <w:rPr>
          <w:rFonts w:ascii="Bookman Old Style" w:hAnsi="Bookman Old Style"/>
          <w:iCs/>
        </w:rPr>
      </w:pPr>
    </w:p>
    <w:p w:rsidR="004350A9" w:rsidRPr="00E10F2E" w:rsidRDefault="004350A9" w:rsidP="004B6EDA">
      <w:pPr>
        <w:tabs>
          <w:tab w:val="left" w:pos="2127"/>
        </w:tabs>
        <w:ind w:left="2127" w:right="333" w:hanging="1454"/>
        <w:jc w:val="both"/>
        <w:rPr>
          <w:rFonts w:ascii="Bookman Old Style" w:hAnsi="Bookman Old Style"/>
          <w:iCs/>
        </w:rPr>
      </w:pPr>
      <w:proofErr w:type="spellStart"/>
      <w:r w:rsidRPr="00E10F2E">
        <w:rPr>
          <w:rFonts w:ascii="Bookman Old Style" w:hAnsi="Bookman Old Style"/>
          <w:iCs/>
        </w:rPr>
        <w:t>CCR</w:t>
      </w:r>
      <w:r w:rsidRPr="00E10F2E">
        <w:rPr>
          <w:rFonts w:ascii="Bookman Old Style" w:hAnsi="Bookman Old Style"/>
          <w:iCs/>
          <w:vertAlign w:val="subscript"/>
        </w:rPr>
        <w:t>i</w:t>
      </w:r>
      <w:proofErr w:type="gramStart"/>
      <w:r w:rsidRPr="00E10F2E">
        <w:rPr>
          <w:rFonts w:ascii="Bookman Old Style" w:hAnsi="Bookman Old Style"/>
          <w:iCs/>
          <w:vertAlign w:val="subscript"/>
        </w:rPr>
        <w:t>,d,m</w:t>
      </w:r>
      <w:proofErr w:type="spellEnd"/>
      <w:proofErr w:type="gramEnd"/>
      <w:r w:rsidRPr="00E10F2E">
        <w:rPr>
          <w:rFonts w:ascii="Bookman Old Style" w:hAnsi="Bookman Old Style"/>
          <w:iCs/>
        </w:rPr>
        <w:t xml:space="preserve">: </w:t>
      </w:r>
      <w:r w:rsidR="00E27FC5">
        <w:rPr>
          <w:rFonts w:ascii="Bookman Old Style" w:hAnsi="Bookman Old Style"/>
          <w:iCs/>
        </w:rPr>
        <w:tab/>
      </w:r>
      <w:r w:rsidRPr="00E10F2E">
        <w:rPr>
          <w:rFonts w:ascii="Bookman Old Style" w:hAnsi="Bookman Old Style"/>
          <w:iCs/>
        </w:rPr>
        <w:t xml:space="preserve">Compras en contratos de respaldo o en declaraciones de respaldo para la planta o unidad de generación i vigentes el día d del mes m. </w:t>
      </w:r>
    </w:p>
    <w:p w:rsidR="004350A9" w:rsidRPr="00E10F2E" w:rsidRDefault="004350A9" w:rsidP="00593B54">
      <w:pPr>
        <w:ind w:left="2160" w:right="333" w:hanging="36"/>
        <w:jc w:val="both"/>
        <w:rPr>
          <w:rFonts w:ascii="Bookman Old Style" w:hAnsi="Bookman Old Style"/>
          <w:iCs/>
        </w:rPr>
      </w:pPr>
    </w:p>
    <w:p w:rsidR="004350A9" w:rsidRPr="00E10F2E" w:rsidRDefault="004350A9" w:rsidP="004B6EDA">
      <w:pPr>
        <w:ind w:left="2127" w:right="333" w:hanging="1454"/>
        <w:jc w:val="both"/>
        <w:rPr>
          <w:rFonts w:ascii="Bookman Old Style" w:hAnsi="Bookman Old Style"/>
          <w:iCs/>
        </w:rPr>
      </w:pPr>
      <w:proofErr w:type="spellStart"/>
      <w:r w:rsidRPr="00E10F2E">
        <w:rPr>
          <w:rFonts w:ascii="Bookman Old Style" w:hAnsi="Bookman Old Style"/>
          <w:iCs/>
        </w:rPr>
        <w:t>DispComNormal</w:t>
      </w:r>
      <w:r w:rsidRPr="00E10F2E">
        <w:rPr>
          <w:rFonts w:ascii="Bookman Old Style" w:hAnsi="Bookman Old Style"/>
          <w:iCs/>
          <w:vertAlign w:val="subscript"/>
        </w:rPr>
        <w:t>i</w:t>
      </w:r>
      <w:proofErr w:type="gramStart"/>
      <w:r w:rsidRPr="00E10F2E">
        <w:rPr>
          <w:rFonts w:ascii="Bookman Old Style" w:hAnsi="Bookman Old Style"/>
          <w:iCs/>
          <w:vertAlign w:val="subscript"/>
        </w:rPr>
        <w:t>,h,d</w:t>
      </w:r>
      <w:proofErr w:type="spellEnd"/>
      <w:proofErr w:type="gramEnd"/>
      <w:r w:rsidRPr="00E10F2E">
        <w:rPr>
          <w:rFonts w:ascii="Bookman Old Style" w:hAnsi="Bookman Old Style"/>
          <w:iCs/>
        </w:rPr>
        <w:t>: Disponibilidad Comercial Normal calculada según la metodología definida en la Resolución CREG-024 de 1995 para la planta o unidad de generación i en la hora h del día d.</w:t>
      </w:r>
    </w:p>
    <w:p w:rsidR="004350A9" w:rsidRPr="00E10F2E" w:rsidRDefault="004350A9" w:rsidP="00593B54">
      <w:pPr>
        <w:ind w:left="2160" w:right="333" w:hanging="1452"/>
        <w:jc w:val="both"/>
        <w:rPr>
          <w:rFonts w:ascii="Bookman Old Style" w:hAnsi="Bookman Old Style"/>
          <w:iCs/>
        </w:rPr>
      </w:pPr>
    </w:p>
    <w:p w:rsidR="004350A9" w:rsidRPr="00E10F2E" w:rsidRDefault="004350A9" w:rsidP="00593B54">
      <w:pPr>
        <w:ind w:left="2160" w:right="333" w:hanging="1452"/>
        <w:jc w:val="both"/>
        <w:rPr>
          <w:rFonts w:ascii="Bookman Old Style" w:hAnsi="Bookman Old Style"/>
          <w:iCs/>
        </w:rPr>
      </w:pPr>
      <w:r w:rsidRPr="00E10F2E">
        <w:rPr>
          <w:rFonts w:ascii="Bookman Old Style" w:hAnsi="Bookman Old Style"/>
          <w:iCs/>
        </w:rPr>
        <w:t xml:space="preserve">CEN: </w:t>
      </w:r>
      <w:r w:rsidR="008D5EAA">
        <w:rPr>
          <w:rFonts w:ascii="Bookman Old Style" w:hAnsi="Bookman Old Style"/>
          <w:iCs/>
        </w:rPr>
        <w:tab/>
      </w:r>
      <w:r w:rsidRPr="00E10F2E">
        <w:rPr>
          <w:rFonts w:ascii="Bookman Old Style" w:hAnsi="Bookman Old Style"/>
          <w:iCs/>
        </w:rPr>
        <w:t>Capacidad Efectiva Neta de la planta o unidad de generación i en la hora h.</w:t>
      </w:r>
    </w:p>
    <w:p w:rsidR="004350A9" w:rsidRPr="00E10F2E" w:rsidRDefault="004350A9" w:rsidP="004350A9">
      <w:pPr>
        <w:ind w:left="2160" w:right="333" w:hanging="1452"/>
        <w:rPr>
          <w:rFonts w:ascii="Bookman Old Style" w:hAnsi="Bookman Old Style"/>
          <w:iCs/>
        </w:rPr>
      </w:pPr>
    </w:p>
    <w:p w:rsidR="004350A9" w:rsidRPr="00E10F2E" w:rsidRDefault="004350A9" w:rsidP="009C1F40">
      <w:pPr>
        <w:ind w:left="2040" w:right="333" w:hanging="1440"/>
        <w:jc w:val="both"/>
        <w:rPr>
          <w:rFonts w:ascii="Bookman Old Style" w:hAnsi="Bookman Old Style"/>
          <w:b/>
          <w:iCs/>
          <w:u w:val="single"/>
        </w:rPr>
      </w:pPr>
      <w:proofErr w:type="spellStart"/>
      <w:r w:rsidRPr="00E10F2E">
        <w:rPr>
          <w:rFonts w:ascii="Bookman Old Style" w:hAnsi="Bookman Old Style"/>
          <w:iCs/>
        </w:rPr>
        <w:t>ODEFR</w:t>
      </w:r>
      <w:r w:rsidRPr="00E10F2E">
        <w:rPr>
          <w:rFonts w:ascii="Bookman Old Style" w:hAnsi="Bookman Old Style"/>
          <w:iCs/>
          <w:vertAlign w:val="subscript"/>
        </w:rPr>
        <w:t>i</w:t>
      </w:r>
      <w:proofErr w:type="gramStart"/>
      <w:r w:rsidRPr="00E10F2E">
        <w:rPr>
          <w:rFonts w:ascii="Bookman Old Style" w:hAnsi="Bookman Old Style"/>
          <w:iCs/>
          <w:vertAlign w:val="subscript"/>
        </w:rPr>
        <w:t>,d,m</w:t>
      </w:r>
      <w:proofErr w:type="spellEnd"/>
      <w:proofErr w:type="gramEnd"/>
      <w:r w:rsidRPr="00E10F2E">
        <w:rPr>
          <w:rFonts w:ascii="Bookman Old Style" w:hAnsi="Bookman Old Style"/>
          <w:iCs/>
        </w:rPr>
        <w:t>:</w:t>
      </w:r>
      <w:r w:rsidRPr="00E10F2E">
        <w:rPr>
          <w:rFonts w:ascii="Bookman Old Style" w:hAnsi="Bookman Old Style"/>
          <w:iCs/>
        </w:rPr>
        <w:tab/>
        <w:t>Obligación Diaria de Energía Firme respaldada por la planta o unidad de generación i en el día d del mes m, expresada en kilovatios-hora (</w:t>
      </w:r>
      <w:proofErr w:type="spellStart"/>
      <w:r w:rsidRPr="00E10F2E">
        <w:rPr>
          <w:rFonts w:ascii="Bookman Old Style" w:hAnsi="Bookman Old Style"/>
          <w:iCs/>
        </w:rPr>
        <w:t>kWh</w:t>
      </w:r>
      <w:proofErr w:type="spellEnd"/>
      <w:r w:rsidRPr="00E10F2E">
        <w:rPr>
          <w:rFonts w:ascii="Bookman Old Style" w:hAnsi="Bookman Old Style"/>
          <w:iCs/>
        </w:rPr>
        <w:t xml:space="preserve">). </w:t>
      </w:r>
    </w:p>
    <w:p w:rsidR="004350A9" w:rsidRPr="00E10F2E" w:rsidRDefault="004350A9" w:rsidP="009C1F40">
      <w:pPr>
        <w:ind w:left="708" w:right="333" w:hanging="1516"/>
        <w:jc w:val="both"/>
        <w:rPr>
          <w:rFonts w:ascii="Bookman Old Style" w:hAnsi="Bookman Old Style"/>
          <w:iCs/>
        </w:rPr>
      </w:pPr>
    </w:p>
    <w:p w:rsidR="004350A9" w:rsidRPr="00E10F2E" w:rsidRDefault="004350A9" w:rsidP="009C1F40">
      <w:pPr>
        <w:ind w:left="2040" w:right="333" w:hanging="1332"/>
        <w:jc w:val="both"/>
        <w:rPr>
          <w:rFonts w:ascii="Bookman Old Style" w:hAnsi="Bookman Old Style"/>
          <w:iCs/>
        </w:rPr>
      </w:pPr>
      <w:proofErr w:type="spellStart"/>
      <w:r w:rsidRPr="00E10F2E">
        <w:rPr>
          <w:rFonts w:ascii="Bookman Old Style" w:hAnsi="Bookman Old Style"/>
          <w:iCs/>
        </w:rPr>
        <w:t>VCP</w:t>
      </w:r>
      <w:r w:rsidRPr="00E10F2E">
        <w:rPr>
          <w:rFonts w:ascii="Bookman Old Style" w:hAnsi="Bookman Old Style"/>
          <w:iCs/>
          <w:vertAlign w:val="subscript"/>
        </w:rPr>
        <w:t>i</w:t>
      </w:r>
      <w:proofErr w:type="gramStart"/>
      <w:r w:rsidRPr="00E10F2E">
        <w:rPr>
          <w:rFonts w:ascii="Bookman Old Style" w:hAnsi="Bookman Old Style"/>
          <w:iCs/>
          <w:vertAlign w:val="subscript"/>
        </w:rPr>
        <w:t>,d,m</w:t>
      </w:r>
      <w:proofErr w:type="spellEnd"/>
      <w:proofErr w:type="gramEnd"/>
      <w:r w:rsidRPr="00E10F2E">
        <w:rPr>
          <w:rFonts w:ascii="Bookman Old Style" w:hAnsi="Bookman Old Style"/>
          <w:iCs/>
        </w:rPr>
        <w:t xml:space="preserve">: </w:t>
      </w:r>
      <w:r w:rsidRPr="00E10F2E">
        <w:rPr>
          <w:rFonts w:ascii="Bookman Old Style" w:hAnsi="Bookman Old Style"/>
          <w:iCs/>
        </w:rPr>
        <w:tab/>
        <w:t>Ventas en contratos de respaldado o en declaraciones de respaldo con la planta o unidad de generación i vigentes el día d del mes m.</w:t>
      </w:r>
    </w:p>
    <w:p w:rsidR="004350A9" w:rsidRPr="00E10F2E" w:rsidRDefault="004350A9" w:rsidP="009C1F40">
      <w:pPr>
        <w:ind w:left="708"/>
        <w:jc w:val="both"/>
        <w:rPr>
          <w:rFonts w:ascii="Bookman Old Style" w:hAnsi="Bookman Old Style"/>
          <w:iCs/>
        </w:rPr>
      </w:pPr>
    </w:p>
    <w:p w:rsidR="004350A9" w:rsidRPr="00E10F2E" w:rsidRDefault="004350A9" w:rsidP="009C1F40">
      <w:pPr>
        <w:ind w:left="2040" w:right="333" w:hanging="1332"/>
        <w:jc w:val="both"/>
        <w:rPr>
          <w:rFonts w:ascii="Bookman Old Style" w:hAnsi="Bookman Old Style"/>
          <w:iCs/>
        </w:rPr>
      </w:pPr>
      <w:proofErr w:type="spellStart"/>
      <w:r w:rsidRPr="00E10F2E">
        <w:rPr>
          <w:rFonts w:ascii="Bookman Old Style" w:hAnsi="Bookman Old Style"/>
          <w:iCs/>
        </w:rPr>
        <w:t>PCC</w:t>
      </w:r>
      <w:r w:rsidRPr="00E10F2E">
        <w:rPr>
          <w:rFonts w:ascii="Bookman Old Style" w:hAnsi="Bookman Old Style"/>
          <w:iCs/>
          <w:vertAlign w:val="subscript"/>
        </w:rPr>
        <w:t>i,m</w:t>
      </w:r>
      <w:proofErr w:type="spellEnd"/>
      <w:r w:rsidRPr="00E10F2E">
        <w:rPr>
          <w:rFonts w:ascii="Bookman Old Style" w:hAnsi="Bookman Old Style"/>
          <w:iCs/>
        </w:rPr>
        <w:t>:</w:t>
      </w:r>
      <w:r w:rsidRPr="00E10F2E">
        <w:rPr>
          <w:rFonts w:ascii="Bookman Old Style" w:hAnsi="Bookman Old Style"/>
          <w:iCs/>
        </w:rPr>
        <w:tab/>
        <w:t>Precio Promedio Ponderado del Cargo por Confiabilidad de la Obligación de Energía Firme respaldada por la planta o unidad de generación i vigente en el mes m, expresado en dólares por kilovatio-hora (US$/</w:t>
      </w:r>
      <w:proofErr w:type="spellStart"/>
      <w:r w:rsidRPr="00E10F2E">
        <w:rPr>
          <w:rFonts w:ascii="Bookman Old Style" w:hAnsi="Bookman Old Style"/>
          <w:iCs/>
        </w:rPr>
        <w:t>kWh</w:t>
      </w:r>
      <w:proofErr w:type="spellEnd"/>
      <w:r w:rsidRPr="00E10F2E">
        <w:rPr>
          <w:rFonts w:ascii="Bookman Old Style" w:hAnsi="Bookman Old Style"/>
          <w:iCs/>
        </w:rPr>
        <w:t>), que se calculará de acuerdo con la siguiente expresión:</w:t>
      </w:r>
    </w:p>
    <w:p w:rsidR="004350A9" w:rsidRPr="00E10F2E" w:rsidRDefault="004350A9" w:rsidP="009C1F40">
      <w:pPr>
        <w:ind w:left="2040" w:right="333" w:hanging="1332"/>
        <w:jc w:val="both"/>
        <w:rPr>
          <w:rFonts w:ascii="Bookman Old Style" w:hAnsi="Bookman Old Style"/>
          <w:iCs/>
        </w:rPr>
      </w:pPr>
    </w:p>
    <w:p w:rsidR="004350A9" w:rsidRPr="00E10F2E" w:rsidRDefault="004350A9" w:rsidP="004350A9">
      <w:pPr>
        <w:ind w:left="708" w:right="333" w:firstLine="1134"/>
        <w:jc w:val="center"/>
        <w:rPr>
          <w:rFonts w:ascii="Bookman Old Style" w:hAnsi="Bookman Old Style"/>
          <w:iCs/>
        </w:rPr>
      </w:pPr>
      <w:r w:rsidRPr="00120525">
        <w:rPr>
          <w:rFonts w:ascii="Bookman Old Style" w:hAnsi="Bookman Old Style"/>
          <w:iCs/>
          <w:position w:val="-46"/>
        </w:rPr>
        <w:object w:dxaOrig="3200" w:dyaOrig="1040">
          <v:shape id="_x0000_i1028" type="#_x0000_t75" style="width:159.75pt;height:51.75pt" o:ole="">
            <v:imagedata r:id="rId15" o:title=""/>
          </v:shape>
          <o:OLEObject Type="Embed" ProgID="Equation.3" ShapeID="_x0000_i1028" DrawAspect="Content" ObjectID="_1379224956" r:id="rId16"/>
        </w:object>
      </w:r>
    </w:p>
    <w:p w:rsidR="004350A9" w:rsidRPr="00120525" w:rsidRDefault="004350A9" w:rsidP="009C1F40">
      <w:pPr>
        <w:ind w:left="708" w:right="333"/>
        <w:jc w:val="both"/>
        <w:rPr>
          <w:rFonts w:ascii="Bookman Old Style" w:hAnsi="Bookman Old Style"/>
          <w:iCs/>
        </w:rPr>
      </w:pPr>
      <w:proofErr w:type="spellStart"/>
      <w:proofErr w:type="gramStart"/>
      <w:r w:rsidRPr="00120525">
        <w:rPr>
          <w:rFonts w:ascii="Bookman Old Style" w:hAnsi="Bookman Old Style"/>
          <w:iCs/>
        </w:rPr>
        <w:t>donde</w:t>
      </w:r>
      <w:proofErr w:type="spellEnd"/>
      <w:proofErr w:type="gramEnd"/>
      <w:r w:rsidRPr="00120525">
        <w:rPr>
          <w:rFonts w:ascii="Bookman Old Style" w:hAnsi="Bookman Old Style"/>
          <w:iCs/>
        </w:rPr>
        <w:t>:</w:t>
      </w:r>
    </w:p>
    <w:p w:rsidR="004350A9" w:rsidRDefault="004350A9" w:rsidP="009C1F40">
      <w:pPr>
        <w:ind w:left="708" w:right="333"/>
        <w:jc w:val="both"/>
        <w:rPr>
          <w:rFonts w:ascii="Bookman Old Style" w:hAnsi="Bookman Old Style"/>
          <w:iCs/>
        </w:rPr>
      </w:pPr>
    </w:p>
    <w:p w:rsidR="004B6EDA" w:rsidRPr="007955C6" w:rsidRDefault="004B6EDA" w:rsidP="009C1F40">
      <w:pPr>
        <w:ind w:left="708" w:right="333"/>
        <w:jc w:val="both"/>
        <w:rPr>
          <w:rFonts w:ascii="Bookman Old Style" w:hAnsi="Bookman Old Style"/>
          <w:iCs/>
        </w:rPr>
      </w:pPr>
    </w:p>
    <w:p w:rsidR="004350A9" w:rsidRPr="00E10F2E" w:rsidRDefault="004350A9" w:rsidP="009C1F40">
      <w:pPr>
        <w:ind w:left="2040" w:right="333" w:hanging="1332"/>
        <w:jc w:val="both"/>
        <w:rPr>
          <w:rFonts w:ascii="Bookman Old Style" w:hAnsi="Bookman Old Style"/>
          <w:iCs/>
        </w:rPr>
      </w:pPr>
      <w:proofErr w:type="spellStart"/>
      <w:r w:rsidRPr="00E10F2E">
        <w:rPr>
          <w:rFonts w:ascii="Bookman Old Style" w:hAnsi="Bookman Old Style"/>
          <w:iCs/>
        </w:rPr>
        <w:t>P</w:t>
      </w:r>
      <w:r w:rsidRPr="00E10F2E">
        <w:rPr>
          <w:rFonts w:ascii="Bookman Old Style" w:hAnsi="Bookman Old Style"/>
          <w:iCs/>
          <w:vertAlign w:val="subscript"/>
        </w:rPr>
        <w:t>i,m,s</w:t>
      </w:r>
      <w:proofErr w:type="spellEnd"/>
      <w:r w:rsidRPr="00E10F2E">
        <w:rPr>
          <w:rFonts w:ascii="Bookman Old Style" w:hAnsi="Bookman Old Style"/>
          <w:iCs/>
        </w:rPr>
        <w:t>:</w:t>
      </w:r>
      <w:r w:rsidRPr="00E10F2E">
        <w:rPr>
          <w:rFonts w:ascii="Bookman Old Style" w:hAnsi="Bookman Old Style"/>
          <w:iCs/>
        </w:rPr>
        <w:tab/>
        <w:t>Precio al cual fue asignada la Obligación de Energía Firme asociada a la planta y/o unidad de generación i vigente en el mes m, asignada en la subasta s o en el mecanismo que haga sus veces, expresado en dólares por kilovatio hora (US$/</w:t>
      </w:r>
      <w:proofErr w:type="spellStart"/>
      <w:r w:rsidRPr="00E10F2E">
        <w:rPr>
          <w:rFonts w:ascii="Bookman Old Style" w:hAnsi="Bookman Old Style"/>
          <w:iCs/>
        </w:rPr>
        <w:t>kWh</w:t>
      </w:r>
      <w:proofErr w:type="spellEnd"/>
      <w:r w:rsidRPr="00E10F2E">
        <w:rPr>
          <w:rFonts w:ascii="Bookman Old Style" w:hAnsi="Bookman Old Style"/>
          <w:iCs/>
        </w:rPr>
        <w:t>).</w:t>
      </w:r>
    </w:p>
    <w:p w:rsidR="004350A9" w:rsidRPr="00E10F2E" w:rsidRDefault="004350A9" w:rsidP="009C1F40">
      <w:pPr>
        <w:ind w:left="708" w:right="333"/>
        <w:jc w:val="both"/>
        <w:rPr>
          <w:rFonts w:ascii="Bookman Old Style" w:hAnsi="Bookman Old Style"/>
          <w:iCs/>
        </w:rPr>
      </w:pPr>
    </w:p>
    <w:p w:rsidR="004350A9" w:rsidRPr="00E10F2E" w:rsidRDefault="004350A9" w:rsidP="009C1F40">
      <w:pPr>
        <w:ind w:left="2040" w:right="333" w:hanging="1332"/>
        <w:jc w:val="both"/>
        <w:rPr>
          <w:rFonts w:ascii="Bookman Old Style" w:hAnsi="Bookman Old Style"/>
          <w:iCs/>
        </w:rPr>
      </w:pPr>
      <w:proofErr w:type="spellStart"/>
      <w:r w:rsidRPr="00E10F2E">
        <w:rPr>
          <w:rFonts w:ascii="Bookman Old Style" w:hAnsi="Bookman Old Style"/>
          <w:iCs/>
        </w:rPr>
        <w:t>ODEFR</w:t>
      </w:r>
      <w:r w:rsidRPr="00E10F2E">
        <w:rPr>
          <w:rFonts w:ascii="Bookman Old Style" w:hAnsi="Bookman Old Style"/>
          <w:iCs/>
          <w:vertAlign w:val="subscript"/>
        </w:rPr>
        <w:t>i</w:t>
      </w:r>
      <w:proofErr w:type="gramStart"/>
      <w:r w:rsidRPr="00E10F2E">
        <w:rPr>
          <w:rFonts w:ascii="Bookman Old Style" w:hAnsi="Bookman Old Style"/>
          <w:iCs/>
          <w:vertAlign w:val="subscript"/>
        </w:rPr>
        <w:t>,m,s</w:t>
      </w:r>
      <w:proofErr w:type="spellEnd"/>
      <w:proofErr w:type="gramEnd"/>
      <w:r w:rsidRPr="00E10F2E">
        <w:rPr>
          <w:rFonts w:ascii="Bookman Old Style" w:hAnsi="Bookman Old Style"/>
          <w:iCs/>
        </w:rPr>
        <w:t>:</w:t>
      </w:r>
      <w:r w:rsidRPr="00E10F2E">
        <w:rPr>
          <w:rFonts w:ascii="Bookman Old Style" w:hAnsi="Bookman Old Style"/>
          <w:iCs/>
        </w:rPr>
        <w:tab/>
        <w:t>Obligación Diaria de Energía Firme respaldada por la planta o unidad de generación i en el mes m, asignada en la subasta s o el mecanismo que haga sus veces.</w:t>
      </w:r>
    </w:p>
    <w:p w:rsidR="004350A9" w:rsidRPr="00E10F2E" w:rsidRDefault="004350A9" w:rsidP="009C1F40">
      <w:pPr>
        <w:ind w:left="708" w:right="333"/>
        <w:jc w:val="both"/>
        <w:rPr>
          <w:rFonts w:ascii="Bookman Old Style" w:hAnsi="Bookman Old Style"/>
          <w:iCs/>
        </w:rPr>
      </w:pPr>
    </w:p>
    <w:p w:rsidR="004350A9" w:rsidRPr="00E10F2E" w:rsidRDefault="004350A9" w:rsidP="009C1F40">
      <w:pPr>
        <w:ind w:left="2040" w:right="333" w:hanging="1332"/>
        <w:jc w:val="both"/>
        <w:rPr>
          <w:rFonts w:ascii="Bookman Old Style" w:hAnsi="Bookman Old Style"/>
          <w:iCs/>
        </w:rPr>
      </w:pPr>
      <w:proofErr w:type="gramStart"/>
      <w:r w:rsidRPr="00E10F2E">
        <w:rPr>
          <w:rFonts w:ascii="Bookman Old Style" w:hAnsi="Bookman Old Style"/>
          <w:iCs/>
        </w:rPr>
        <w:t>s</w:t>
      </w:r>
      <w:proofErr w:type="gramEnd"/>
      <w:r w:rsidRPr="00E10F2E">
        <w:rPr>
          <w:rFonts w:ascii="Bookman Old Style" w:hAnsi="Bookman Old Style"/>
          <w:iCs/>
        </w:rPr>
        <w:t xml:space="preserve">: </w:t>
      </w:r>
      <w:r w:rsidRPr="00E10F2E">
        <w:rPr>
          <w:rFonts w:ascii="Bookman Old Style" w:hAnsi="Bookman Old Style"/>
          <w:iCs/>
        </w:rPr>
        <w:tab/>
        <w:t>Subasta para la asignación de Obligaciones de Energía Firme, mecanismo que haga sus veces o Subasta de Reconfiguración.</w:t>
      </w:r>
    </w:p>
    <w:p w:rsidR="004350A9" w:rsidRPr="00E10F2E" w:rsidRDefault="004350A9" w:rsidP="009C1F40">
      <w:pPr>
        <w:ind w:left="708" w:right="333"/>
        <w:jc w:val="both"/>
        <w:rPr>
          <w:rFonts w:ascii="Bookman Old Style" w:hAnsi="Bookman Old Style"/>
          <w:iCs/>
        </w:rPr>
      </w:pPr>
    </w:p>
    <w:p w:rsidR="004350A9" w:rsidRPr="00E10F2E" w:rsidRDefault="004350A9" w:rsidP="009C1F40">
      <w:pPr>
        <w:tabs>
          <w:tab w:val="left" w:pos="851"/>
        </w:tabs>
        <w:ind w:left="708" w:right="333"/>
        <w:jc w:val="both"/>
        <w:rPr>
          <w:rFonts w:ascii="Bookman Old Style" w:hAnsi="Bookman Old Style"/>
          <w:iCs/>
        </w:rPr>
      </w:pPr>
      <w:r w:rsidRPr="00E10F2E">
        <w:rPr>
          <w:rFonts w:ascii="Bookman Old Style" w:hAnsi="Bookman Old Style"/>
          <w:iCs/>
          <w:lang w:val="es-MX"/>
        </w:rPr>
        <w:t xml:space="preserve">El </w:t>
      </w:r>
      <w:r w:rsidRPr="00E10F2E">
        <w:rPr>
          <w:rFonts w:ascii="Bookman Old Style" w:hAnsi="Bookman Old Style"/>
          <w:iCs/>
        </w:rPr>
        <w:t xml:space="preserve">valor de </w:t>
      </w:r>
      <w:proofErr w:type="spellStart"/>
      <w:r w:rsidRPr="00E10F2E">
        <w:rPr>
          <w:rFonts w:ascii="Bookman Old Style" w:hAnsi="Bookman Old Style"/>
          <w:iCs/>
        </w:rPr>
        <w:t>PCC</w:t>
      </w:r>
      <w:r w:rsidRPr="00E10F2E">
        <w:rPr>
          <w:rFonts w:ascii="Bookman Old Style" w:hAnsi="Bookman Old Style"/>
          <w:iCs/>
          <w:vertAlign w:val="subscript"/>
        </w:rPr>
        <w:t>i</w:t>
      </w:r>
      <w:proofErr w:type="gramStart"/>
      <w:r w:rsidRPr="00E10F2E">
        <w:rPr>
          <w:rFonts w:ascii="Bookman Old Style" w:hAnsi="Bookman Old Style"/>
          <w:iCs/>
          <w:vertAlign w:val="subscript"/>
        </w:rPr>
        <w:t>,m</w:t>
      </w:r>
      <w:proofErr w:type="spellEnd"/>
      <w:proofErr w:type="gramEnd"/>
      <w:r w:rsidRPr="00E10F2E">
        <w:rPr>
          <w:rFonts w:ascii="Bookman Old Style" w:hAnsi="Bookman Old Style"/>
          <w:iCs/>
        </w:rPr>
        <w:t xml:space="preserve"> se convertirá a pesos por kilovatio hora ($/</w:t>
      </w:r>
      <w:proofErr w:type="spellStart"/>
      <w:r w:rsidRPr="00E10F2E">
        <w:rPr>
          <w:rFonts w:ascii="Bookman Old Style" w:hAnsi="Bookman Old Style"/>
          <w:iCs/>
        </w:rPr>
        <w:t>kWh</w:t>
      </w:r>
      <w:proofErr w:type="spellEnd"/>
      <w:r w:rsidRPr="00E10F2E">
        <w:rPr>
          <w:rFonts w:ascii="Bookman Old Style" w:hAnsi="Bookman Old Style"/>
          <w:iCs/>
        </w:rPr>
        <w:t>), utilizando la TRM correspondiente al último día del mes liquidado, publicada por la Superintendencia Financiera.</w:t>
      </w:r>
    </w:p>
    <w:p w:rsidR="004350A9" w:rsidRPr="00E10F2E" w:rsidRDefault="004350A9" w:rsidP="009C1F40">
      <w:pPr>
        <w:tabs>
          <w:tab w:val="left" w:pos="851"/>
        </w:tabs>
        <w:ind w:left="708" w:right="333"/>
        <w:jc w:val="both"/>
        <w:rPr>
          <w:rFonts w:ascii="Bookman Old Style" w:hAnsi="Bookman Old Style"/>
          <w:iCs/>
          <w:lang w:val="es-MX"/>
        </w:rPr>
      </w:pPr>
    </w:p>
    <w:p w:rsidR="004350A9" w:rsidRPr="00E10F2E" w:rsidRDefault="004350A9" w:rsidP="009C1F40">
      <w:pPr>
        <w:ind w:left="708" w:right="333"/>
        <w:jc w:val="both"/>
        <w:rPr>
          <w:rFonts w:ascii="Bookman Old Style" w:hAnsi="Bookman Old Style"/>
          <w:iCs/>
        </w:rPr>
      </w:pPr>
      <w:r w:rsidRPr="00E10F2E">
        <w:rPr>
          <w:rFonts w:ascii="Bookman Old Style" w:hAnsi="Bookman Old Style"/>
          <w:iCs/>
        </w:rPr>
        <w:t>La Remuneración Real Total Mensual para el mes m (</w:t>
      </w:r>
      <w:proofErr w:type="spellStart"/>
      <w:r w:rsidRPr="00E10F2E">
        <w:rPr>
          <w:rFonts w:ascii="Bookman Old Style" w:hAnsi="Bookman Old Style"/>
          <w:iCs/>
        </w:rPr>
        <w:t>RRT</w:t>
      </w:r>
      <w:r w:rsidRPr="00E10F2E">
        <w:rPr>
          <w:rFonts w:ascii="Bookman Old Style" w:hAnsi="Bookman Old Style"/>
          <w:iCs/>
          <w:vertAlign w:val="subscript"/>
        </w:rPr>
        <w:t>m</w:t>
      </w:r>
      <w:proofErr w:type="spellEnd"/>
      <w:r w:rsidRPr="00E10F2E">
        <w:rPr>
          <w:rFonts w:ascii="Bookman Old Style" w:hAnsi="Bookman Old Style"/>
          <w:iCs/>
        </w:rPr>
        <w:t>) se obtendrá aplicando la siguiente fórmula:</w:t>
      </w:r>
    </w:p>
    <w:p w:rsidR="004350A9" w:rsidRPr="00E10F2E" w:rsidRDefault="004350A9" w:rsidP="004350A9">
      <w:pPr>
        <w:ind w:left="708" w:right="333"/>
        <w:rPr>
          <w:rFonts w:ascii="Bookman Old Style" w:hAnsi="Bookman Old Style"/>
          <w:iCs/>
        </w:rPr>
      </w:pPr>
    </w:p>
    <w:p w:rsidR="004350A9" w:rsidRPr="00E10F2E" w:rsidRDefault="004350A9" w:rsidP="004350A9">
      <w:pPr>
        <w:ind w:left="708" w:right="333"/>
        <w:jc w:val="center"/>
        <w:rPr>
          <w:rFonts w:ascii="Bookman Old Style" w:hAnsi="Bookman Old Style"/>
          <w:iCs/>
        </w:rPr>
      </w:pPr>
      <w:r w:rsidRPr="00120525">
        <w:rPr>
          <w:rFonts w:ascii="Bookman Old Style" w:hAnsi="Bookman Old Style"/>
          <w:iCs/>
          <w:position w:val="-28"/>
        </w:rPr>
        <w:object w:dxaOrig="2400" w:dyaOrig="680">
          <v:shape id="_x0000_i1029" type="#_x0000_t75" style="width:120pt;height:33pt" o:ole="">
            <v:imagedata r:id="rId17" o:title=""/>
          </v:shape>
          <o:OLEObject Type="Embed" ProgID="Equation.3" ShapeID="_x0000_i1029" DrawAspect="Content" ObjectID="_1379224957" r:id="rId18"/>
        </w:object>
      </w:r>
    </w:p>
    <w:p w:rsidR="004350A9" w:rsidRPr="00120525" w:rsidRDefault="004350A9" w:rsidP="004350A9">
      <w:pPr>
        <w:ind w:left="708" w:right="333"/>
        <w:rPr>
          <w:rFonts w:ascii="Bookman Old Style" w:hAnsi="Bookman Old Style"/>
          <w:iCs/>
        </w:rPr>
      </w:pPr>
    </w:p>
    <w:p w:rsidR="004350A9" w:rsidRPr="00E10F2E" w:rsidRDefault="004350A9" w:rsidP="00244782">
      <w:pPr>
        <w:ind w:left="708" w:right="333"/>
        <w:jc w:val="both"/>
        <w:rPr>
          <w:rFonts w:ascii="Bookman Old Style" w:hAnsi="Bookman Old Style"/>
          <w:iCs/>
        </w:rPr>
      </w:pPr>
      <w:proofErr w:type="spellStart"/>
      <w:proofErr w:type="gramStart"/>
      <w:r w:rsidRPr="00E10F2E">
        <w:rPr>
          <w:rFonts w:ascii="Bookman Old Style" w:hAnsi="Bookman Old Style"/>
          <w:iCs/>
        </w:rPr>
        <w:t>donde</w:t>
      </w:r>
      <w:proofErr w:type="spellEnd"/>
      <w:proofErr w:type="gramEnd"/>
      <w:r w:rsidRPr="00E10F2E">
        <w:rPr>
          <w:rFonts w:ascii="Bookman Old Style" w:hAnsi="Bookman Old Style"/>
          <w:iCs/>
        </w:rPr>
        <w:t>:</w:t>
      </w:r>
    </w:p>
    <w:p w:rsidR="004350A9" w:rsidRPr="00E10F2E" w:rsidRDefault="004350A9" w:rsidP="00244782">
      <w:pPr>
        <w:ind w:left="708" w:right="333"/>
        <w:jc w:val="both"/>
        <w:rPr>
          <w:rFonts w:ascii="Bookman Old Style" w:hAnsi="Bookman Old Style"/>
          <w:iCs/>
        </w:rPr>
      </w:pPr>
    </w:p>
    <w:p w:rsidR="004350A9" w:rsidRPr="00E10F2E" w:rsidRDefault="004350A9" w:rsidP="00244782">
      <w:pPr>
        <w:ind w:left="2160" w:right="333" w:hanging="1452"/>
        <w:jc w:val="both"/>
        <w:rPr>
          <w:rFonts w:ascii="Bookman Old Style" w:hAnsi="Bookman Old Style"/>
          <w:bCs/>
          <w:iCs/>
        </w:rPr>
      </w:pPr>
      <w:proofErr w:type="spellStart"/>
      <w:r w:rsidRPr="00E10F2E">
        <w:rPr>
          <w:rFonts w:ascii="Bookman Old Style" w:hAnsi="Bookman Old Style"/>
          <w:bCs/>
          <w:iCs/>
        </w:rPr>
        <w:t>RRID</w:t>
      </w:r>
      <w:r w:rsidRPr="00E10F2E">
        <w:rPr>
          <w:rFonts w:ascii="Bookman Old Style" w:hAnsi="Bookman Old Style"/>
          <w:bCs/>
          <w:iCs/>
          <w:vertAlign w:val="subscript"/>
        </w:rPr>
        <w:t>i</w:t>
      </w:r>
      <w:proofErr w:type="gramStart"/>
      <w:r w:rsidRPr="00E10F2E">
        <w:rPr>
          <w:rFonts w:ascii="Bookman Old Style" w:hAnsi="Bookman Old Style"/>
          <w:bCs/>
          <w:iCs/>
          <w:vertAlign w:val="subscript"/>
        </w:rPr>
        <w:t>,d,m</w:t>
      </w:r>
      <w:proofErr w:type="spellEnd"/>
      <w:proofErr w:type="gramEnd"/>
      <w:r w:rsidRPr="00E10F2E">
        <w:rPr>
          <w:rFonts w:ascii="Bookman Old Style" w:hAnsi="Bookman Old Style"/>
          <w:bCs/>
          <w:iCs/>
        </w:rPr>
        <w:t>:</w:t>
      </w:r>
      <w:r w:rsidRPr="00E10F2E">
        <w:rPr>
          <w:rFonts w:ascii="Bookman Old Style" w:hAnsi="Bookman Old Style"/>
          <w:bCs/>
          <w:iCs/>
        </w:rPr>
        <w:tab/>
        <w:t>Remuneración Real Individual Diaria de la Obligación de Energía Firme respaldada por la planta y/o unidad de generación i en el día d del mes m.</w:t>
      </w:r>
    </w:p>
    <w:p w:rsidR="004350A9" w:rsidRPr="00E10F2E" w:rsidRDefault="004350A9" w:rsidP="00244782">
      <w:pPr>
        <w:ind w:left="708" w:right="333"/>
        <w:jc w:val="both"/>
        <w:rPr>
          <w:rFonts w:ascii="Bookman Old Style" w:hAnsi="Bookman Old Style"/>
          <w:iCs/>
        </w:rPr>
      </w:pPr>
      <w:proofErr w:type="gramStart"/>
      <w:r w:rsidRPr="00E10F2E">
        <w:rPr>
          <w:rFonts w:ascii="Bookman Old Style" w:hAnsi="Bookman Old Style"/>
          <w:iCs/>
        </w:rPr>
        <w:t>n</w:t>
      </w:r>
      <w:proofErr w:type="gramEnd"/>
      <w:r w:rsidRPr="00E10F2E">
        <w:rPr>
          <w:rFonts w:ascii="Bookman Old Style" w:hAnsi="Bookman Old Style"/>
          <w:iCs/>
        </w:rPr>
        <w:t>:</w:t>
      </w:r>
      <w:r w:rsidRPr="00E10F2E">
        <w:rPr>
          <w:rFonts w:ascii="Bookman Old Style" w:hAnsi="Bookman Old Style"/>
          <w:iCs/>
        </w:rPr>
        <w:tab/>
      </w:r>
      <w:r w:rsidRPr="00E10F2E">
        <w:rPr>
          <w:rFonts w:ascii="Bookman Old Style" w:hAnsi="Bookman Old Style"/>
          <w:iCs/>
        </w:rPr>
        <w:tab/>
        <w:t>Número de días del mes m.</w:t>
      </w:r>
    </w:p>
    <w:p w:rsidR="004350A9" w:rsidRPr="00E10F2E" w:rsidRDefault="004350A9" w:rsidP="00244782">
      <w:pPr>
        <w:ind w:left="708" w:right="333"/>
        <w:jc w:val="both"/>
        <w:rPr>
          <w:rFonts w:ascii="Bookman Old Style" w:hAnsi="Bookman Old Style"/>
          <w:i/>
          <w:iCs/>
        </w:rPr>
      </w:pPr>
      <w:proofErr w:type="gramStart"/>
      <w:r w:rsidRPr="00E10F2E">
        <w:rPr>
          <w:rFonts w:ascii="Bookman Old Style" w:hAnsi="Bookman Old Style"/>
          <w:iCs/>
        </w:rPr>
        <w:t>k</w:t>
      </w:r>
      <w:proofErr w:type="gramEnd"/>
      <w:r w:rsidRPr="00E10F2E">
        <w:rPr>
          <w:rFonts w:ascii="Bookman Old Style" w:hAnsi="Bookman Old Style"/>
          <w:iCs/>
        </w:rPr>
        <w:t>:</w:t>
      </w:r>
      <w:r w:rsidRPr="00E10F2E">
        <w:rPr>
          <w:rFonts w:ascii="Bookman Old Style" w:hAnsi="Bookman Old Style"/>
          <w:iCs/>
        </w:rPr>
        <w:tab/>
      </w:r>
      <w:r w:rsidRPr="00E10F2E">
        <w:rPr>
          <w:rFonts w:ascii="Bookman Old Style" w:hAnsi="Bookman Old Style"/>
          <w:iCs/>
        </w:rPr>
        <w:tab/>
        <w:t>Número de plantas y/o unidades de generación.</w:t>
      </w:r>
    </w:p>
    <w:p w:rsidR="00510485" w:rsidRPr="00E10F2E" w:rsidRDefault="00510485" w:rsidP="00244782">
      <w:pPr>
        <w:pStyle w:val="Prrafodelista"/>
        <w:rPr>
          <w:rFonts w:ascii="Bookman Old Style" w:hAnsi="Bookman Old Style"/>
          <w:sz w:val="24"/>
          <w:szCs w:val="24"/>
        </w:rPr>
      </w:pPr>
    </w:p>
    <w:p w:rsidR="004350A9" w:rsidRPr="00E10F2E" w:rsidRDefault="004350A9" w:rsidP="00244782">
      <w:pPr>
        <w:pStyle w:val="Prrafodelista"/>
        <w:rPr>
          <w:rFonts w:ascii="Bookman Old Style" w:hAnsi="Bookman Old Style"/>
          <w:sz w:val="24"/>
          <w:szCs w:val="24"/>
        </w:rPr>
      </w:pPr>
    </w:p>
    <w:p w:rsidR="00023FE5" w:rsidRPr="00E10F2E" w:rsidRDefault="00E32FF4" w:rsidP="009C1F40">
      <w:pPr>
        <w:pStyle w:val="Prrafodelista"/>
        <w:numPr>
          <w:ilvl w:val="0"/>
          <w:numId w:val="28"/>
        </w:numPr>
        <w:jc w:val="both"/>
        <w:rPr>
          <w:rFonts w:ascii="Bookman Old Style" w:hAnsi="Bookman Old Style"/>
          <w:sz w:val="24"/>
          <w:szCs w:val="24"/>
        </w:rPr>
      </w:pPr>
      <w:r>
        <w:rPr>
          <w:rFonts w:ascii="Bookman Old Style" w:hAnsi="Bookman Old Style"/>
          <w:sz w:val="24"/>
          <w:szCs w:val="24"/>
        </w:rPr>
        <w:t>En el numeral 3.4.1 del Anexo 3 de la Resolución CREG 071 de 2006, l</w:t>
      </w:r>
      <w:r w:rsidR="009D4892" w:rsidRPr="00E10F2E">
        <w:rPr>
          <w:rFonts w:ascii="Bookman Old Style" w:hAnsi="Bookman Old Style"/>
          <w:sz w:val="24"/>
          <w:szCs w:val="24"/>
        </w:rPr>
        <w:t xml:space="preserve">a variable de Obligación Diaria de Energía Firme, </w:t>
      </w:r>
      <w:r w:rsidR="004D3E79" w:rsidRPr="00E10F2E">
        <w:rPr>
          <w:rFonts w:ascii="Bookman Old Style" w:hAnsi="Bookman Old Style"/>
          <w:sz w:val="24"/>
          <w:szCs w:val="24"/>
        </w:rPr>
        <w:t>ODEFR</w:t>
      </w:r>
      <w:r w:rsidR="009D4892" w:rsidRPr="00E10F2E">
        <w:rPr>
          <w:rFonts w:ascii="Bookman Old Style" w:hAnsi="Bookman Old Style"/>
          <w:sz w:val="24"/>
          <w:szCs w:val="24"/>
        </w:rPr>
        <w:t>,</w:t>
      </w:r>
      <w:r w:rsidR="004D3E79" w:rsidRPr="00E10F2E">
        <w:rPr>
          <w:rFonts w:ascii="Bookman Old Style" w:hAnsi="Bookman Old Style"/>
          <w:sz w:val="24"/>
          <w:szCs w:val="24"/>
        </w:rPr>
        <w:t xml:space="preserve"> utiliza</w:t>
      </w:r>
      <w:r w:rsidR="009D4892" w:rsidRPr="00E10F2E">
        <w:rPr>
          <w:rFonts w:ascii="Bookman Old Style" w:hAnsi="Bookman Old Style"/>
          <w:sz w:val="24"/>
          <w:szCs w:val="24"/>
        </w:rPr>
        <w:t>da</w:t>
      </w:r>
      <w:r w:rsidR="004D3E79" w:rsidRPr="00E10F2E">
        <w:rPr>
          <w:rFonts w:ascii="Bookman Old Style" w:hAnsi="Bookman Old Style"/>
          <w:sz w:val="24"/>
          <w:szCs w:val="24"/>
        </w:rPr>
        <w:t xml:space="preserve"> en el denominador de la ecuación de cálculo de la capacidad disponible equivalente durante la hora h, </w:t>
      </w:r>
      <w:proofErr w:type="spellStart"/>
      <w:r w:rsidR="004D3E79" w:rsidRPr="00E10F2E">
        <w:rPr>
          <w:rFonts w:ascii="Bookman Old Style" w:hAnsi="Bookman Old Style"/>
          <w:sz w:val="24"/>
          <w:szCs w:val="24"/>
        </w:rPr>
        <w:t>CDe</w:t>
      </w:r>
      <w:r w:rsidR="004D3E79" w:rsidRPr="00E10F2E">
        <w:rPr>
          <w:rFonts w:ascii="Bookman Old Style" w:hAnsi="Bookman Old Style"/>
          <w:sz w:val="24"/>
          <w:szCs w:val="24"/>
          <w:vertAlign w:val="subscript"/>
        </w:rPr>
        <w:t>h</w:t>
      </w:r>
      <w:proofErr w:type="spellEnd"/>
      <w:r w:rsidR="004D3E79" w:rsidRPr="00E10F2E">
        <w:rPr>
          <w:rFonts w:ascii="Bookman Old Style" w:hAnsi="Bookman Old Style"/>
          <w:sz w:val="24"/>
          <w:szCs w:val="24"/>
        </w:rPr>
        <w:t xml:space="preserve">, se le multiplicará por el factor k determinado en </w:t>
      </w:r>
      <w:proofErr w:type="gramStart"/>
      <w:r w:rsidR="004D3E79" w:rsidRPr="00E10F2E">
        <w:rPr>
          <w:rFonts w:ascii="Bookman Old Style" w:hAnsi="Bookman Old Style"/>
          <w:sz w:val="24"/>
          <w:szCs w:val="24"/>
        </w:rPr>
        <w:t>el numeral i.</w:t>
      </w:r>
      <w:proofErr w:type="gramEnd"/>
      <w:r w:rsidR="004D3E79" w:rsidRPr="00E10F2E">
        <w:rPr>
          <w:rFonts w:ascii="Bookman Old Style" w:hAnsi="Bookman Old Style"/>
          <w:sz w:val="24"/>
          <w:szCs w:val="24"/>
        </w:rPr>
        <w:t xml:space="preserve"> </w:t>
      </w:r>
    </w:p>
    <w:p w:rsidR="00023FE5" w:rsidRPr="004B6EDA" w:rsidRDefault="00023FE5" w:rsidP="00B31989">
      <w:pPr>
        <w:pStyle w:val="Prrafodelista"/>
        <w:rPr>
          <w:rFonts w:ascii="Bookman Old Style" w:hAnsi="Bookman Old Style"/>
        </w:rPr>
      </w:pPr>
    </w:p>
    <w:p w:rsidR="008C0D0A" w:rsidRPr="00E10F2E" w:rsidRDefault="008C0D0A" w:rsidP="008C0D0A">
      <w:pPr>
        <w:pStyle w:val="Prrafodelista"/>
        <w:rPr>
          <w:rFonts w:ascii="Bookman Old Style" w:hAnsi="Bookman Old Style"/>
          <w:sz w:val="24"/>
        </w:rPr>
      </w:pPr>
    </w:p>
    <w:p w:rsidR="00260FDF" w:rsidRPr="00E10F2E" w:rsidRDefault="00260FDF" w:rsidP="00AA175F">
      <w:pPr>
        <w:ind w:left="0"/>
        <w:jc w:val="both"/>
        <w:rPr>
          <w:rFonts w:ascii="Bookman Old Style" w:hAnsi="Bookman Old Style"/>
          <w:b/>
        </w:rPr>
      </w:pPr>
    </w:p>
    <w:p w:rsidR="00803380" w:rsidRPr="00E10F2E" w:rsidRDefault="00803380" w:rsidP="004024E5">
      <w:pPr>
        <w:widowControl w:val="0"/>
        <w:adjustRightInd w:val="0"/>
        <w:ind w:left="0"/>
        <w:jc w:val="both"/>
        <w:textAlignment w:val="baseline"/>
        <w:rPr>
          <w:rFonts w:ascii="Bookman Old Style" w:hAnsi="Bookman Old Style"/>
        </w:rPr>
      </w:pPr>
      <w:r w:rsidRPr="00E10F2E">
        <w:rPr>
          <w:rFonts w:ascii="Bookman Old Style" w:hAnsi="Bookman Old Style"/>
          <w:b/>
        </w:rPr>
        <w:t>A</w:t>
      </w:r>
      <w:r w:rsidR="00D33CDE" w:rsidRPr="00E10F2E">
        <w:rPr>
          <w:rFonts w:ascii="Bookman Old Style" w:hAnsi="Bookman Old Style"/>
          <w:b/>
        </w:rPr>
        <w:t>RTÍCULO</w:t>
      </w:r>
      <w:r w:rsidRPr="00E10F2E">
        <w:rPr>
          <w:rFonts w:ascii="Bookman Old Style" w:hAnsi="Bookman Old Style"/>
          <w:b/>
        </w:rPr>
        <w:t xml:space="preserve"> </w:t>
      </w:r>
      <w:r w:rsidR="009679C6" w:rsidRPr="00E10F2E">
        <w:rPr>
          <w:rFonts w:ascii="Bookman Old Style" w:hAnsi="Bookman Old Style"/>
          <w:b/>
        </w:rPr>
        <w:t>1</w:t>
      </w:r>
      <w:r w:rsidR="00E26972" w:rsidRPr="00E10F2E">
        <w:rPr>
          <w:rFonts w:ascii="Bookman Old Style" w:hAnsi="Bookman Old Style"/>
          <w:b/>
        </w:rPr>
        <w:t>1</w:t>
      </w:r>
      <w:r w:rsidRPr="00E10F2E">
        <w:rPr>
          <w:rFonts w:ascii="Bookman Old Style" w:hAnsi="Bookman Old Style"/>
          <w:b/>
        </w:rPr>
        <w:t>. Comercialización de excedentes</w:t>
      </w:r>
      <w:r w:rsidR="004024E5" w:rsidRPr="00E10F2E">
        <w:rPr>
          <w:rFonts w:ascii="Bookman Old Style" w:hAnsi="Bookman Old Style"/>
          <w:b/>
        </w:rPr>
        <w:t xml:space="preserve"> de gas natural importado.</w:t>
      </w:r>
      <w:r w:rsidR="004024E5" w:rsidRPr="00E10F2E">
        <w:rPr>
          <w:rFonts w:ascii="Bookman Old Style" w:hAnsi="Bookman Old Style"/>
        </w:rPr>
        <w:t xml:space="preserve"> La comercialización de gas natural importado a usuarios diferentes a los agentes generadores térmicos que </w:t>
      </w:r>
      <w:r w:rsidR="00372F1A" w:rsidRPr="00E10F2E">
        <w:rPr>
          <w:rFonts w:ascii="Bookman Old Style" w:hAnsi="Bookman Old Style"/>
        </w:rPr>
        <w:t xml:space="preserve">se acojan a </w:t>
      </w:r>
      <w:r w:rsidR="004024E5" w:rsidRPr="00E10F2E">
        <w:rPr>
          <w:rFonts w:ascii="Bookman Old Style" w:hAnsi="Bookman Old Style"/>
        </w:rPr>
        <w:t xml:space="preserve">la </w:t>
      </w:r>
      <w:r w:rsidR="00CC68AE" w:rsidRPr="00E10F2E">
        <w:rPr>
          <w:rFonts w:ascii="Bookman Old Style" w:hAnsi="Bookman Old Style"/>
        </w:rPr>
        <w:t>OPACGNI</w:t>
      </w:r>
      <w:r w:rsidR="004024E5" w:rsidRPr="00E10F2E">
        <w:rPr>
          <w:rFonts w:ascii="Bookman Old Style" w:hAnsi="Bookman Old Style"/>
        </w:rPr>
        <w:t xml:space="preserve"> se hará a través de los mecanismos </w:t>
      </w:r>
      <w:r w:rsidR="00B42FF1" w:rsidRPr="00E10F2E">
        <w:rPr>
          <w:rFonts w:ascii="Bookman Old Style" w:hAnsi="Bookman Old Style"/>
        </w:rPr>
        <w:t>regulados por la CREG para la comercialización de gas natural</w:t>
      </w:r>
      <w:r w:rsidR="002A29EB" w:rsidRPr="00E10F2E">
        <w:rPr>
          <w:rFonts w:ascii="Bookman Old Style" w:hAnsi="Bookman Old Style"/>
        </w:rPr>
        <w:t>.</w:t>
      </w:r>
    </w:p>
    <w:p w:rsidR="00803380" w:rsidRDefault="00803380" w:rsidP="00AA5E8E">
      <w:pPr>
        <w:widowControl w:val="0"/>
        <w:adjustRightInd w:val="0"/>
        <w:ind w:left="0"/>
        <w:textAlignment w:val="baseline"/>
        <w:rPr>
          <w:rFonts w:ascii="Bookman Old Style" w:hAnsi="Bookman Old Style"/>
        </w:rPr>
      </w:pPr>
    </w:p>
    <w:p w:rsidR="004B6EDA" w:rsidRDefault="004B6EDA" w:rsidP="00AA5E8E">
      <w:pPr>
        <w:widowControl w:val="0"/>
        <w:adjustRightInd w:val="0"/>
        <w:ind w:left="0"/>
        <w:textAlignment w:val="baseline"/>
        <w:rPr>
          <w:rFonts w:ascii="Bookman Old Style" w:hAnsi="Bookman Old Style"/>
        </w:rPr>
      </w:pPr>
    </w:p>
    <w:p w:rsidR="004B6EDA" w:rsidRDefault="004B6EDA" w:rsidP="00AA5E8E">
      <w:pPr>
        <w:widowControl w:val="0"/>
        <w:adjustRightInd w:val="0"/>
        <w:ind w:left="0"/>
        <w:textAlignment w:val="baseline"/>
        <w:rPr>
          <w:rFonts w:ascii="Bookman Old Style" w:hAnsi="Bookman Old Style"/>
        </w:rPr>
      </w:pPr>
    </w:p>
    <w:p w:rsidR="004B6EDA" w:rsidRPr="00E10F2E" w:rsidRDefault="004B6EDA" w:rsidP="00AA5E8E">
      <w:pPr>
        <w:widowControl w:val="0"/>
        <w:adjustRightInd w:val="0"/>
        <w:ind w:left="0"/>
        <w:textAlignment w:val="baseline"/>
        <w:rPr>
          <w:rFonts w:ascii="Bookman Old Style" w:hAnsi="Bookman Old Style"/>
        </w:rPr>
      </w:pPr>
    </w:p>
    <w:p w:rsidR="00CF18E6" w:rsidRPr="00E10F2E" w:rsidRDefault="00CF18E6" w:rsidP="00AA5E8E">
      <w:pPr>
        <w:widowControl w:val="0"/>
        <w:adjustRightInd w:val="0"/>
        <w:ind w:left="0"/>
        <w:textAlignment w:val="baseline"/>
        <w:rPr>
          <w:rFonts w:ascii="Bookman Old Style" w:hAnsi="Bookman Old Style"/>
        </w:rPr>
      </w:pPr>
    </w:p>
    <w:p w:rsidR="00CF18E6" w:rsidRPr="00E10F2E" w:rsidRDefault="00CF18E6" w:rsidP="00CF18E6">
      <w:pPr>
        <w:jc w:val="center"/>
        <w:rPr>
          <w:rFonts w:ascii="Bookman Old Style" w:hAnsi="Bookman Old Style"/>
          <w:b/>
        </w:rPr>
      </w:pPr>
      <w:r w:rsidRPr="00E10F2E">
        <w:rPr>
          <w:rFonts w:ascii="Bookman Old Style" w:hAnsi="Bookman Old Style"/>
          <w:b/>
        </w:rPr>
        <w:t>CAP</w:t>
      </w:r>
      <w:r w:rsidR="00AB51CE" w:rsidRPr="00E10F2E">
        <w:rPr>
          <w:rFonts w:ascii="Bookman Old Style" w:hAnsi="Bookman Old Style"/>
          <w:b/>
        </w:rPr>
        <w:t>Í</w:t>
      </w:r>
      <w:r w:rsidRPr="00E10F2E">
        <w:rPr>
          <w:rFonts w:ascii="Bookman Old Style" w:hAnsi="Bookman Old Style"/>
          <w:b/>
        </w:rPr>
        <w:t>TULO III</w:t>
      </w:r>
    </w:p>
    <w:p w:rsidR="00CF18E6" w:rsidRPr="00E10F2E" w:rsidRDefault="00CF18E6" w:rsidP="00CF18E6">
      <w:pPr>
        <w:jc w:val="center"/>
        <w:rPr>
          <w:rFonts w:ascii="Bookman Old Style" w:hAnsi="Bookman Old Style"/>
          <w:b/>
        </w:rPr>
      </w:pPr>
      <w:r w:rsidRPr="00E10F2E">
        <w:rPr>
          <w:rFonts w:ascii="Bookman Old Style" w:hAnsi="Bookman Old Style"/>
          <w:b/>
        </w:rPr>
        <w:t>TRASLADO DE PLANTAS</w:t>
      </w:r>
    </w:p>
    <w:p w:rsidR="00CF18E6" w:rsidRPr="00E10F2E" w:rsidRDefault="00CF18E6" w:rsidP="00AA5E8E">
      <w:pPr>
        <w:widowControl w:val="0"/>
        <w:adjustRightInd w:val="0"/>
        <w:ind w:left="0"/>
        <w:textAlignment w:val="baseline"/>
        <w:rPr>
          <w:rFonts w:ascii="Bookman Old Style" w:hAnsi="Bookman Old Style"/>
        </w:rPr>
      </w:pPr>
    </w:p>
    <w:p w:rsidR="00CF18E6" w:rsidRPr="00E10F2E" w:rsidRDefault="00CF18E6" w:rsidP="00AA5E8E">
      <w:pPr>
        <w:widowControl w:val="0"/>
        <w:adjustRightInd w:val="0"/>
        <w:ind w:left="0"/>
        <w:textAlignment w:val="baseline"/>
        <w:rPr>
          <w:rFonts w:ascii="Bookman Old Style" w:hAnsi="Bookman Old Style"/>
        </w:rPr>
      </w:pPr>
    </w:p>
    <w:p w:rsidR="00012461" w:rsidRPr="00E10F2E" w:rsidRDefault="00803380" w:rsidP="00803380">
      <w:pPr>
        <w:widowControl w:val="0"/>
        <w:adjustRightInd w:val="0"/>
        <w:ind w:left="0"/>
        <w:jc w:val="both"/>
        <w:textAlignment w:val="baseline"/>
        <w:rPr>
          <w:rFonts w:ascii="Bookman Old Style" w:hAnsi="Bookman Old Style"/>
        </w:rPr>
      </w:pPr>
      <w:r w:rsidRPr="00E10F2E">
        <w:rPr>
          <w:rFonts w:ascii="Bookman Old Style" w:hAnsi="Bookman Old Style"/>
          <w:b/>
        </w:rPr>
        <w:t>A</w:t>
      </w:r>
      <w:r w:rsidR="00D33CDE" w:rsidRPr="00E10F2E">
        <w:rPr>
          <w:rFonts w:ascii="Bookman Old Style" w:hAnsi="Bookman Old Style"/>
          <w:b/>
        </w:rPr>
        <w:t>RTÍCULO</w:t>
      </w:r>
      <w:r w:rsidRPr="00E10F2E">
        <w:rPr>
          <w:rFonts w:ascii="Bookman Old Style" w:hAnsi="Bookman Old Style"/>
          <w:b/>
        </w:rPr>
        <w:t xml:space="preserve"> </w:t>
      </w:r>
      <w:r w:rsidR="009679C6" w:rsidRPr="00E10F2E">
        <w:rPr>
          <w:rFonts w:ascii="Bookman Old Style" w:hAnsi="Bookman Old Style"/>
          <w:b/>
        </w:rPr>
        <w:t>1</w:t>
      </w:r>
      <w:r w:rsidR="00E26972" w:rsidRPr="00E10F2E">
        <w:rPr>
          <w:rFonts w:ascii="Bookman Old Style" w:hAnsi="Bookman Old Style"/>
          <w:b/>
        </w:rPr>
        <w:t>2</w:t>
      </w:r>
      <w:r w:rsidRPr="00E10F2E">
        <w:rPr>
          <w:rFonts w:ascii="Bookman Old Style" w:hAnsi="Bookman Old Style"/>
          <w:b/>
        </w:rPr>
        <w:t xml:space="preserve">. </w:t>
      </w:r>
      <w:r w:rsidR="00322A44" w:rsidRPr="00E10F2E">
        <w:rPr>
          <w:rFonts w:ascii="Bookman Old Style" w:hAnsi="Bookman Old Style"/>
          <w:b/>
        </w:rPr>
        <w:t xml:space="preserve">Opción de </w:t>
      </w:r>
      <w:r w:rsidRPr="00E10F2E">
        <w:rPr>
          <w:rFonts w:ascii="Bookman Old Style" w:hAnsi="Bookman Old Style"/>
          <w:b/>
        </w:rPr>
        <w:t>Traslado de plantas de generación térmica.</w:t>
      </w:r>
      <w:r w:rsidRPr="00E10F2E">
        <w:rPr>
          <w:rFonts w:ascii="Bookman Old Style" w:hAnsi="Bookman Old Style"/>
        </w:rPr>
        <w:t xml:space="preserve"> </w:t>
      </w:r>
      <w:r w:rsidR="00767175" w:rsidRPr="00E10F2E">
        <w:rPr>
          <w:rFonts w:ascii="Bookman Old Style" w:hAnsi="Bookman Old Style"/>
        </w:rPr>
        <w:t>Aquellos agentes que, con el fin de garantizar el abastecimiento de combustibles para participar en la asignación de Obligaciones de Energía Firme,</w:t>
      </w:r>
      <w:r w:rsidR="00904780" w:rsidRPr="00E10F2E">
        <w:rPr>
          <w:rFonts w:ascii="Bookman Old Style" w:hAnsi="Bookman Old Style"/>
        </w:rPr>
        <w:t xml:space="preserve"> requieran</w:t>
      </w:r>
      <w:r w:rsidR="00767175" w:rsidRPr="00E10F2E">
        <w:rPr>
          <w:rFonts w:ascii="Bookman Old Style" w:hAnsi="Bookman Old Style"/>
        </w:rPr>
        <w:t xml:space="preserve"> realizar el traslado de una planta</w:t>
      </w:r>
      <w:r w:rsidR="00310DE8" w:rsidRPr="00E10F2E">
        <w:rPr>
          <w:rFonts w:ascii="Bookman Old Style" w:hAnsi="Bookman Old Style"/>
        </w:rPr>
        <w:t xml:space="preserve"> de generación en operación comercial</w:t>
      </w:r>
      <w:r w:rsidR="00767175" w:rsidRPr="00E10F2E">
        <w:rPr>
          <w:rFonts w:ascii="Bookman Old Style" w:hAnsi="Bookman Old Style"/>
        </w:rPr>
        <w:t xml:space="preserve"> de la ubicación en la que se encuentre al momento de asignación de la OEF a otro sitio del Sistema Interconectado Nacional, SIN, podrán seleccionar el Período de Vigencia de la Obligación entre uno (1) y tres (3) años, contados a partir de la fecha de finalización del Período de Planeación de la asignación. </w:t>
      </w:r>
    </w:p>
    <w:p w:rsidR="00767175" w:rsidRPr="00E10F2E" w:rsidRDefault="00767175" w:rsidP="00803380">
      <w:pPr>
        <w:widowControl w:val="0"/>
        <w:adjustRightInd w:val="0"/>
        <w:ind w:left="0"/>
        <w:jc w:val="both"/>
        <w:textAlignment w:val="baseline"/>
        <w:rPr>
          <w:rFonts w:ascii="Bookman Old Style" w:hAnsi="Bookman Old Style"/>
        </w:rPr>
      </w:pPr>
    </w:p>
    <w:p w:rsidR="00E70CC4" w:rsidRPr="00E10F2E" w:rsidRDefault="00E70CC4" w:rsidP="00803380">
      <w:pPr>
        <w:widowControl w:val="0"/>
        <w:adjustRightInd w:val="0"/>
        <w:ind w:left="0"/>
        <w:jc w:val="both"/>
        <w:textAlignment w:val="baseline"/>
        <w:rPr>
          <w:rFonts w:ascii="Bookman Old Style" w:hAnsi="Bookman Old Style"/>
        </w:rPr>
      </w:pPr>
      <w:r w:rsidRPr="00E10F2E">
        <w:rPr>
          <w:rFonts w:ascii="Bookman Old Style" w:hAnsi="Bookman Old Style"/>
        </w:rPr>
        <w:t>Para acoger</w:t>
      </w:r>
      <w:r w:rsidR="005A57C3" w:rsidRPr="00E10F2E">
        <w:rPr>
          <w:rFonts w:ascii="Bookman Old Style" w:hAnsi="Bookman Old Style"/>
        </w:rPr>
        <w:t>se</w:t>
      </w:r>
      <w:r w:rsidRPr="00E10F2E">
        <w:rPr>
          <w:rFonts w:ascii="Bookman Old Style" w:hAnsi="Bookman Old Style"/>
        </w:rPr>
        <w:t xml:space="preserve"> a la opción planteada en este artículo, al agente generador deberá entregar lo</w:t>
      </w:r>
      <w:r w:rsidR="00C3289D" w:rsidRPr="00E10F2E">
        <w:rPr>
          <w:rFonts w:ascii="Bookman Old Style" w:hAnsi="Bookman Old Style"/>
        </w:rPr>
        <w:t>s</w:t>
      </w:r>
      <w:r w:rsidRPr="00E10F2E">
        <w:rPr>
          <w:rFonts w:ascii="Bookman Old Style" w:hAnsi="Bookman Old Style"/>
        </w:rPr>
        <w:t xml:space="preserve"> siguiente</w:t>
      </w:r>
      <w:r w:rsidR="00C3289D" w:rsidRPr="00E10F2E">
        <w:rPr>
          <w:rFonts w:ascii="Bookman Old Style" w:hAnsi="Bookman Old Style"/>
        </w:rPr>
        <w:t>s documentos e información</w:t>
      </w:r>
      <w:r w:rsidRPr="00E10F2E">
        <w:rPr>
          <w:rFonts w:ascii="Bookman Old Style" w:hAnsi="Bookman Old Style"/>
        </w:rPr>
        <w:t>:</w:t>
      </w:r>
    </w:p>
    <w:p w:rsidR="00E70CC4" w:rsidRPr="00E10F2E" w:rsidRDefault="00E70CC4" w:rsidP="00803380">
      <w:pPr>
        <w:widowControl w:val="0"/>
        <w:adjustRightInd w:val="0"/>
        <w:ind w:left="0"/>
        <w:jc w:val="both"/>
        <w:textAlignment w:val="baseline"/>
        <w:rPr>
          <w:rFonts w:ascii="Bookman Old Style" w:hAnsi="Bookman Old Style"/>
        </w:rPr>
      </w:pPr>
    </w:p>
    <w:p w:rsidR="00E70CC4" w:rsidRPr="00E10F2E" w:rsidRDefault="00E70CC4" w:rsidP="00263964">
      <w:pPr>
        <w:pStyle w:val="Prrafodelista"/>
        <w:widowControl w:val="0"/>
        <w:numPr>
          <w:ilvl w:val="0"/>
          <w:numId w:val="26"/>
        </w:numPr>
        <w:adjustRightInd w:val="0"/>
        <w:jc w:val="both"/>
        <w:textAlignment w:val="baseline"/>
        <w:rPr>
          <w:rFonts w:ascii="Bookman Old Style" w:hAnsi="Bookman Old Style"/>
          <w:sz w:val="24"/>
        </w:rPr>
      </w:pPr>
      <w:r w:rsidRPr="00E10F2E">
        <w:rPr>
          <w:rFonts w:ascii="Bookman Old Style" w:hAnsi="Bookman Old Style"/>
          <w:sz w:val="24"/>
        </w:rPr>
        <w:t>Comunicación suscrita por el representante de la planta en la cual manifiesta acogerse a la opción y selecciona el Período de Vigencia de la Obligación.</w:t>
      </w:r>
    </w:p>
    <w:p w:rsidR="00D33CDE" w:rsidRPr="00E10F2E" w:rsidRDefault="00D33CDE" w:rsidP="00E70CC4">
      <w:pPr>
        <w:widowControl w:val="0"/>
        <w:adjustRightInd w:val="0"/>
        <w:ind w:left="0"/>
        <w:jc w:val="both"/>
        <w:textAlignment w:val="baseline"/>
        <w:rPr>
          <w:rFonts w:ascii="Bookman Old Style" w:hAnsi="Bookman Old Style"/>
        </w:rPr>
      </w:pPr>
    </w:p>
    <w:p w:rsidR="00B30842" w:rsidRPr="00E10F2E" w:rsidRDefault="00E70CC4" w:rsidP="00263964">
      <w:pPr>
        <w:pStyle w:val="Prrafodelista"/>
        <w:widowControl w:val="0"/>
        <w:numPr>
          <w:ilvl w:val="0"/>
          <w:numId w:val="26"/>
        </w:numPr>
        <w:adjustRightInd w:val="0"/>
        <w:jc w:val="both"/>
        <w:textAlignment w:val="baseline"/>
        <w:rPr>
          <w:rFonts w:ascii="Bookman Old Style" w:hAnsi="Bookman Old Style"/>
          <w:sz w:val="24"/>
        </w:rPr>
      </w:pPr>
      <w:r w:rsidRPr="00E10F2E">
        <w:rPr>
          <w:rFonts w:ascii="Bookman Old Style" w:hAnsi="Bookman Old Style"/>
          <w:sz w:val="24"/>
        </w:rPr>
        <w:t xml:space="preserve">Garantía </w:t>
      </w:r>
      <w:r w:rsidR="00D71439" w:rsidRPr="00E10F2E">
        <w:rPr>
          <w:rFonts w:ascii="Bookman Old Style" w:hAnsi="Bookman Old Style"/>
          <w:sz w:val="24"/>
        </w:rPr>
        <w:t xml:space="preserve">de construcción </w:t>
      </w:r>
      <w:r w:rsidRPr="00E10F2E">
        <w:rPr>
          <w:rFonts w:ascii="Bookman Old Style" w:hAnsi="Bookman Old Style"/>
          <w:sz w:val="24"/>
        </w:rPr>
        <w:t>para amparar el traslado de la planta, tal como se define la garantía prevista en el Capítulo 4 del Reglamento de Garantías para el Cargo por Confiabilidad contenido en la Resolución CREG</w:t>
      </w:r>
      <w:r w:rsidR="002E5FB4" w:rsidRPr="00E10F2E">
        <w:rPr>
          <w:rFonts w:ascii="Bookman Old Style" w:hAnsi="Bookman Old Style"/>
          <w:sz w:val="24"/>
        </w:rPr>
        <w:t xml:space="preserve"> </w:t>
      </w:r>
      <w:r w:rsidRPr="00E10F2E">
        <w:rPr>
          <w:rFonts w:ascii="Bookman Old Style" w:hAnsi="Bookman Old Style"/>
          <w:sz w:val="24"/>
        </w:rPr>
        <w:t xml:space="preserve">061 de 2007. El </w:t>
      </w:r>
      <w:r w:rsidR="00B30842" w:rsidRPr="00E10F2E">
        <w:rPr>
          <w:rFonts w:ascii="Bookman Old Style" w:hAnsi="Bookman Old Style"/>
          <w:sz w:val="24"/>
        </w:rPr>
        <w:t>cumplimiento del traslado se dará a partir de la fecha en que la planta se encuentre localizada en su nueva ubicación y que una firma auditora</w:t>
      </w:r>
      <w:r w:rsidR="005F17C2" w:rsidRPr="00E10F2E">
        <w:rPr>
          <w:rFonts w:ascii="Bookman Old Style" w:hAnsi="Bookman Old Style"/>
          <w:sz w:val="24"/>
        </w:rPr>
        <w:t xml:space="preserve"> de la lista definida por el CNO eléctrico para la auditoría de construcción de las plantas de generación</w:t>
      </w:r>
      <w:r w:rsidR="00B30842" w:rsidRPr="00E10F2E">
        <w:rPr>
          <w:rFonts w:ascii="Bookman Old Style" w:hAnsi="Bookman Old Style"/>
          <w:sz w:val="24"/>
        </w:rPr>
        <w:t xml:space="preserve">, contratada por el generador, </w:t>
      </w:r>
      <w:r w:rsidR="00866A25" w:rsidRPr="00E10F2E">
        <w:rPr>
          <w:rFonts w:ascii="Bookman Old Style" w:hAnsi="Bookman Old Style"/>
          <w:sz w:val="24"/>
        </w:rPr>
        <w:t>haga la auditoria de los parámetros declarados para el Cargo por Confiabilidad y cumpla lo definido en la Resolución CREG</w:t>
      </w:r>
      <w:r w:rsidR="002E5FB4" w:rsidRPr="00E10F2E">
        <w:rPr>
          <w:rFonts w:ascii="Bookman Old Style" w:hAnsi="Bookman Old Style"/>
          <w:sz w:val="24"/>
        </w:rPr>
        <w:t xml:space="preserve"> </w:t>
      </w:r>
      <w:r w:rsidR="00866A25" w:rsidRPr="00E10F2E">
        <w:rPr>
          <w:rFonts w:ascii="Bookman Old Style" w:hAnsi="Bookman Old Style"/>
          <w:sz w:val="24"/>
        </w:rPr>
        <w:t>071 de 2006.</w:t>
      </w:r>
    </w:p>
    <w:p w:rsidR="00E70CC4" w:rsidRPr="00E10F2E" w:rsidRDefault="00E70CC4" w:rsidP="00E70CC4">
      <w:pPr>
        <w:pStyle w:val="Prrafodelista"/>
        <w:rPr>
          <w:rFonts w:ascii="Bookman Old Style" w:hAnsi="Bookman Old Style"/>
          <w:sz w:val="24"/>
        </w:rPr>
      </w:pPr>
    </w:p>
    <w:p w:rsidR="00E70CC4" w:rsidRPr="00E10F2E" w:rsidRDefault="00E70CC4" w:rsidP="00263964">
      <w:pPr>
        <w:pStyle w:val="Prrafodelista"/>
        <w:widowControl w:val="0"/>
        <w:numPr>
          <w:ilvl w:val="0"/>
          <w:numId w:val="26"/>
        </w:numPr>
        <w:adjustRightInd w:val="0"/>
        <w:jc w:val="both"/>
        <w:textAlignment w:val="baseline"/>
        <w:rPr>
          <w:rFonts w:ascii="Bookman Old Style" w:hAnsi="Bookman Old Style"/>
          <w:sz w:val="24"/>
        </w:rPr>
      </w:pPr>
      <w:r w:rsidRPr="00E10F2E">
        <w:rPr>
          <w:rFonts w:ascii="Bookman Old Style" w:hAnsi="Bookman Old Style"/>
          <w:sz w:val="24"/>
        </w:rPr>
        <w:t>Cronograma de traslado</w:t>
      </w:r>
      <w:r w:rsidR="009632B0" w:rsidRPr="00E10F2E">
        <w:rPr>
          <w:rFonts w:ascii="Bookman Old Style" w:hAnsi="Bookman Old Style"/>
          <w:sz w:val="24"/>
        </w:rPr>
        <w:t>, cuya duración no podrá ser superior a un período de cargo, es decir de diciembre de año t a noviembre del año t+1.</w:t>
      </w:r>
    </w:p>
    <w:p w:rsidR="00E70CC4" w:rsidRPr="00E10F2E" w:rsidRDefault="00E70CC4" w:rsidP="00E70CC4">
      <w:pPr>
        <w:pStyle w:val="Prrafodelista"/>
        <w:rPr>
          <w:rFonts w:ascii="Bookman Old Style" w:hAnsi="Bookman Old Style"/>
          <w:sz w:val="24"/>
        </w:rPr>
      </w:pPr>
    </w:p>
    <w:p w:rsidR="00E70CC4" w:rsidRPr="00E10F2E" w:rsidRDefault="00E70CC4" w:rsidP="00263964">
      <w:pPr>
        <w:pStyle w:val="Prrafodelista"/>
        <w:widowControl w:val="0"/>
        <w:numPr>
          <w:ilvl w:val="0"/>
          <w:numId w:val="26"/>
        </w:numPr>
        <w:adjustRightInd w:val="0"/>
        <w:jc w:val="both"/>
        <w:textAlignment w:val="baseline"/>
        <w:rPr>
          <w:rFonts w:ascii="Bookman Old Style" w:hAnsi="Bookman Old Style"/>
          <w:sz w:val="24"/>
        </w:rPr>
      </w:pPr>
      <w:r w:rsidRPr="00E10F2E">
        <w:rPr>
          <w:rFonts w:ascii="Bookman Old Style" w:hAnsi="Bookman Old Style"/>
          <w:sz w:val="24"/>
        </w:rPr>
        <w:t>Curva S.</w:t>
      </w:r>
    </w:p>
    <w:p w:rsidR="00E70CC4" w:rsidRPr="00E10F2E" w:rsidRDefault="00E70CC4" w:rsidP="00E70CC4">
      <w:pPr>
        <w:pStyle w:val="Prrafodelista"/>
        <w:rPr>
          <w:rFonts w:ascii="Bookman Old Style" w:hAnsi="Bookman Old Style"/>
          <w:sz w:val="24"/>
        </w:rPr>
      </w:pPr>
    </w:p>
    <w:p w:rsidR="00DE2841" w:rsidRPr="00E10F2E" w:rsidRDefault="00DE2841" w:rsidP="00E70CC4">
      <w:pPr>
        <w:widowControl w:val="0"/>
        <w:adjustRightInd w:val="0"/>
        <w:ind w:left="0"/>
        <w:jc w:val="both"/>
        <w:textAlignment w:val="baseline"/>
        <w:rPr>
          <w:rFonts w:ascii="Bookman Old Style" w:hAnsi="Bookman Old Style"/>
        </w:rPr>
      </w:pPr>
      <w:r w:rsidRPr="00E10F2E">
        <w:rPr>
          <w:rFonts w:ascii="Bookman Old Style" w:hAnsi="Bookman Old Style"/>
        </w:rPr>
        <w:t>Adicionalmente, cuando el traslado se haga durante un Período de Vigencia de la Obligación, la planta deberá cubrir sus OEF con contratos en el Mercado Secundario o cualquier otro Anillo de Seguridad</w:t>
      </w:r>
      <w:r w:rsidR="00D40549" w:rsidRPr="00E10F2E">
        <w:rPr>
          <w:rFonts w:ascii="Bookman Old Style" w:hAnsi="Bookman Old Style"/>
        </w:rPr>
        <w:t>. En este caso</w:t>
      </w:r>
      <w:r w:rsidRPr="00E10F2E">
        <w:rPr>
          <w:rFonts w:ascii="Bookman Old Style" w:hAnsi="Bookman Old Style"/>
        </w:rPr>
        <w:t xml:space="preserve"> la variable </w:t>
      </w:r>
      <w:proofErr w:type="spellStart"/>
      <w:r w:rsidRPr="00E10F2E">
        <w:rPr>
          <w:rFonts w:ascii="Bookman Old Style" w:hAnsi="Bookman Old Style"/>
        </w:rPr>
        <w:t>Cmtt</w:t>
      </w:r>
      <w:r w:rsidRPr="00E10F2E">
        <w:rPr>
          <w:rFonts w:ascii="Bookman Old Style" w:hAnsi="Bookman Old Style"/>
          <w:vertAlign w:val="subscript"/>
        </w:rPr>
        <w:t>P</w:t>
      </w:r>
      <w:proofErr w:type="spellEnd"/>
      <w:r w:rsidRPr="00E10F2E">
        <w:rPr>
          <w:rFonts w:ascii="Bookman Old Style" w:hAnsi="Bookman Old Style"/>
        </w:rPr>
        <w:t xml:space="preserve">, de que trata el artículo </w:t>
      </w:r>
      <w:r w:rsidR="00D85B01" w:rsidRPr="00E10F2E">
        <w:rPr>
          <w:rFonts w:ascii="Bookman Old Style" w:hAnsi="Bookman Old Style"/>
        </w:rPr>
        <w:t>7</w:t>
      </w:r>
      <w:r w:rsidRPr="00E10F2E">
        <w:rPr>
          <w:rFonts w:ascii="Bookman Old Style" w:hAnsi="Bookman Old Style"/>
        </w:rPr>
        <w:t xml:space="preserve"> de la Resolución CREG</w:t>
      </w:r>
      <w:r w:rsidR="002E5FB4" w:rsidRPr="00E10F2E">
        <w:rPr>
          <w:rFonts w:ascii="Bookman Old Style" w:hAnsi="Bookman Old Style"/>
        </w:rPr>
        <w:t xml:space="preserve"> </w:t>
      </w:r>
      <w:r w:rsidRPr="00E10F2E">
        <w:rPr>
          <w:rFonts w:ascii="Bookman Old Style" w:hAnsi="Bookman Old Style"/>
        </w:rPr>
        <w:t xml:space="preserve">148 de 2010, podrá ser igual al máximo </w:t>
      </w:r>
      <w:r w:rsidR="00163CFC" w:rsidRPr="00E10F2E">
        <w:rPr>
          <w:rFonts w:ascii="Bookman Old Style" w:hAnsi="Bookman Old Style"/>
        </w:rPr>
        <w:t xml:space="preserve">valor entre los contratos registrados para cubrir las OEF y el cálculo definido para </w:t>
      </w:r>
      <w:r w:rsidR="002F08B9" w:rsidRPr="00E10F2E">
        <w:rPr>
          <w:rFonts w:ascii="Bookman Old Style" w:hAnsi="Bookman Old Style"/>
        </w:rPr>
        <w:t>e</w:t>
      </w:r>
      <w:r w:rsidR="00163CFC" w:rsidRPr="00E10F2E">
        <w:rPr>
          <w:rFonts w:ascii="Bookman Old Style" w:hAnsi="Bookman Old Style"/>
        </w:rPr>
        <w:t>sta variable en el citado artículo.</w:t>
      </w:r>
    </w:p>
    <w:p w:rsidR="00DE2841" w:rsidRPr="00E10F2E" w:rsidRDefault="00DE2841" w:rsidP="00E70CC4">
      <w:pPr>
        <w:widowControl w:val="0"/>
        <w:adjustRightInd w:val="0"/>
        <w:ind w:left="0"/>
        <w:jc w:val="both"/>
        <w:textAlignment w:val="baseline"/>
        <w:rPr>
          <w:rFonts w:ascii="Bookman Old Style" w:hAnsi="Bookman Old Style"/>
        </w:rPr>
      </w:pPr>
    </w:p>
    <w:p w:rsidR="00E70CC4" w:rsidRPr="00E10F2E" w:rsidRDefault="00E70CC4" w:rsidP="00BB554A">
      <w:pPr>
        <w:widowControl w:val="0"/>
        <w:tabs>
          <w:tab w:val="left" w:pos="4395"/>
        </w:tabs>
        <w:adjustRightInd w:val="0"/>
        <w:ind w:left="0"/>
        <w:jc w:val="both"/>
        <w:textAlignment w:val="baseline"/>
        <w:rPr>
          <w:rFonts w:ascii="Bookman Old Style" w:hAnsi="Bookman Old Style"/>
        </w:rPr>
      </w:pPr>
      <w:r w:rsidRPr="00E10F2E">
        <w:rPr>
          <w:rFonts w:ascii="Bookman Old Style" w:hAnsi="Bookman Old Style"/>
        </w:rPr>
        <w:t xml:space="preserve">Los </w:t>
      </w:r>
      <w:r w:rsidR="00DE7E7A" w:rsidRPr="00E10F2E">
        <w:rPr>
          <w:rFonts w:ascii="Bookman Old Style" w:hAnsi="Bookman Old Style"/>
        </w:rPr>
        <w:t xml:space="preserve">anteriores </w:t>
      </w:r>
      <w:r w:rsidRPr="00E10F2E">
        <w:rPr>
          <w:rFonts w:ascii="Bookman Old Style" w:hAnsi="Bookman Old Style"/>
        </w:rPr>
        <w:t xml:space="preserve">documentos </w:t>
      </w:r>
      <w:r w:rsidR="00DE7E7A" w:rsidRPr="00E10F2E">
        <w:rPr>
          <w:rFonts w:ascii="Bookman Old Style" w:hAnsi="Bookman Old Style"/>
        </w:rPr>
        <w:t xml:space="preserve">e información </w:t>
      </w:r>
      <w:r w:rsidRPr="00E10F2E">
        <w:rPr>
          <w:rFonts w:ascii="Bookman Old Style" w:hAnsi="Bookman Old Style"/>
        </w:rPr>
        <w:t>se debe</w:t>
      </w:r>
      <w:r w:rsidR="00DE7E7A" w:rsidRPr="00E10F2E">
        <w:rPr>
          <w:rFonts w:ascii="Bookman Old Style" w:hAnsi="Bookman Old Style"/>
        </w:rPr>
        <w:t>rán</w:t>
      </w:r>
      <w:r w:rsidRPr="00E10F2E">
        <w:rPr>
          <w:rFonts w:ascii="Bookman Old Style" w:hAnsi="Bookman Old Style"/>
        </w:rPr>
        <w:t xml:space="preserve"> entregar </w:t>
      </w:r>
      <w:r w:rsidR="009632B0" w:rsidRPr="00E10F2E">
        <w:rPr>
          <w:rFonts w:ascii="Bookman Old Style" w:hAnsi="Bookman Old Style"/>
        </w:rPr>
        <w:t>en la fecha establecida para entrega de los contratos de acuerdo con el cronograma que para tal efecto defin</w:t>
      </w:r>
      <w:r w:rsidR="00140673" w:rsidRPr="00E10F2E">
        <w:rPr>
          <w:rFonts w:ascii="Bookman Old Style" w:hAnsi="Bookman Old Style"/>
        </w:rPr>
        <w:t>a</w:t>
      </w:r>
      <w:r w:rsidR="009632B0" w:rsidRPr="00E10F2E">
        <w:rPr>
          <w:rFonts w:ascii="Bookman Old Style" w:hAnsi="Bookman Old Style"/>
        </w:rPr>
        <w:t xml:space="preserve"> la CREG en cumplimiento del </w:t>
      </w:r>
      <w:r w:rsidR="001B12D1" w:rsidRPr="00E10F2E">
        <w:rPr>
          <w:rFonts w:ascii="Bookman Old Style" w:hAnsi="Bookman Old Style"/>
        </w:rPr>
        <w:t xml:space="preserve">artículo </w:t>
      </w:r>
      <w:r w:rsidR="002E5FB4" w:rsidRPr="00E10F2E">
        <w:rPr>
          <w:rFonts w:ascii="Bookman Old Style" w:hAnsi="Bookman Old Style"/>
        </w:rPr>
        <w:t xml:space="preserve">18 de la Resolución CREG </w:t>
      </w:r>
      <w:r w:rsidR="009632B0" w:rsidRPr="00E10F2E">
        <w:rPr>
          <w:rFonts w:ascii="Bookman Old Style" w:hAnsi="Bookman Old Style"/>
        </w:rPr>
        <w:t>071 de 2006 o aquellas que la modifiquen, adicionen o sustituyan.</w:t>
      </w:r>
    </w:p>
    <w:p w:rsidR="00E70CC4" w:rsidRDefault="00E70CC4" w:rsidP="00803380">
      <w:pPr>
        <w:widowControl w:val="0"/>
        <w:adjustRightInd w:val="0"/>
        <w:ind w:left="0"/>
        <w:jc w:val="both"/>
        <w:textAlignment w:val="baseline"/>
        <w:rPr>
          <w:rFonts w:ascii="Bookman Old Style" w:hAnsi="Bookman Old Style"/>
          <w:highlight w:val="yellow"/>
        </w:rPr>
      </w:pPr>
    </w:p>
    <w:p w:rsidR="004B6EDA" w:rsidRPr="00E10F2E" w:rsidRDefault="004B6EDA" w:rsidP="00803380">
      <w:pPr>
        <w:widowControl w:val="0"/>
        <w:adjustRightInd w:val="0"/>
        <w:ind w:left="0"/>
        <w:jc w:val="both"/>
        <w:textAlignment w:val="baseline"/>
        <w:rPr>
          <w:rFonts w:ascii="Bookman Old Style" w:hAnsi="Bookman Old Style"/>
          <w:highlight w:val="yellow"/>
        </w:rPr>
      </w:pPr>
    </w:p>
    <w:p w:rsidR="004B6EDA" w:rsidRDefault="004B6EDA" w:rsidP="00803380">
      <w:pPr>
        <w:widowControl w:val="0"/>
        <w:adjustRightInd w:val="0"/>
        <w:ind w:left="0"/>
        <w:jc w:val="both"/>
        <w:textAlignment w:val="baseline"/>
        <w:rPr>
          <w:rFonts w:ascii="Bookman Old Style" w:hAnsi="Bookman Old Style"/>
        </w:rPr>
      </w:pPr>
    </w:p>
    <w:p w:rsidR="009632B0" w:rsidRPr="00E10F2E" w:rsidRDefault="007D2D3B" w:rsidP="00803380">
      <w:pPr>
        <w:widowControl w:val="0"/>
        <w:adjustRightInd w:val="0"/>
        <w:ind w:left="0"/>
        <w:jc w:val="both"/>
        <w:textAlignment w:val="baseline"/>
        <w:rPr>
          <w:rFonts w:ascii="Bookman Old Style" w:hAnsi="Bookman Old Style"/>
        </w:rPr>
      </w:pPr>
      <w:r w:rsidRPr="00E10F2E">
        <w:rPr>
          <w:rFonts w:ascii="Bookman Old Style" w:hAnsi="Bookman Old Style"/>
        </w:rPr>
        <w:t xml:space="preserve">La omisión en la entrega oportuna de </w:t>
      </w:r>
      <w:r w:rsidR="00771134" w:rsidRPr="00E10F2E">
        <w:rPr>
          <w:rFonts w:ascii="Bookman Old Style" w:hAnsi="Bookman Old Style"/>
        </w:rPr>
        <w:t xml:space="preserve">anteriores </w:t>
      </w:r>
      <w:r w:rsidR="009632B0" w:rsidRPr="00E10F2E">
        <w:rPr>
          <w:rFonts w:ascii="Bookman Old Style" w:hAnsi="Bookman Old Style"/>
        </w:rPr>
        <w:t xml:space="preserve">los documentos </w:t>
      </w:r>
      <w:r w:rsidR="00771134" w:rsidRPr="00E10F2E">
        <w:rPr>
          <w:rFonts w:ascii="Bookman Old Style" w:hAnsi="Bookman Old Style"/>
        </w:rPr>
        <w:t>e información</w:t>
      </w:r>
      <w:r w:rsidR="009632B0" w:rsidRPr="00E10F2E">
        <w:rPr>
          <w:rFonts w:ascii="Bookman Old Style" w:hAnsi="Bookman Old Style"/>
        </w:rPr>
        <w:t xml:space="preserve">, </w:t>
      </w:r>
      <w:r w:rsidR="004371F9" w:rsidRPr="00E10F2E">
        <w:rPr>
          <w:rFonts w:ascii="Bookman Old Style" w:hAnsi="Bookman Old Style"/>
        </w:rPr>
        <w:t xml:space="preserve">impedirá la participación en </w:t>
      </w:r>
      <w:r w:rsidR="009632B0" w:rsidRPr="00E10F2E">
        <w:rPr>
          <w:rFonts w:ascii="Bookman Old Style" w:hAnsi="Bookman Old Style"/>
        </w:rPr>
        <w:t>la asignación de la Obligación de Energía Firme.</w:t>
      </w:r>
    </w:p>
    <w:p w:rsidR="009632B0" w:rsidRPr="00E10F2E" w:rsidRDefault="009632B0" w:rsidP="00803380">
      <w:pPr>
        <w:widowControl w:val="0"/>
        <w:adjustRightInd w:val="0"/>
        <w:ind w:left="0"/>
        <w:jc w:val="both"/>
        <w:textAlignment w:val="baseline"/>
        <w:rPr>
          <w:rFonts w:ascii="Bookman Old Style" w:hAnsi="Bookman Old Style"/>
          <w:highlight w:val="yellow"/>
        </w:rPr>
      </w:pPr>
    </w:p>
    <w:p w:rsidR="00803380" w:rsidRPr="00E10F2E" w:rsidRDefault="00803380" w:rsidP="00803380">
      <w:pPr>
        <w:ind w:left="0"/>
        <w:jc w:val="both"/>
        <w:rPr>
          <w:rFonts w:ascii="Bookman Old Style" w:hAnsi="Bookman Old Style"/>
        </w:rPr>
      </w:pPr>
      <w:r w:rsidRPr="00E10F2E">
        <w:rPr>
          <w:rFonts w:ascii="Bookman Old Style" w:hAnsi="Bookman Old Style"/>
          <w:b/>
        </w:rPr>
        <w:t>A</w:t>
      </w:r>
      <w:r w:rsidR="00D33CDE" w:rsidRPr="00E10F2E">
        <w:rPr>
          <w:rFonts w:ascii="Bookman Old Style" w:hAnsi="Bookman Old Style"/>
          <w:b/>
        </w:rPr>
        <w:t>RTÍCULO</w:t>
      </w:r>
      <w:r w:rsidRPr="00E10F2E">
        <w:rPr>
          <w:rFonts w:ascii="Bookman Old Style" w:hAnsi="Bookman Old Style"/>
          <w:b/>
        </w:rPr>
        <w:t xml:space="preserve"> </w:t>
      </w:r>
      <w:r w:rsidR="009679C6" w:rsidRPr="00E10F2E">
        <w:rPr>
          <w:rFonts w:ascii="Bookman Old Style" w:hAnsi="Bookman Old Style"/>
          <w:b/>
        </w:rPr>
        <w:t>1</w:t>
      </w:r>
      <w:r w:rsidR="00E26972" w:rsidRPr="00E10F2E">
        <w:rPr>
          <w:rFonts w:ascii="Bookman Old Style" w:hAnsi="Bookman Old Style"/>
          <w:b/>
        </w:rPr>
        <w:t>3</w:t>
      </w:r>
      <w:r w:rsidRPr="00E10F2E">
        <w:rPr>
          <w:rFonts w:ascii="Bookman Old Style" w:hAnsi="Bookman Old Style"/>
          <w:b/>
        </w:rPr>
        <w:t>. Vigencia.</w:t>
      </w:r>
      <w:r w:rsidRPr="00E10F2E">
        <w:rPr>
          <w:rFonts w:ascii="Bookman Old Style" w:hAnsi="Bookman Old Style"/>
        </w:rPr>
        <w:t xml:space="preserve"> Esta resolución rige a partir de su publicación en el </w:t>
      </w:r>
      <w:r w:rsidRPr="00E10F2E">
        <w:rPr>
          <w:rFonts w:ascii="Bookman Old Style" w:hAnsi="Bookman Old Style"/>
          <w:i/>
        </w:rPr>
        <w:t>Diario Oficial</w:t>
      </w:r>
      <w:r w:rsidRPr="00E10F2E">
        <w:rPr>
          <w:rFonts w:ascii="Bookman Old Style" w:hAnsi="Bookman Old Style"/>
        </w:rPr>
        <w:t xml:space="preserve"> y deroga las normas que le sean contrarias.</w:t>
      </w:r>
    </w:p>
    <w:p w:rsidR="00803380" w:rsidRPr="00E10F2E" w:rsidRDefault="00803380" w:rsidP="00AA5E8E">
      <w:pPr>
        <w:widowControl w:val="0"/>
        <w:adjustRightInd w:val="0"/>
        <w:ind w:left="0"/>
        <w:textAlignment w:val="baseline"/>
        <w:rPr>
          <w:rFonts w:ascii="Bookman Old Style" w:hAnsi="Bookman Old Style"/>
        </w:rPr>
      </w:pPr>
    </w:p>
    <w:p w:rsidR="00803380" w:rsidRPr="00E10F2E" w:rsidRDefault="00803380" w:rsidP="00AA5E8E">
      <w:pPr>
        <w:widowControl w:val="0"/>
        <w:adjustRightInd w:val="0"/>
        <w:ind w:left="0"/>
        <w:textAlignment w:val="baseline"/>
        <w:rPr>
          <w:rFonts w:ascii="Bookman Old Style" w:hAnsi="Bookman Old Style"/>
        </w:rPr>
      </w:pPr>
    </w:p>
    <w:p w:rsidR="00C435C3" w:rsidRPr="00E10F2E" w:rsidRDefault="00C435C3" w:rsidP="00C435C3">
      <w:pPr>
        <w:jc w:val="center"/>
        <w:rPr>
          <w:rFonts w:ascii="Bookman Old Style" w:hAnsi="Bookman Old Style"/>
          <w:b/>
        </w:rPr>
      </w:pPr>
      <w:r w:rsidRPr="00E10F2E">
        <w:rPr>
          <w:rFonts w:ascii="Bookman Old Style" w:hAnsi="Bookman Old Style"/>
          <w:b/>
        </w:rPr>
        <w:t>PU</w:t>
      </w:r>
      <w:r w:rsidR="006433A4" w:rsidRPr="00E10F2E">
        <w:rPr>
          <w:rFonts w:ascii="Bookman Old Style" w:hAnsi="Bookman Old Style"/>
          <w:b/>
        </w:rPr>
        <w:t>B</w:t>
      </w:r>
      <w:r w:rsidRPr="00E10F2E">
        <w:rPr>
          <w:rFonts w:ascii="Bookman Old Style" w:hAnsi="Bookman Old Style"/>
          <w:b/>
        </w:rPr>
        <w:t>LÍQUESE Y CÚMPLASE</w:t>
      </w:r>
    </w:p>
    <w:p w:rsidR="00C435C3" w:rsidRPr="00E10F2E" w:rsidRDefault="00C435C3" w:rsidP="00C435C3">
      <w:pPr>
        <w:rPr>
          <w:rFonts w:ascii="Bookman Old Style" w:hAnsi="Bookman Old Style"/>
        </w:rPr>
      </w:pPr>
    </w:p>
    <w:p w:rsidR="00C435C3" w:rsidRPr="00E10F2E" w:rsidRDefault="00C435C3" w:rsidP="00C435C3">
      <w:pPr>
        <w:rPr>
          <w:rFonts w:ascii="Bookman Old Style" w:hAnsi="Bookman Old Style"/>
        </w:rPr>
      </w:pPr>
    </w:p>
    <w:p w:rsidR="00C435C3" w:rsidRPr="00E10F2E" w:rsidRDefault="00C435C3" w:rsidP="00C435C3">
      <w:pPr>
        <w:ind w:left="0"/>
        <w:rPr>
          <w:rFonts w:ascii="Bookman Old Style" w:hAnsi="Bookman Old Style"/>
        </w:rPr>
      </w:pPr>
      <w:r w:rsidRPr="00E10F2E">
        <w:rPr>
          <w:rFonts w:ascii="Bookman Old Style" w:hAnsi="Bookman Old Style"/>
        </w:rPr>
        <w:t>Dada en Bogotá. D. C., a los</w:t>
      </w:r>
    </w:p>
    <w:p w:rsidR="00C435C3" w:rsidRPr="00E10F2E" w:rsidRDefault="00C435C3" w:rsidP="00C435C3">
      <w:pPr>
        <w:ind w:left="0"/>
        <w:rPr>
          <w:rFonts w:ascii="Bookman Old Style" w:hAnsi="Bookman Old Style"/>
        </w:rPr>
      </w:pPr>
    </w:p>
    <w:p w:rsidR="00C435C3" w:rsidRPr="00E10F2E" w:rsidRDefault="00C435C3" w:rsidP="00C435C3">
      <w:pPr>
        <w:ind w:left="0"/>
        <w:rPr>
          <w:rFonts w:ascii="Bookman Old Style" w:hAnsi="Bookman Old Style"/>
        </w:rPr>
      </w:pPr>
    </w:p>
    <w:p w:rsidR="006F7AAC" w:rsidRPr="00E10F2E" w:rsidRDefault="006F7AAC" w:rsidP="00C435C3">
      <w:pPr>
        <w:ind w:left="0"/>
        <w:rPr>
          <w:rFonts w:ascii="Bookman Old Style" w:hAnsi="Bookman Old Style"/>
        </w:rPr>
      </w:pPr>
    </w:p>
    <w:p w:rsidR="006F7AAC" w:rsidRPr="00E10F2E" w:rsidRDefault="006F7AAC" w:rsidP="00C435C3">
      <w:pPr>
        <w:ind w:left="0"/>
        <w:rPr>
          <w:rFonts w:ascii="Bookman Old Style" w:hAnsi="Bookman Old Style"/>
        </w:rPr>
      </w:pPr>
    </w:p>
    <w:p w:rsidR="00C435C3" w:rsidRPr="00E10F2E" w:rsidRDefault="00C435C3" w:rsidP="00C435C3">
      <w:pPr>
        <w:ind w:left="0"/>
        <w:rPr>
          <w:rFonts w:ascii="Bookman Old Style" w:hAnsi="Bookman Old Style"/>
        </w:rPr>
      </w:pPr>
    </w:p>
    <w:tbl>
      <w:tblPr>
        <w:tblW w:w="9761" w:type="dxa"/>
        <w:jc w:val="right"/>
        <w:tblLayout w:type="fixed"/>
        <w:tblCellMar>
          <w:left w:w="70" w:type="dxa"/>
          <w:right w:w="70" w:type="dxa"/>
        </w:tblCellMar>
        <w:tblLook w:val="0000" w:firstRow="0" w:lastRow="0" w:firstColumn="0" w:lastColumn="0" w:noHBand="0" w:noVBand="0"/>
      </w:tblPr>
      <w:tblGrid>
        <w:gridCol w:w="4503"/>
        <w:gridCol w:w="5258"/>
      </w:tblGrid>
      <w:tr w:rsidR="00C435C3" w:rsidRPr="00E10F2E" w:rsidTr="00CA3A3D">
        <w:trPr>
          <w:jc w:val="right"/>
        </w:trPr>
        <w:tc>
          <w:tcPr>
            <w:tcW w:w="4503" w:type="dxa"/>
          </w:tcPr>
          <w:p w:rsidR="00C435C3" w:rsidRPr="00E10F2E" w:rsidRDefault="00C435C3" w:rsidP="005F6F41">
            <w:pPr>
              <w:ind w:left="204"/>
              <w:rPr>
                <w:rFonts w:ascii="Bookman Old Style" w:hAnsi="Bookman Old Style" w:cs="Arial"/>
                <w:b/>
                <w:spacing w:val="-3"/>
                <w:lang w:val="es-ES_tradnl"/>
              </w:rPr>
            </w:pPr>
            <w:r w:rsidRPr="00E10F2E">
              <w:rPr>
                <w:rFonts w:ascii="Bookman Old Style" w:hAnsi="Bookman Old Style" w:cs="Arial"/>
                <w:b/>
                <w:spacing w:val="-3"/>
              </w:rPr>
              <w:t xml:space="preserve">  </w:t>
            </w:r>
            <w:r w:rsidR="005F6F41" w:rsidRPr="00E10F2E">
              <w:rPr>
                <w:rFonts w:ascii="Bookman Old Style" w:hAnsi="Bookman Old Style" w:cs="Arial"/>
                <w:b/>
                <w:spacing w:val="-3"/>
              </w:rPr>
              <w:t>TOMÁS GONZÁLEZ ESTRADA</w:t>
            </w:r>
          </w:p>
        </w:tc>
        <w:tc>
          <w:tcPr>
            <w:tcW w:w="5258" w:type="dxa"/>
          </w:tcPr>
          <w:p w:rsidR="00C435C3" w:rsidRPr="00E10F2E" w:rsidRDefault="00C435C3" w:rsidP="00275DAB">
            <w:pPr>
              <w:ind w:left="161" w:right="567"/>
              <w:jc w:val="right"/>
              <w:rPr>
                <w:rFonts w:ascii="Bookman Old Style" w:hAnsi="Bookman Old Style" w:cs="Arial"/>
                <w:b/>
                <w:spacing w:val="-3"/>
                <w:lang w:val="es-ES_tradnl"/>
              </w:rPr>
            </w:pPr>
            <w:r w:rsidRPr="00E10F2E">
              <w:rPr>
                <w:rFonts w:ascii="Bookman Old Style" w:hAnsi="Bookman Old Style" w:cs="Arial"/>
                <w:b/>
                <w:spacing w:val="-3"/>
                <w:lang w:val="es-ES_tradnl"/>
              </w:rPr>
              <w:t>JAVIER AUGUSTO DÍAZ VELASCO</w:t>
            </w:r>
          </w:p>
        </w:tc>
      </w:tr>
      <w:tr w:rsidR="00C435C3" w:rsidRPr="00E10F2E" w:rsidTr="00CA3A3D">
        <w:trPr>
          <w:jc w:val="right"/>
        </w:trPr>
        <w:tc>
          <w:tcPr>
            <w:tcW w:w="4503" w:type="dxa"/>
          </w:tcPr>
          <w:p w:rsidR="00C435C3" w:rsidRPr="00261E0D" w:rsidRDefault="00C435C3" w:rsidP="00275DAB">
            <w:pPr>
              <w:ind w:left="0"/>
              <w:jc w:val="center"/>
              <w:rPr>
                <w:rFonts w:ascii="Bookman Old Style" w:hAnsi="Bookman Old Style" w:cs="Arial"/>
                <w:spacing w:val="-3"/>
                <w:lang w:val="es-ES_tradnl"/>
              </w:rPr>
            </w:pPr>
            <w:r w:rsidRPr="00E10F2E">
              <w:rPr>
                <w:rFonts w:ascii="Bookman Old Style" w:hAnsi="Bookman Old Style" w:cs="Arial"/>
                <w:spacing w:val="-3"/>
                <w:lang w:val="es-ES_tradnl"/>
              </w:rPr>
              <w:t>Viceministr</w:t>
            </w:r>
            <w:r w:rsidR="005F6F41" w:rsidRPr="00E10F2E">
              <w:rPr>
                <w:rFonts w:ascii="Bookman Old Style" w:hAnsi="Bookman Old Style" w:cs="Arial"/>
                <w:spacing w:val="-3"/>
                <w:lang w:val="es-ES_tradnl"/>
              </w:rPr>
              <w:t>o</w:t>
            </w:r>
            <w:r w:rsidRPr="00261E0D">
              <w:rPr>
                <w:rFonts w:ascii="Bookman Old Style" w:hAnsi="Bookman Old Style" w:cs="Arial"/>
                <w:spacing w:val="-3"/>
                <w:lang w:val="es-ES_tradnl"/>
              </w:rPr>
              <w:t xml:space="preserve"> de Minas y Energía</w:t>
            </w:r>
          </w:p>
          <w:p w:rsidR="00C435C3" w:rsidRPr="00273BC2" w:rsidRDefault="00C435C3" w:rsidP="005F6F41">
            <w:pPr>
              <w:ind w:left="0"/>
              <w:jc w:val="center"/>
              <w:rPr>
                <w:rFonts w:ascii="Bookman Old Style" w:hAnsi="Bookman Old Style" w:cs="Arial"/>
                <w:spacing w:val="-3"/>
                <w:lang w:val="es-ES_tradnl"/>
              </w:rPr>
            </w:pPr>
            <w:r w:rsidRPr="00120525">
              <w:rPr>
                <w:rFonts w:ascii="Bookman Old Style" w:hAnsi="Bookman Old Style" w:cs="Arial"/>
                <w:spacing w:val="-3"/>
                <w:lang w:val="es-ES_tradnl"/>
              </w:rPr>
              <w:t>Delegad</w:t>
            </w:r>
            <w:r w:rsidR="005F6F41" w:rsidRPr="00273BC2">
              <w:rPr>
                <w:rFonts w:ascii="Bookman Old Style" w:hAnsi="Bookman Old Style" w:cs="Arial"/>
                <w:spacing w:val="-3"/>
                <w:lang w:val="es-ES_tradnl"/>
              </w:rPr>
              <w:t>o</w:t>
            </w:r>
            <w:r w:rsidRPr="00273BC2">
              <w:rPr>
                <w:rFonts w:ascii="Bookman Old Style" w:hAnsi="Bookman Old Style" w:cs="Arial"/>
                <w:spacing w:val="-3"/>
                <w:lang w:val="es-ES_tradnl"/>
              </w:rPr>
              <w:t xml:space="preserve"> del Ministro de Minas y Energía</w:t>
            </w:r>
          </w:p>
        </w:tc>
        <w:tc>
          <w:tcPr>
            <w:tcW w:w="5258" w:type="dxa"/>
          </w:tcPr>
          <w:p w:rsidR="00C435C3" w:rsidRPr="00E10F2E" w:rsidRDefault="00C435C3" w:rsidP="00275DAB">
            <w:pPr>
              <w:rPr>
                <w:rFonts w:ascii="Bookman Old Style" w:hAnsi="Bookman Old Style" w:cs="Arial"/>
                <w:spacing w:val="-3"/>
                <w:lang w:val="es-ES_tradnl"/>
              </w:rPr>
            </w:pPr>
            <w:r w:rsidRPr="00E10F2E">
              <w:rPr>
                <w:rFonts w:ascii="Bookman Old Style" w:hAnsi="Bookman Old Style" w:cs="Arial"/>
                <w:spacing w:val="-3"/>
                <w:lang w:val="es-ES_tradnl"/>
              </w:rPr>
              <w:t xml:space="preserve">           Director Ejecutivo</w:t>
            </w:r>
          </w:p>
        </w:tc>
      </w:tr>
      <w:tr w:rsidR="00C435C3" w:rsidRPr="00E10F2E" w:rsidTr="00CA3A3D">
        <w:trPr>
          <w:jc w:val="right"/>
        </w:trPr>
        <w:tc>
          <w:tcPr>
            <w:tcW w:w="4503" w:type="dxa"/>
          </w:tcPr>
          <w:p w:rsidR="00C435C3" w:rsidRPr="00E10F2E" w:rsidRDefault="00C435C3" w:rsidP="00275DAB">
            <w:pPr>
              <w:rPr>
                <w:rFonts w:ascii="Bookman Old Style" w:hAnsi="Bookman Old Style" w:cs="Arial"/>
                <w:spacing w:val="-3"/>
              </w:rPr>
            </w:pPr>
            <w:r w:rsidRPr="00E10F2E">
              <w:rPr>
                <w:rFonts w:ascii="Bookman Old Style" w:hAnsi="Bookman Old Style" w:cs="Arial"/>
                <w:spacing w:val="-3"/>
              </w:rPr>
              <w:t xml:space="preserve">             Presidente</w:t>
            </w:r>
          </w:p>
        </w:tc>
        <w:tc>
          <w:tcPr>
            <w:tcW w:w="5258" w:type="dxa"/>
          </w:tcPr>
          <w:p w:rsidR="00C435C3" w:rsidRPr="00120525" w:rsidRDefault="00C435C3" w:rsidP="00275DAB">
            <w:pPr>
              <w:rPr>
                <w:rFonts w:ascii="Bookman Old Style" w:hAnsi="Bookman Old Style" w:cs="Arial"/>
                <w:spacing w:val="-3"/>
              </w:rPr>
            </w:pPr>
          </w:p>
        </w:tc>
      </w:tr>
    </w:tbl>
    <w:p w:rsidR="00C435C3" w:rsidRPr="00E10F2E" w:rsidRDefault="00C435C3" w:rsidP="00C435C3">
      <w:pPr>
        <w:ind w:left="0"/>
        <w:rPr>
          <w:rFonts w:ascii="Bookman Old Style" w:hAnsi="Bookman Old Style"/>
          <w:bCs/>
          <w:lang w:val="es-CO"/>
        </w:rPr>
      </w:pPr>
    </w:p>
    <w:p w:rsidR="00B31989" w:rsidRPr="004B6EDA" w:rsidRDefault="00B31989">
      <w:pPr>
        <w:ind w:left="0"/>
        <w:rPr>
          <w:rFonts w:ascii="Bookman Old Style" w:hAnsi="Bookman Old Style"/>
          <w:bCs/>
          <w:u w:val="single"/>
          <w:lang w:val="es-CO"/>
        </w:rPr>
      </w:pPr>
      <w:r w:rsidRPr="004B6EDA">
        <w:rPr>
          <w:rFonts w:ascii="Bookman Old Style" w:hAnsi="Bookman Old Style"/>
          <w:bCs/>
          <w:u w:val="single"/>
          <w:lang w:val="es-CO"/>
        </w:rPr>
        <w:br w:type="page"/>
      </w:r>
    </w:p>
    <w:p w:rsidR="004B6EDA" w:rsidRDefault="004B6EDA" w:rsidP="00E351D6">
      <w:pPr>
        <w:ind w:left="0"/>
        <w:jc w:val="center"/>
        <w:rPr>
          <w:rFonts w:ascii="Bookman Old Style" w:hAnsi="Bookman Old Style"/>
          <w:b/>
        </w:rPr>
      </w:pPr>
    </w:p>
    <w:p w:rsidR="00E32D53" w:rsidRPr="004B6EDA" w:rsidRDefault="00E32D53" w:rsidP="00E351D6">
      <w:pPr>
        <w:ind w:left="0"/>
        <w:jc w:val="center"/>
        <w:rPr>
          <w:rFonts w:ascii="Bookman Old Style" w:hAnsi="Bookman Old Style"/>
          <w:b/>
        </w:rPr>
      </w:pPr>
      <w:r w:rsidRPr="004B6EDA">
        <w:rPr>
          <w:rFonts w:ascii="Bookman Old Style" w:hAnsi="Bookman Old Style"/>
          <w:b/>
        </w:rPr>
        <w:t>ANEXO</w:t>
      </w:r>
    </w:p>
    <w:p w:rsidR="00CE4B32" w:rsidRDefault="00CE4B32" w:rsidP="00E351D6">
      <w:pPr>
        <w:ind w:left="0"/>
        <w:jc w:val="center"/>
        <w:rPr>
          <w:rFonts w:ascii="Bookman Old Style" w:hAnsi="Bookman Old Style"/>
          <w:b/>
          <w:u w:val="single"/>
        </w:rPr>
      </w:pPr>
    </w:p>
    <w:p w:rsidR="00273BC2" w:rsidRPr="004B6EDA" w:rsidRDefault="00273BC2" w:rsidP="00E351D6">
      <w:pPr>
        <w:ind w:left="0"/>
        <w:jc w:val="center"/>
        <w:rPr>
          <w:rFonts w:ascii="Bookman Old Style" w:hAnsi="Bookman Old Style"/>
          <w:b/>
        </w:rPr>
      </w:pPr>
      <w:r w:rsidRPr="004B6EDA">
        <w:rPr>
          <w:rFonts w:ascii="Bookman Old Style" w:hAnsi="Bookman Old Style"/>
          <w:b/>
        </w:rPr>
        <w:t>GARANTÍA PARA</w:t>
      </w:r>
      <w:r w:rsidR="007955C6" w:rsidRPr="004B6EDA">
        <w:rPr>
          <w:rFonts w:ascii="Bookman Old Style" w:hAnsi="Bookman Old Style"/>
          <w:b/>
        </w:rPr>
        <w:t xml:space="preserve"> AMPARAR LA CONSTRUCCIÓN Y PUESTA EN OPERACIÓN </w:t>
      </w:r>
      <w:r w:rsidRPr="004B6EDA">
        <w:rPr>
          <w:rFonts w:ascii="Bookman Old Style" w:hAnsi="Bookman Old Style"/>
          <w:b/>
        </w:rPr>
        <w:t xml:space="preserve">DE LA INFRAESTRUCUTRA DE IMPORTACIÓN DE GAS NATURAL </w:t>
      </w:r>
      <w:r w:rsidR="007955C6" w:rsidRPr="004B6EDA">
        <w:rPr>
          <w:rFonts w:ascii="Bookman Old Style" w:hAnsi="Bookman Old Style"/>
          <w:b/>
        </w:rPr>
        <w:t>QUE RESPALDE OBLIGACIONES DE ENERGÍA FIRME</w:t>
      </w:r>
    </w:p>
    <w:p w:rsidR="00E32D53" w:rsidRPr="00E10F2E" w:rsidRDefault="00E32D53" w:rsidP="00E32D53">
      <w:pPr>
        <w:ind w:left="0"/>
        <w:jc w:val="both"/>
        <w:rPr>
          <w:rFonts w:ascii="Bookman Old Style" w:hAnsi="Bookman Old Style"/>
          <w:b/>
        </w:rPr>
      </w:pPr>
    </w:p>
    <w:p w:rsidR="00E32D53" w:rsidRPr="00E10F2E" w:rsidRDefault="00E32D53" w:rsidP="00E32D53">
      <w:pPr>
        <w:ind w:left="0"/>
        <w:jc w:val="both"/>
        <w:rPr>
          <w:rFonts w:ascii="Bookman Old Style" w:hAnsi="Bookman Old Style"/>
          <w:b/>
        </w:rPr>
      </w:pPr>
    </w:p>
    <w:p w:rsidR="00E32D53" w:rsidRPr="00120525" w:rsidRDefault="00261E0D" w:rsidP="00E32D53">
      <w:pPr>
        <w:ind w:left="0"/>
        <w:jc w:val="both"/>
        <w:rPr>
          <w:rFonts w:ascii="Bookman Old Style" w:hAnsi="Bookman Old Style"/>
        </w:rPr>
      </w:pPr>
      <w:r>
        <w:rPr>
          <w:rFonts w:ascii="Bookman Old Style" w:hAnsi="Bookman Old Style"/>
        </w:rPr>
        <w:t>L</w:t>
      </w:r>
      <w:r w:rsidR="00E32D53" w:rsidRPr="00261E0D">
        <w:rPr>
          <w:rFonts w:ascii="Bookman Old Style" w:hAnsi="Bookman Old Style"/>
        </w:rPr>
        <w:t xml:space="preserve">a garantía de construcción </w:t>
      </w:r>
      <w:r w:rsidR="0054144A" w:rsidRPr="00261E0D">
        <w:rPr>
          <w:rFonts w:ascii="Bookman Old Style" w:hAnsi="Bookman Old Style"/>
        </w:rPr>
        <w:t>de infraestructura</w:t>
      </w:r>
      <w:r>
        <w:rPr>
          <w:rFonts w:ascii="Bookman Old Style" w:hAnsi="Bookman Old Style"/>
        </w:rPr>
        <w:t xml:space="preserve"> de importación</w:t>
      </w:r>
      <w:r w:rsidR="0054144A" w:rsidRPr="00261E0D">
        <w:rPr>
          <w:rFonts w:ascii="Bookman Old Style" w:hAnsi="Bookman Old Style"/>
        </w:rPr>
        <w:t xml:space="preserve"> </w:t>
      </w:r>
      <w:r w:rsidR="00E32D53" w:rsidRPr="00261E0D">
        <w:rPr>
          <w:rFonts w:ascii="Bookman Old Style" w:hAnsi="Bookman Old Style"/>
        </w:rPr>
        <w:t xml:space="preserve">de que trata </w:t>
      </w:r>
      <w:r w:rsidR="00B70F36" w:rsidRPr="00261E0D">
        <w:rPr>
          <w:rFonts w:ascii="Bookman Old Style" w:hAnsi="Bookman Old Style"/>
        </w:rPr>
        <w:t>el</w:t>
      </w:r>
      <w:r w:rsidR="00E32D53" w:rsidRPr="00261E0D">
        <w:rPr>
          <w:rFonts w:ascii="Bookman Old Style" w:hAnsi="Bookman Old Style"/>
        </w:rPr>
        <w:t xml:space="preserve"> artículo 6 de esta Resolución deberá </w:t>
      </w:r>
      <w:r w:rsidR="00E35BFD" w:rsidRPr="00261E0D">
        <w:rPr>
          <w:rFonts w:ascii="Bookman Old Style" w:hAnsi="Bookman Old Style"/>
        </w:rPr>
        <w:t xml:space="preserve">cumplir </w:t>
      </w:r>
      <w:r w:rsidR="002F6FC8" w:rsidRPr="00261E0D">
        <w:rPr>
          <w:rFonts w:ascii="Bookman Old Style" w:hAnsi="Bookman Old Style"/>
        </w:rPr>
        <w:t>lo dispuesto en los siguientes artículos:</w:t>
      </w:r>
    </w:p>
    <w:p w:rsidR="00E32D53" w:rsidRPr="00E10F2E" w:rsidRDefault="00E32D53" w:rsidP="00E32D53">
      <w:pPr>
        <w:ind w:left="0"/>
        <w:jc w:val="both"/>
        <w:rPr>
          <w:rFonts w:ascii="Bookman Old Style" w:hAnsi="Bookman Old Style"/>
        </w:rPr>
      </w:pPr>
    </w:p>
    <w:p w:rsidR="00A22948" w:rsidRPr="004B6EDA" w:rsidRDefault="00A22948" w:rsidP="00A22948">
      <w:pPr>
        <w:suppressAutoHyphens/>
        <w:ind w:left="0"/>
        <w:jc w:val="both"/>
        <w:rPr>
          <w:rFonts w:ascii="Bookman Old Style" w:hAnsi="Bookman Old Style"/>
          <w:iCs/>
          <w:sz w:val="22"/>
          <w:lang w:eastAsia="ar-SA"/>
        </w:rPr>
      </w:pPr>
    </w:p>
    <w:p w:rsidR="00A22948" w:rsidRPr="004B6EDA" w:rsidRDefault="00E10F2E" w:rsidP="004B6EDA">
      <w:pPr>
        <w:pStyle w:val="Ttulo1"/>
        <w:jc w:val="both"/>
        <w:rPr>
          <w:rFonts w:ascii="Bookman Old Style" w:hAnsi="Bookman Old Style"/>
          <w:b w:val="0"/>
        </w:rPr>
      </w:pPr>
      <w:r w:rsidRPr="00E10F2E">
        <w:rPr>
          <w:rFonts w:ascii="Bookman Old Style" w:hAnsi="Bookman Old Style"/>
        </w:rPr>
        <w:t xml:space="preserve"> Reglas generales</w:t>
      </w:r>
      <w:r w:rsidR="00A12C63" w:rsidRPr="00E10F2E">
        <w:rPr>
          <w:rFonts w:ascii="Bookman Old Style" w:hAnsi="Bookman Old Style"/>
        </w:rPr>
        <w:t xml:space="preserve">: </w:t>
      </w:r>
      <w:r w:rsidRPr="004B6EDA">
        <w:rPr>
          <w:rFonts w:ascii="Bookman Old Style" w:hAnsi="Bookman Old Style"/>
          <w:b w:val="0"/>
        </w:rPr>
        <w:t>La</w:t>
      </w:r>
      <w:r w:rsidR="00A12C63" w:rsidRPr="004B6EDA">
        <w:rPr>
          <w:rFonts w:ascii="Bookman Old Style" w:hAnsi="Bookman Old Style"/>
          <w:b w:val="0"/>
        </w:rPr>
        <w:t xml:space="preserve"> garant</w:t>
      </w:r>
      <w:r w:rsidRPr="004B6EDA">
        <w:rPr>
          <w:rFonts w:ascii="Bookman Old Style" w:hAnsi="Bookman Old Style"/>
          <w:b w:val="0"/>
        </w:rPr>
        <w:t>ía</w:t>
      </w:r>
      <w:r w:rsidR="00A12C63" w:rsidRPr="004B6EDA">
        <w:rPr>
          <w:rFonts w:ascii="Bookman Old Style" w:hAnsi="Bookman Old Style"/>
          <w:b w:val="0"/>
        </w:rPr>
        <w:t xml:space="preserve"> de construcción de infraestructura de que trata el artículo 6 </w:t>
      </w:r>
      <w:r w:rsidRPr="004B6EDA">
        <w:rPr>
          <w:rFonts w:ascii="Bookman Old Style" w:hAnsi="Bookman Old Style"/>
          <w:b w:val="0"/>
        </w:rPr>
        <w:t xml:space="preserve">de esta resolución </w:t>
      </w:r>
      <w:r w:rsidR="00A12C63" w:rsidRPr="004B6EDA">
        <w:rPr>
          <w:rFonts w:ascii="Bookman Old Style" w:hAnsi="Bookman Old Style"/>
          <w:b w:val="0"/>
        </w:rPr>
        <w:t>deberá cumplir con los principios definidos en el artículo 3 de</w:t>
      </w:r>
      <w:r w:rsidRPr="004B6EDA">
        <w:rPr>
          <w:rFonts w:ascii="Bookman Old Style" w:hAnsi="Bookman Old Style"/>
          <w:b w:val="0"/>
        </w:rPr>
        <w:t>l Reglamento de Garantías para el Cargo por Confiabilidad definido</w:t>
      </w:r>
      <w:r w:rsidR="00A12C63" w:rsidRPr="004B6EDA">
        <w:rPr>
          <w:rFonts w:ascii="Bookman Old Style" w:hAnsi="Bookman Old Style"/>
          <w:b w:val="0"/>
        </w:rPr>
        <w:t xml:space="preserve"> la Resolución CREG 061 de 2007.</w:t>
      </w:r>
    </w:p>
    <w:p w:rsidR="00E10F2E" w:rsidRPr="00E10F2E" w:rsidRDefault="00E10F2E" w:rsidP="004B6EDA">
      <w:pPr>
        <w:ind w:left="0"/>
        <w:rPr>
          <w:rFonts w:ascii="Bookman Old Style" w:hAnsi="Bookman Old Style"/>
          <w:b/>
          <w:szCs w:val="20"/>
          <w:lang w:val="es-CO"/>
        </w:rPr>
      </w:pPr>
    </w:p>
    <w:p w:rsidR="00E10F2E" w:rsidRPr="004B6EDA" w:rsidRDefault="008631AB" w:rsidP="00E10F2E">
      <w:pPr>
        <w:ind w:left="0"/>
        <w:jc w:val="both"/>
        <w:rPr>
          <w:rFonts w:ascii="Bookman Old Style" w:hAnsi="Bookman Old Style"/>
          <w:lang w:val="es-CO"/>
        </w:rPr>
      </w:pPr>
      <w:r>
        <w:rPr>
          <w:rFonts w:ascii="Bookman Old Style" w:hAnsi="Bookman Old Style"/>
          <w:lang w:val="es-CO"/>
        </w:rPr>
        <w:t>L</w:t>
      </w:r>
      <w:r w:rsidR="00E10F2E" w:rsidRPr="004B6EDA">
        <w:rPr>
          <w:rFonts w:ascii="Bookman Old Style" w:hAnsi="Bookman Old Style"/>
          <w:lang w:val="es-CO"/>
        </w:rPr>
        <w:t>a ejecu</w:t>
      </w:r>
      <w:r w:rsidR="00E10F2E">
        <w:rPr>
          <w:rFonts w:ascii="Bookman Old Style" w:hAnsi="Bookman Old Style"/>
          <w:lang w:val="es-CO"/>
        </w:rPr>
        <w:t xml:space="preserve">ción de la garantía y el manejo y disposición de los recursos resultantes </w:t>
      </w:r>
      <w:r>
        <w:rPr>
          <w:rFonts w:ascii="Bookman Old Style" w:hAnsi="Bookman Old Style"/>
          <w:lang w:val="es-CO"/>
        </w:rPr>
        <w:t xml:space="preserve">se realizarán según </w:t>
      </w:r>
      <w:r w:rsidR="00E10F2E">
        <w:rPr>
          <w:rFonts w:ascii="Bookman Old Style" w:hAnsi="Bookman Old Style"/>
          <w:lang w:val="es-CO"/>
        </w:rPr>
        <w:t xml:space="preserve">lo dispuesto en los artículos 7 y 8 de la </w:t>
      </w:r>
      <w:r w:rsidR="00E10F2E" w:rsidRPr="004756E9">
        <w:rPr>
          <w:rFonts w:ascii="Bookman Old Style" w:hAnsi="Bookman Old Style"/>
        </w:rPr>
        <w:t>Resolución CREG 061 de 2007</w:t>
      </w:r>
      <w:r w:rsidR="00E10F2E">
        <w:rPr>
          <w:rFonts w:ascii="Bookman Old Style" w:hAnsi="Bookman Old Style"/>
        </w:rPr>
        <w:t>.</w:t>
      </w:r>
    </w:p>
    <w:p w:rsidR="00E10F2E" w:rsidRPr="004B6EDA" w:rsidRDefault="00E10F2E" w:rsidP="004B6EDA">
      <w:pPr>
        <w:rPr>
          <w:rFonts w:ascii="Bookman Old Style" w:hAnsi="Bookman Old Style"/>
          <w:lang w:val="es-CO"/>
        </w:rPr>
      </w:pPr>
    </w:p>
    <w:p w:rsidR="00E10F2E" w:rsidRPr="004B6EDA" w:rsidRDefault="00E10F2E" w:rsidP="004B6EDA">
      <w:pPr>
        <w:rPr>
          <w:rFonts w:ascii="Bookman Old Style" w:hAnsi="Bookman Old Style"/>
          <w:lang w:val="es-CO"/>
        </w:rPr>
      </w:pPr>
    </w:p>
    <w:p w:rsidR="00684D5A" w:rsidRPr="004B6EDA" w:rsidRDefault="00772D44" w:rsidP="004B6EDA">
      <w:pPr>
        <w:pStyle w:val="Ttulo1"/>
        <w:jc w:val="both"/>
        <w:rPr>
          <w:rFonts w:ascii="Bookman Old Style" w:hAnsi="Bookman Old Style"/>
        </w:rPr>
      </w:pPr>
      <w:r w:rsidRPr="00E10F2E">
        <w:rPr>
          <w:rFonts w:ascii="Bookman Old Style" w:hAnsi="Bookman Old Style"/>
        </w:rPr>
        <w:t>Obligaciones</w:t>
      </w:r>
      <w:r w:rsidRPr="004B6EDA">
        <w:rPr>
          <w:rFonts w:ascii="Bookman Old Style" w:hAnsi="Bookman Old Style"/>
        </w:rPr>
        <w:t xml:space="preserve"> a garantizar: </w:t>
      </w:r>
      <w:r w:rsidR="00684D5A" w:rsidRPr="004B6EDA">
        <w:rPr>
          <w:rFonts w:ascii="Bookman Old Style" w:hAnsi="Bookman Old Style"/>
          <w:b w:val="0"/>
        </w:rPr>
        <w:t>Deberá garantizar</w:t>
      </w:r>
      <w:r w:rsidR="00CC1099">
        <w:rPr>
          <w:rFonts w:ascii="Bookman Old Style" w:hAnsi="Bookman Old Style"/>
          <w:b w:val="0"/>
        </w:rPr>
        <w:t>,</w:t>
      </w:r>
      <w:r w:rsidR="00684D5A" w:rsidRPr="004B6EDA">
        <w:rPr>
          <w:rFonts w:ascii="Bookman Old Style" w:hAnsi="Bookman Old Style"/>
          <w:b w:val="0"/>
        </w:rPr>
        <w:t xml:space="preserve"> </w:t>
      </w:r>
      <w:r w:rsidRPr="004B6EDA">
        <w:rPr>
          <w:rFonts w:ascii="Bookman Old Style" w:hAnsi="Bookman Old Style"/>
          <w:b w:val="0"/>
        </w:rPr>
        <w:t xml:space="preserve">mediante los instrumentos previstos en el Capítulo 2 del Reglamento de Garantías para el Cargo por </w:t>
      </w:r>
      <w:r w:rsidR="006D1A9F" w:rsidRPr="004B6EDA">
        <w:rPr>
          <w:rFonts w:ascii="Bookman Old Style" w:hAnsi="Bookman Old Style"/>
          <w:b w:val="0"/>
        </w:rPr>
        <w:t>Confiabilidad</w:t>
      </w:r>
      <w:r w:rsidRPr="004B6EDA">
        <w:rPr>
          <w:rFonts w:ascii="Bookman Old Style" w:hAnsi="Bookman Old Style"/>
          <w:b w:val="0"/>
        </w:rPr>
        <w:t xml:space="preserve"> </w:t>
      </w:r>
      <w:r w:rsidR="00A12C63" w:rsidRPr="004B6EDA">
        <w:rPr>
          <w:rFonts w:ascii="Bookman Old Style" w:hAnsi="Bookman Old Style"/>
          <w:b w:val="0"/>
        </w:rPr>
        <w:t xml:space="preserve">definido en la </w:t>
      </w:r>
      <w:r w:rsidR="00E10F2E" w:rsidRPr="004B6EDA">
        <w:rPr>
          <w:rFonts w:ascii="Bookman Old Style" w:hAnsi="Bookman Old Style"/>
          <w:b w:val="0"/>
        </w:rPr>
        <w:t>Resolución CREG 061 de 2007</w:t>
      </w:r>
      <w:r w:rsidR="00CC1099">
        <w:rPr>
          <w:rFonts w:ascii="Bookman Old Style" w:hAnsi="Bookman Old Style"/>
          <w:b w:val="0"/>
        </w:rPr>
        <w:t>,</w:t>
      </w:r>
      <w:r w:rsidR="00A12C63" w:rsidRPr="004B6EDA">
        <w:rPr>
          <w:rFonts w:ascii="Bookman Old Style" w:hAnsi="Bookman Old Style"/>
          <w:b w:val="0"/>
        </w:rPr>
        <w:t xml:space="preserve"> </w:t>
      </w:r>
      <w:r w:rsidR="00684D5A" w:rsidRPr="004B6EDA">
        <w:rPr>
          <w:rFonts w:ascii="Bookman Old Style" w:hAnsi="Bookman Old Style"/>
          <w:b w:val="0"/>
        </w:rPr>
        <w:t>el cumplimiento de las siguientes obligaciones:</w:t>
      </w:r>
    </w:p>
    <w:p w:rsidR="00684D5A" w:rsidRPr="004B6EDA" w:rsidRDefault="00684D5A" w:rsidP="00E32D53">
      <w:pPr>
        <w:ind w:left="0"/>
        <w:jc w:val="both"/>
        <w:rPr>
          <w:rFonts w:ascii="Bookman Old Style" w:hAnsi="Bookman Old Style"/>
          <w:lang w:val="es-CO"/>
        </w:rPr>
      </w:pPr>
    </w:p>
    <w:p w:rsidR="00070A0B" w:rsidRPr="00E10F2E" w:rsidRDefault="00E35BFD" w:rsidP="004B6EDA">
      <w:pPr>
        <w:pStyle w:val="Prrafodelista"/>
        <w:numPr>
          <w:ilvl w:val="0"/>
          <w:numId w:val="30"/>
        </w:numPr>
        <w:ind w:left="284" w:hanging="142"/>
        <w:jc w:val="both"/>
        <w:rPr>
          <w:rFonts w:ascii="Bookman Old Style" w:hAnsi="Bookman Old Style"/>
        </w:rPr>
      </w:pPr>
      <w:r w:rsidRPr="00E10F2E">
        <w:rPr>
          <w:rFonts w:ascii="Bookman Old Style" w:hAnsi="Bookman Old Style"/>
          <w:sz w:val="24"/>
          <w:szCs w:val="24"/>
        </w:rPr>
        <w:t xml:space="preserve">El inicio de la </w:t>
      </w:r>
      <w:r w:rsidR="00E32D53" w:rsidRPr="00E10F2E">
        <w:rPr>
          <w:rFonts w:ascii="Bookman Old Style" w:hAnsi="Bookman Old Style"/>
          <w:sz w:val="24"/>
          <w:szCs w:val="24"/>
        </w:rPr>
        <w:t>operación</w:t>
      </w:r>
      <w:r w:rsidRPr="00E10F2E">
        <w:rPr>
          <w:rFonts w:ascii="Bookman Old Style" w:hAnsi="Bookman Old Style"/>
          <w:sz w:val="24"/>
          <w:szCs w:val="24"/>
        </w:rPr>
        <w:t xml:space="preserve"> comercial</w:t>
      </w:r>
      <w:r w:rsidR="00E32D53" w:rsidRPr="00E10F2E">
        <w:rPr>
          <w:rFonts w:ascii="Bookman Old Style" w:hAnsi="Bookman Old Style"/>
          <w:sz w:val="24"/>
          <w:szCs w:val="24"/>
        </w:rPr>
        <w:t xml:space="preserve"> de la </w:t>
      </w:r>
      <w:r w:rsidR="002A554D" w:rsidRPr="00E10F2E">
        <w:rPr>
          <w:rFonts w:ascii="Bookman Old Style" w:hAnsi="Bookman Old Style"/>
          <w:sz w:val="24"/>
          <w:szCs w:val="24"/>
        </w:rPr>
        <w:t xml:space="preserve">nueva infraestructura para la importación de gas natural </w:t>
      </w:r>
      <w:r w:rsidR="002A554D" w:rsidRPr="00120525">
        <w:rPr>
          <w:rFonts w:ascii="Bookman Old Style" w:hAnsi="Bookman Old Style"/>
          <w:sz w:val="24"/>
          <w:szCs w:val="24"/>
        </w:rPr>
        <w:t xml:space="preserve">con el cual </w:t>
      </w:r>
      <w:r w:rsidR="00CC1099">
        <w:rPr>
          <w:rFonts w:ascii="Bookman Old Style" w:hAnsi="Bookman Old Style"/>
          <w:sz w:val="24"/>
          <w:szCs w:val="24"/>
        </w:rPr>
        <w:t xml:space="preserve">el o los generadores van </w:t>
      </w:r>
      <w:r w:rsidR="002A554D" w:rsidRPr="00120525">
        <w:rPr>
          <w:rFonts w:ascii="Bookman Old Style" w:hAnsi="Bookman Old Style"/>
          <w:sz w:val="24"/>
          <w:szCs w:val="24"/>
        </w:rPr>
        <w:t>a respaldar la Obligación de Energía Firme</w:t>
      </w:r>
      <w:r w:rsidR="002A554D" w:rsidRPr="00E10F2E">
        <w:rPr>
          <w:rFonts w:ascii="Bookman Old Style" w:hAnsi="Bookman Old Style"/>
          <w:sz w:val="24"/>
          <w:szCs w:val="24"/>
        </w:rPr>
        <w:t xml:space="preserve">, a más tardar en la fecha de Inicio del Período de Vigencia de la Obligación, con una capacidad de importación igual o mayor a </w:t>
      </w:r>
      <w:r w:rsidRPr="00E10F2E">
        <w:rPr>
          <w:rFonts w:ascii="Bookman Old Style" w:hAnsi="Bookman Old Style"/>
          <w:sz w:val="24"/>
          <w:szCs w:val="24"/>
        </w:rPr>
        <w:t xml:space="preserve">la </w:t>
      </w:r>
      <w:r w:rsidR="002A554D" w:rsidRPr="00E10F2E">
        <w:rPr>
          <w:rFonts w:ascii="Bookman Old Style" w:hAnsi="Bookman Old Style"/>
          <w:sz w:val="24"/>
          <w:szCs w:val="24"/>
        </w:rPr>
        <w:t>requerida para importar el gas que respalda la OEF</w:t>
      </w:r>
      <w:r w:rsidR="001D0A6F">
        <w:rPr>
          <w:rFonts w:ascii="Bookman Old Style" w:hAnsi="Bookman Old Style"/>
          <w:sz w:val="24"/>
          <w:szCs w:val="24"/>
        </w:rPr>
        <w:t>.</w:t>
      </w:r>
    </w:p>
    <w:p w:rsidR="00E35BFD" w:rsidRPr="00E10F2E" w:rsidRDefault="00E35BFD" w:rsidP="002F6FC8">
      <w:pPr>
        <w:pStyle w:val="Prrafodelista"/>
        <w:ind w:left="0"/>
        <w:jc w:val="both"/>
        <w:rPr>
          <w:rFonts w:ascii="Bookman Old Style" w:hAnsi="Bookman Old Style"/>
        </w:rPr>
      </w:pPr>
    </w:p>
    <w:p w:rsidR="00C05AE4" w:rsidRPr="00E10F2E" w:rsidRDefault="004B38FE" w:rsidP="004B6EDA">
      <w:pPr>
        <w:pStyle w:val="Prrafodelista"/>
        <w:numPr>
          <w:ilvl w:val="0"/>
          <w:numId w:val="30"/>
        </w:numPr>
        <w:ind w:left="284" w:hanging="142"/>
        <w:jc w:val="both"/>
        <w:rPr>
          <w:rFonts w:ascii="Bookman Old Style" w:hAnsi="Bookman Old Style"/>
        </w:rPr>
      </w:pPr>
      <w:r w:rsidRPr="00E10F2E">
        <w:rPr>
          <w:rFonts w:ascii="Bookman Old Style" w:hAnsi="Bookman Old Style"/>
          <w:sz w:val="24"/>
          <w:szCs w:val="24"/>
        </w:rPr>
        <w:t xml:space="preserve">La entrega al ASIC de la copia de los documentos en los que conste el </w:t>
      </w:r>
      <w:r w:rsidR="00070A0B" w:rsidRPr="00E10F2E">
        <w:rPr>
          <w:rFonts w:ascii="Bookman Old Style" w:hAnsi="Bookman Old Style"/>
          <w:sz w:val="24"/>
          <w:szCs w:val="24"/>
        </w:rPr>
        <w:t xml:space="preserve"> pago de la auditoría </w:t>
      </w:r>
      <w:r w:rsidR="00DC3F1F" w:rsidRPr="00E10F2E">
        <w:rPr>
          <w:rFonts w:ascii="Bookman Old Style" w:hAnsi="Bookman Old Style"/>
          <w:sz w:val="24"/>
          <w:szCs w:val="24"/>
        </w:rPr>
        <w:t>de la que trata el artículo 5</w:t>
      </w:r>
      <w:r w:rsidRPr="00E10F2E">
        <w:rPr>
          <w:rFonts w:ascii="Bookman Old Style" w:hAnsi="Bookman Old Style"/>
          <w:sz w:val="24"/>
          <w:szCs w:val="24"/>
        </w:rPr>
        <w:t xml:space="preserve"> de esta resolución.</w:t>
      </w:r>
      <w:r w:rsidR="00C05AE4" w:rsidRPr="00E10F2E">
        <w:rPr>
          <w:rFonts w:ascii="Bookman Old Style" w:hAnsi="Bookman Old Style"/>
          <w:sz w:val="24"/>
          <w:szCs w:val="24"/>
        </w:rPr>
        <w:t xml:space="preserve"> </w:t>
      </w:r>
      <w:r w:rsidR="003F2BA5" w:rsidRPr="00E10F2E">
        <w:rPr>
          <w:rFonts w:ascii="Bookman Old Style" w:hAnsi="Bookman Old Style"/>
          <w:sz w:val="24"/>
          <w:szCs w:val="24"/>
          <w:lang w:val="es-ES"/>
        </w:rPr>
        <w:t>El pago se deberá realizar dentro de los primeros quince (15) días calendario de cada uno de los períodos para los cuales se requiera el informe del auditor. El primero de los períodos se contará desde la fecha de inicio del cronograma de construcción de la infraestructura de importación y para cada uno de los períodos subsiguientes al primero, se contará desde el día calendario siguiente a la fecha en que se termine el anterior período.</w:t>
      </w:r>
    </w:p>
    <w:p w:rsidR="00C05AE4" w:rsidRPr="00E10F2E" w:rsidRDefault="00C05AE4" w:rsidP="009F0467">
      <w:pPr>
        <w:ind w:left="0"/>
        <w:rPr>
          <w:rFonts w:ascii="Bookman Old Style" w:hAnsi="Bookman Old Style"/>
        </w:rPr>
      </w:pPr>
    </w:p>
    <w:p w:rsidR="00E35BFD" w:rsidRPr="00273BC2" w:rsidRDefault="00E35BFD" w:rsidP="009F0467">
      <w:pPr>
        <w:ind w:left="0"/>
        <w:jc w:val="both"/>
        <w:rPr>
          <w:rFonts w:ascii="Bookman Old Style" w:hAnsi="Bookman Old Style"/>
        </w:rPr>
      </w:pPr>
      <w:r w:rsidRPr="00E10F2E">
        <w:rPr>
          <w:rFonts w:ascii="Bookman Old Style" w:hAnsi="Bookman Old Style"/>
        </w:rPr>
        <w:t xml:space="preserve">Estas obligaciones se entenderán cumplidas cuando durante su vigencia no se haya </w:t>
      </w:r>
      <w:r w:rsidRPr="00273BC2">
        <w:rPr>
          <w:rFonts w:ascii="Bookman Old Style" w:hAnsi="Bookman Old Style"/>
        </w:rPr>
        <w:t xml:space="preserve">presentado alguno de los Eventos de Incumplimiento del que trata el </w:t>
      </w:r>
      <w:r w:rsidR="00744BE4" w:rsidRPr="00744BE4">
        <w:rPr>
          <w:rFonts w:ascii="Bookman Old Style" w:hAnsi="Bookman Old Style"/>
        </w:rPr>
        <w:t>artículo</w:t>
      </w:r>
      <w:r w:rsidR="008631AB" w:rsidRPr="004B6EDA">
        <w:rPr>
          <w:rFonts w:ascii="Bookman Old Style" w:hAnsi="Bookman Old Style"/>
        </w:rPr>
        <w:t xml:space="preserve"> 4 </w:t>
      </w:r>
      <w:r w:rsidR="00DC3F1F" w:rsidRPr="00273BC2">
        <w:rPr>
          <w:rFonts w:ascii="Bookman Old Style" w:hAnsi="Bookman Old Style"/>
        </w:rPr>
        <w:t>de este Anexo</w:t>
      </w:r>
      <w:r w:rsidRPr="00273BC2">
        <w:rPr>
          <w:rFonts w:ascii="Bookman Old Style" w:hAnsi="Bookman Old Style"/>
        </w:rPr>
        <w:t xml:space="preserve"> y además con el recibo en el ASIC de</w:t>
      </w:r>
      <w:r w:rsidR="00EE0C5F">
        <w:rPr>
          <w:rFonts w:ascii="Bookman Old Style" w:hAnsi="Bookman Old Style"/>
        </w:rPr>
        <w:t xml:space="preserve"> los siguientes documentos</w:t>
      </w:r>
      <w:r w:rsidRPr="00273BC2">
        <w:rPr>
          <w:rFonts w:ascii="Bookman Old Style" w:hAnsi="Bookman Old Style"/>
        </w:rPr>
        <w:t>:</w:t>
      </w:r>
    </w:p>
    <w:p w:rsidR="00E35BFD" w:rsidRPr="00E10F2E" w:rsidRDefault="00E35BFD" w:rsidP="00772D44">
      <w:pPr>
        <w:ind w:left="284"/>
        <w:rPr>
          <w:rFonts w:ascii="Bookman Old Style" w:hAnsi="Bookman Old Style"/>
        </w:rPr>
      </w:pPr>
    </w:p>
    <w:p w:rsidR="00E35BFD" w:rsidRPr="00E10F2E" w:rsidRDefault="00E35BFD" w:rsidP="009F0467">
      <w:pPr>
        <w:ind w:left="284" w:hanging="284"/>
        <w:jc w:val="both"/>
        <w:rPr>
          <w:rFonts w:ascii="Bookman Old Style" w:hAnsi="Bookman Old Style"/>
        </w:rPr>
      </w:pPr>
      <w:r w:rsidRPr="00E10F2E">
        <w:rPr>
          <w:rFonts w:ascii="Bookman Old Style" w:hAnsi="Bookman Old Style"/>
        </w:rPr>
        <w:t>a.</w:t>
      </w:r>
      <w:r w:rsidRPr="00E10F2E">
        <w:rPr>
          <w:rFonts w:ascii="Bookman Old Style" w:hAnsi="Bookman Old Style"/>
        </w:rPr>
        <w:tab/>
        <w:t>La certificación de la firma auditora contratada por el ASIC, respecto del inicio de la operación comercial de la</w:t>
      </w:r>
      <w:r w:rsidR="00DC3F1F" w:rsidRPr="00E10F2E">
        <w:rPr>
          <w:rFonts w:ascii="Bookman Old Style" w:hAnsi="Bookman Old Style"/>
        </w:rPr>
        <w:t xml:space="preserve"> infraestructura de importación</w:t>
      </w:r>
      <w:r w:rsidR="00EE0C5F">
        <w:rPr>
          <w:rFonts w:ascii="Bookman Old Style" w:hAnsi="Bookman Old Style"/>
        </w:rPr>
        <w:t>.</w:t>
      </w:r>
      <w:r w:rsidR="00DC3F1F" w:rsidRPr="00E10F2E">
        <w:rPr>
          <w:rFonts w:ascii="Bookman Old Style" w:hAnsi="Bookman Old Style"/>
        </w:rPr>
        <w:t xml:space="preserve"> </w:t>
      </w:r>
    </w:p>
    <w:p w:rsidR="00E35BFD" w:rsidRDefault="00E35BFD" w:rsidP="002F6FC8">
      <w:pPr>
        <w:ind w:left="284" w:hanging="284"/>
        <w:rPr>
          <w:rFonts w:ascii="Bookman Old Style" w:hAnsi="Bookman Old Style"/>
        </w:rPr>
      </w:pPr>
    </w:p>
    <w:p w:rsidR="004B6EDA" w:rsidRPr="00E10F2E" w:rsidRDefault="004B6EDA" w:rsidP="002F6FC8">
      <w:pPr>
        <w:ind w:left="284" w:hanging="284"/>
        <w:rPr>
          <w:rFonts w:ascii="Bookman Old Style" w:hAnsi="Bookman Old Style"/>
        </w:rPr>
      </w:pPr>
    </w:p>
    <w:p w:rsidR="00E35BFD" w:rsidRPr="00E10F2E" w:rsidRDefault="00E35BFD" w:rsidP="009F0467">
      <w:pPr>
        <w:ind w:left="284" w:hanging="284"/>
        <w:jc w:val="both"/>
        <w:rPr>
          <w:rFonts w:ascii="Bookman Old Style" w:hAnsi="Bookman Old Style"/>
        </w:rPr>
      </w:pPr>
      <w:r w:rsidRPr="00E10F2E">
        <w:rPr>
          <w:rFonts w:ascii="Bookman Old Style" w:hAnsi="Bookman Old Style"/>
        </w:rPr>
        <w:t>b.</w:t>
      </w:r>
      <w:r w:rsidRPr="00E10F2E">
        <w:rPr>
          <w:rFonts w:ascii="Bookman Old Style" w:hAnsi="Bookman Old Style"/>
        </w:rPr>
        <w:tab/>
        <w:t xml:space="preserve">Copia de los documentos que acrediten el pago oportuno del valor de la auditoría de que trata </w:t>
      </w:r>
      <w:r w:rsidR="00195686" w:rsidRPr="00273BC2">
        <w:rPr>
          <w:rFonts w:ascii="Bookman Old Style" w:hAnsi="Bookman Old Style"/>
        </w:rPr>
        <w:t>a</w:t>
      </w:r>
      <w:r w:rsidRPr="00273BC2">
        <w:rPr>
          <w:rFonts w:ascii="Bookman Old Style" w:hAnsi="Bookman Old Style"/>
        </w:rPr>
        <w:t>rtículo</w:t>
      </w:r>
      <w:r w:rsidR="00195686" w:rsidRPr="00273BC2">
        <w:rPr>
          <w:rFonts w:ascii="Bookman Old Style" w:hAnsi="Bookman Old Style"/>
        </w:rPr>
        <w:t xml:space="preserve"> 5</w:t>
      </w:r>
      <w:r w:rsidR="008631AB" w:rsidRPr="00273BC2">
        <w:rPr>
          <w:rFonts w:ascii="Bookman Old Style" w:hAnsi="Bookman Old Style"/>
        </w:rPr>
        <w:t xml:space="preserve"> de</w:t>
      </w:r>
      <w:r w:rsidR="008631AB">
        <w:rPr>
          <w:rFonts w:ascii="Bookman Old Style" w:hAnsi="Bookman Old Style"/>
        </w:rPr>
        <w:t xml:space="preserve"> esta resolución</w:t>
      </w:r>
      <w:r w:rsidRPr="00120525">
        <w:rPr>
          <w:rFonts w:ascii="Bookman Old Style" w:hAnsi="Bookman Old Style"/>
        </w:rPr>
        <w:t>, la cual deberá ser presentada ante el ASIC, a más tardar dentro de los cinco (5) días hábiles siguientes a su pago</w:t>
      </w:r>
      <w:r w:rsidRPr="00E10F2E">
        <w:rPr>
          <w:rFonts w:ascii="Bookman Old Style" w:hAnsi="Bookman Old Style"/>
        </w:rPr>
        <w:t xml:space="preserve">. </w:t>
      </w:r>
    </w:p>
    <w:p w:rsidR="00E35BFD" w:rsidRPr="00E10F2E" w:rsidRDefault="00E35BFD" w:rsidP="009F0467">
      <w:pPr>
        <w:ind w:left="284"/>
        <w:rPr>
          <w:rFonts w:ascii="Bookman Old Style" w:hAnsi="Bookman Old Style"/>
        </w:rPr>
      </w:pPr>
    </w:p>
    <w:p w:rsidR="00872918" w:rsidRPr="00E10F2E" w:rsidRDefault="00872918" w:rsidP="009F0467">
      <w:pPr>
        <w:ind w:left="0"/>
        <w:rPr>
          <w:rFonts w:ascii="Bookman Old Style" w:hAnsi="Bookman Old Style"/>
        </w:rPr>
      </w:pPr>
    </w:p>
    <w:p w:rsidR="00B70F36" w:rsidRPr="00E32FF4" w:rsidRDefault="00E32D53" w:rsidP="004B6EDA">
      <w:pPr>
        <w:pStyle w:val="Ttulo1"/>
        <w:jc w:val="both"/>
        <w:rPr>
          <w:rFonts w:ascii="Bookman Old Style" w:hAnsi="Bookman Old Style"/>
        </w:rPr>
      </w:pPr>
      <w:r w:rsidRPr="00E32FF4">
        <w:rPr>
          <w:rFonts w:ascii="Bookman Old Style" w:hAnsi="Bookman Old Style"/>
        </w:rPr>
        <w:t xml:space="preserve"> Vigencia </w:t>
      </w:r>
      <w:r w:rsidR="002F6FC8" w:rsidRPr="00744BE4">
        <w:rPr>
          <w:rFonts w:ascii="Bookman Old Style" w:hAnsi="Bookman Old Style"/>
        </w:rPr>
        <w:t xml:space="preserve">de la garantía. </w:t>
      </w:r>
      <w:r w:rsidRPr="004B6EDA">
        <w:rPr>
          <w:rFonts w:ascii="Bookman Old Style" w:hAnsi="Bookman Old Style"/>
          <w:b w:val="0"/>
        </w:rPr>
        <w:t xml:space="preserve">El </w:t>
      </w:r>
      <w:r w:rsidR="008E6B8C">
        <w:rPr>
          <w:rFonts w:ascii="Bookman Old Style" w:hAnsi="Bookman Old Style"/>
          <w:b w:val="0"/>
        </w:rPr>
        <w:t xml:space="preserve"> o </w:t>
      </w:r>
      <w:r w:rsidR="00425E75">
        <w:rPr>
          <w:rFonts w:ascii="Bookman Old Style" w:hAnsi="Bookman Old Style"/>
          <w:b w:val="0"/>
        </w:rPr>
        <w:t xml:space="preserve"> </w:t>
      </w:r>
      <w:r w:rsidRPr="004B6EDA">
        <w:rPr>
          <w:rFonts w:ascii="Bookman Old Style" w:hAnsi="Bookman Old Style"/>
          <w:b w:val="0"/>
        </w:rPr>
        <w:t>Agente</w:t>
      </w:r>
      <w:r w:rsidR="00425E75">
        <w:rPr>
          <w:rFonts w:ascii="Bookman Old Style" w:hAnsi="Bookman Old Style"/>
          <w:b w:val="0"/>
        </w:rPr>
        <w:t>s</w:t>
      </w:r>
      <w:r w:rsidRPr="004B6EDA">
        <w:rPr>
          <w:rFonts w:ascii="Bookman Old Style" w:hAnsi="Bookman Old Style"/>
          <w:b w:val="0"/>
        </w:rPr>
        <w:t xml:space="preserve"> Generador</w:t>
      </w:r>
      <w:r w:rsidR="00425E75">
        <w:rPr>
          <w:rFonts w:ascii="Bookman Old Style" w:hAnsi="Bookman Old Style"/>
          <w:b w:val="0"/>
        </w:rPr>
        <w:t>es</w:t>
      </w:r>
      <w:r w:rsidRPr="004B6EDA">
        <w:rPr>
          <w:rFonts w:ascii="Bookman Old Style" w:hAnsi="Bookman Old Style"/>
          <w:b w:val="0"/>
        </w:rPr>
        <w:t xml:space="preserve"> deberá</w:t>
      </w:r>
      <w:r w:rsidR="00425E75">
        <w:rPr>
          <w:rFonts w:ascii="Bookman Old Style" w:hAnsi="Bookman Old Style"/>
          <w:b w:val="0"/>
        </w:rPr>
        <w:t>n</w:t>
      </w:r>
      <w:r w:rsidRPr="004B6EDA">
        <w:rPr>
          <w:rFonts w:ascii="Bookman Old Style" w:hAnsi="Bookman Old Style"/>
          <w:b w:val="0"/>
        </w:rPr>
        <w:t xml:space="preserve"> mantener vigentes las garantías constituidas para amparar la</w:t>
      </w:r>
      <w:r w:rsidR="008631AB">
        <w:rPr>
          <w:rFonts w:ascii="Bookman Old Style" w:hAnsi="Bookman Old Style"/>
          <w:b w:val="0"/>
        </w:rPr>
        <w:t>s</w:t>
      </w:r>
      <w:r w:rsidRPr="004B6EDA">
        <w:rPr>
          <w:rFonts w:ascii="Bookman Old Style" w:hAnsi="Bookman Old Style"/>
          <w:b w:val="0"/>
        </w:rPr>
        <w:t xml:space="preserve"> </w:t>
      </w:r>
      <w:r w:rsidR="00EE2C68" w:rsidRPr="004B6EDA">
        <w:rPr>
          <w:rFonts w:ascii="Bookman Old Style" w:hAnsi="Bookman Old Style"/>
          <w:b w:val="0"/>
        </w:rPr>
        <w:t>obl</w:t>
      </w:r>
      <w:r w:rsidR="008631AB" w:rsidRPr="004B6EDA">
        <w:rPr>
          <w:rFonts w:ascii="Bookman Old Style" w:hAnsi="Bookman Old Style"/>
          <w:b w:val="0"/>
        </w:rPr>
        <w:t>igaci</w:t>
      </w:r>
      <w:r w:rsidR="008631AB">
        <w:rPr>
          <w:rFonts w:ascii="Bookman Old Style" w:hAnsi="Bookman Old Style"/>
          <w:b w:val="0"/>
        </w:rPr>
        <w:t xml:space="preserve">ones señaladas en el </w:t>
      </w:r>
      <w:r w:rsidR="00EE2C68" w:rsidRPr="004B6EDA">
        <w:rPr>
          <w:rFonts w:ascii="Bookman Old Style" w:hAnsi="Bookman Old Style"/>
          <w:b w:val="0"/>
        </w:rPr>
        <w:t xml:space="preserve">presente </w:t>
      </w:r>
      <w:r w:rsidR="00261E0D" w:rsidRPr="004B6EDA">
        <w:rPr>
          <w:rFonts w:ascii="Bookman Old Style" w:hAnsi="Bookman Old Style"/>
          <w:b w:val="0"/>
        </w:rPr>
        <w:t>Anexo</w:t>
      </w:r>
      <w:r w:rsidRPr="004B6EDA">
        <w:rPr>
          <w:rFonts w:ascii="Bookman Old Style" w:hAnsi="Bookman Old Style"/>
          <w:b w:val="0"/>
        </w:rPr>
        <w:t xml:space="preserve">, desde la fecha de presentación de la garantía, prevista en </w:t>
      </w:r>
      <w:r w:rsidR="00EE2C68" w:rsidRPr="004B6EDA">
        <w:rPr>
          <w:rFonts w:ascii="Bookman Old Style" w:hAnsi="Bookman Old Style"/>
          <w:b w:val="0"/>
        </w:rPr>
        <w:t xml:space="preserve">esta resolución </w:t>
      </w:r>
      <w:r w:rsidRPr="004B6EDA">
        <w:rPr>
          <w:rFonts w:ascii="Bookman Old Style" w:hAnsi="Bookman Old Style"/>
          <w:b w:val="0"/>
        </w:rPr>
        <w:t xml:space="preserve">y hasta trece (13) meses después de la fecha inicial programada de puesta en operación </w:t>
      </w:r>
      <w:r w:rsidR="00B70F36" w:rsidRPr="004B6EDA">
        <w:rPr>
          <w:rFonts w:ascii="Bookman Old Style" w:hAnsi="Bookman Old Style"/>
          <w:b w:val="0"/>
        </w:rPr>
        <w:t xml:space="preserve">de la infraestructura de </w:t>
      </w:r>
      <w:r w:rsidR="00261E0D">
        <w:rPr>
          <w:rFonts w:ascii="Bookman Old Style" w:hAnsi="Bookman Old Style"/>
          <w:b w:val="0"/>
        </w:rPr>
        <w:t>importación</w:t>
      </w:r>
      <w:r w:rsidRPr="004B6EDA">
        <w:rPr>
          <w:rFonts w:ascii="Bookman Old Style" w:hAnsi="Bookman Old Style"/>
          <w:b w:val="0"/>
        </w:rPr>
        <w:t xml:space="preserve">, </w:t>
      </w:r>
      <w:r w:rsidR="00B70F36" w:rsidRPr="004B6EDA">
        <w:rPr>
          <w:rFonts w:ascii="Bookman Old Style" w:hAnsi="Bookman Old Style"/>
          <w:b w:val="0"/>
        </w:rPr>
        <w:t xml:space="preserve">según lo declarado en </w:t>
      </w:r>
      <w:r w:rsidRPr="004B6EDA">
        <w:rPr>
          <w:rFonts w:ascii="Bookman Old Style" w:hAnsi="Bookman Old Style"/>
          <w:b w:val="0"/>
        </w:rPr>
        <w:t xml:space="preserve"> el cronograma de construcción. </w:t>
      </w:r>
    </w:p>
    <w:p w:rsidR="00B70F36" w:rsidRPr="004B6EDA" w:rsidRDefault="00B70F36" w:rsidP="00E32D53">
      <w:pPr>
        <w:ind w:left="0"/>
        <w:jc w:val="both"/>
        <w:rPr>
          <w:rFonts w:ascii="Bookman Old Style" w:hAnsi="Bookman Old Style"/>
          <w:lang w:val="es-CO"/>
        </w:rPr>
      </w:pPr>
    </w:p>
    <w:p w:rsidR="00E32D53" w:rsidRPr="00273BC2" w:rsidRDefault="00290584" w:rsidP="009F0467">
      <w:pPr>
        <w:ind w:left="0"/>
        <w:jc w:val="both"/>
        <w:rPr>
          <w:rFonts w:ascii="Bookman Old Style" w:hAnsi="Bookman Old Style"/>
        </w:rPr>
      </w:pPr>
      <w:r w:rsidRPr="00120525">
        <w:rPr>
          <w:rFonts w:ascii="Bookman Old Style" w:hAnsi="Bookman Old Style"/>
        </w:rPr>
        <w:t xml:space="preserve">En el evento en que, de acuerdo con la información entregada por el </w:t>
      </w:r>
      <w:r w:rsidR="00261E0D" w:rsidRPr="00273BC2">
        <w:rPr>
          <w:rFonts w:ascii="Bookman Old Style" w:hAnsi="Bookman Old Style"/>
        </w:rPr>
        <w:t>auditor</w:t>
      </w:r>
      <w:r w:rsidRPr="00273BC2">
        <w:rPr>
          <w:rFonts w:ascii="Bookman Old Style" w:hAnsi="Bookman Old Style"/>
        </w:rPr>
        <w:t xml:space="preserve">, se prevea que la fecha de inicio de </w:t>
      </w:r>
      <w:r w:rsidR="007E5998" w:rsidRPr="00E10F2E">
        <w:rPr>
          <w:rFonts w:ascii="Bookman Old Style" w:hAnsi="Bookman Old Style"/>
        </w:rPr>
        <w:t xml:space="preserve">puesta en </w:t>
      </w:r>
      <w:r w:rsidRPr="00E10F2E">
        <w:rPr>
          <w:rFonts w:ascii="Bookman Old Style" w:hAnsi="Bookman Old Style"/>
        </w:rPr>
        <w:t xml:space="preserve">operación </w:t>
      </w:r>
      <w:r w:rsidR="007E5998" w:rsidRPr="00E10F2E">
        <w:rPr>
          <w:rFonts w:ascii="Bookman Old Style" w:hAnsi="Bookman Old Style"/>
        </w:rPr>
        <w:t xml:space="preserve">de la infraestructura de importación </w:t>
      </w:r>
      <w:r w:rsidRPr="00E10F2E">
        <w:rPr>
          <w:rFonts w:ascii="Bookman Old Style" w:hAnsi="Bookman Old Style"/>
        </w:rPr>
        <w:t xml:space="preserve">sea posterior a la fecha inicial de que trata el inciso anterior, el </w:t>
      </w:r>
      <w:r w:rsidR="008E6B8C">
        <w:rPr>
          <w:rFonts w:ascii="Bookman Old Style" w:hAnsi="Bookman Old Style"/>
        </w:rPr>
        <w:t xml:space="preserve">o </w:t>
      </w:r>
      <w:r w:rsidR="00425E75">
        <w:rPr>
          <w:rFonts w:ascii="Bookman Old Style" w:hAnsi="Bookman Old Style"/>
        </w:rPr>
        <w:t xml:space="preserve">los </w:t>
      </w:r>
      <w:r w:rsidR="007E5998" w:rsidRPr="00E10F2E">
        <w:rPr>
          <w:rFonts w:ascii="Bookman Old Style" w:hAnsi="Bookman Old Style"/>
        </w:rPr>
        <w:t>agente</w:t>
      </w:r>
      <w:r w:rsidR="00425E75">
        <w:rPr>
          <w:rFonts w:ascii="Bookman Old Style" w:hAnsi="Bookman Old Style"/>
        </w:rPr>
        <w:t>s</w:t>
      </w:r>
      <w:r w:rsidR="007E5998" w:rsidRPr="00E10F2E">
        <w:rPr>
          <w:rFonts w:ascii="Bookman Old Style" w:hAnsi="Bookman Old Style"/>
        </w:rPr>
        <w:t xml:space="preserve"> generador</w:t>
      </w:r>
      <w:r w:rsidR="00425E75">
        <w:rPr>
          <w:rFonts w:ascii="Bookman Old Style" w:hAnsi="Bookman Old Style"/>
        </w:rPr>
        <w:t>es</w:t>
      </w:r>
      <w:r w:rsidR="007E5998" w:rsidRPr="00E10F2E">
        <w:rPr>
          <w:rFonts w:ascii="Bookman Old Style" w:hAnsi="Bookman Old Style"/>
        </w:rPr>
        <w:t xml:space="preserve"> </w:t>
      </w:r>
      <w:r w:rsidRPr="00E10F2E">
        <w:rPr>
          <w:rFonts w:ascii="Bookman Old Style" w:hAnsi="Bookman Old Style"/>
        </w:rPr>
        <w:t>deberá</w:t>
      </w:r>
      <w:r w:rsidR="00425E75">
        <w:rPr>
          <w:rFonts w:ascii="Bookman Old Style" w:hAnsi="Bookman Old Style"/>
        </w:rPr>
        <w:t>n</w:t>
      </w:r>
      <w:r w:rsidRPr="00E10F2E">
        <w:rPr>
          <w:rFonts w:ascii="Bookman Old Style" w:hAnsi="Bookman Old Style"/>
        </w:rPr>
        <w:t xml:space="preserve"> mantener vigente la garantía hasta trece (13) meses después de la nueva fecha de </w:t>
      </w:r>
      <w:r w:rsidR="007E5998" w:rsidRPr="00E10F2E">
        <w:rPr>
          <w:rFonts w:ascii="Bookman Old Style" w:hAnsi="Bookman Old Style"/>
        </w:rPr>
        <w:t xml:space="preserve">puesta en </w:t>
      </w:r>
      <w:r w:rsidRPr="00E10F2E">
        <w:rPr>
          <w:rFonts w:ascii="Bookman Old Style" w:hAnsi="Bookman Old Style"/>
        </w:rPr>
        <w:t xml:space="preserve">operación </w:t>
      </w:r>
      <w:r w:rsidR="007E5998" w:rsidRPr="00E10F2E">
        <w:rPr>
          <w:rFonts w:ascii="Bookman Old Style" w:hAnsi="Bookman Old Style"/>
        </w:rPr>
        <w:t>de la infraestructura</w:t>
      </w:r>
      <w:r w:rsidR="00261E0D">
        <w:rPr>
          <w:rFonts w:ascii="Bookman Old Style" w:hAnsi="Bookman Old Style"/>
        </w:rPr>
        <w:t xml:space="preserve"> de importación</w:t>
      </w:r>
      <w:r w:rsidRPr="00120525">
        <w:rPr>
          <w:rFonts w:ascii="Bookman Old Style" w:hAnsi="Bookman Old Style"/>
        </w:rPr>
        <w:t>.</w:t>
      </w:r>
    </w:p>
    <w:p w:rsidR="00E32D53" w:rsidRPr="00E10F2E" w:rsidRDefault="00E32D53" w:rsidP="00772D44">
      <w:pPr>
        <w:ind w:left="284"/>
        <w:jc w:val="both"/>
        <w:rPr>
          <w:rFonts w:ascii="Bookman Old Style" w:hAnsi="Bookman Old Style"/>
        </w:rPr>
      </w:pPr>
    </w:p>
    <w:p w:rsidR="00E32D53" w:rsidRPr="00273BC2" w:rsidRDefault="00E32D53" w:rsidP="009F0467">
      <w:pPr>
        <w:ind w:left="0"/>
        <w:jc w:val="both"/>
        <w:rPr>
          <w:rFonts w:ascii="Bookman Old Style" w:hAnsi="Bookman Old Style"/>
        </w:rPr>
      </w:pPr>
      <w:r w:rsidRPr="00E10F2E">
        <w:rPr>
          <w:rFonts w:ascii="Bookman Old Style" w:hAnsi="Bookman Old Style"/>
        </w:rPr>
        <w:t xml:space="preserve">La reposición o ajuste de la garantía deberá ser realizada de acuerdo con lo establecido en el </w:t>
      </w:r>
      <w:r w:rsidR="00813D34" w:rsidRPr="00273BC2">
        <w:rPr>
          <w:rFonts w:ascii="Bookman Old Style" w:hAnsi="Bookman Old Style"/>
        </w:rPr>
        <w:t xml:space="preserve">artículo </w:t>
      </w:r>
      <w:r w:rsidR="008631AB" w:rsidRPr="004B6EDA">
        <w:rPr>
          <w:rFonts w:ascii="Bookman Old Style" w:hAnsi="Bookman Old Style"/>
        </w:rPr>
        <w:t>8</w:t>
      </w:r>
      <w:r w:rsidR="00813D34" w:rsidRPr="00273BC2">
        <w:rPr>
          <w:rFonts w:ascii="Bookman Old Style" w:hAnsi="Bookman Old Style"/>
        </w:rPr>
        <w:t xml:space="preserve"> de este Anexo</w:t>
      </w:r>
      <w:r w:rsidRPr="00273BC2">
        <w:rPr>
          <w:rFonts w:ascii="Bookman Old Style" w:hAnsi="Bookman Old Style"/>
        </w:rPr>
        <w:t>.</w:t>
      </w:r>
    </w:p>
    <w:p w:rsidR="00E32D53" w:rsidRPr="00E10F2E" w:rsidRDefault="00E32D53" w:rsidP="00E32D53">
      <w:pPr>
        <w:ind w:left="0"/>
        <w:jc w:val="both"/>
        <w:rPr>
          <w:rFonts w:ascii="Bookman Old Style" w:hAnsi="Bookman Old Style"/>
        </w:rPr>
      </w:pPr>
    </w:p>
    <w:p w:rsidR="00CC326D" w:rsidRPr="00E32FF4" w:rsidRDefault="00E32D53" w:rsidP="004B6EDA">
      <w:pPr>
        <w:pStyle w:val="Ttulo1"/>
        <w:jc w:val="both"/>
        <w:rPr>
          <w:rFonts w:ascii="Bookman Old Style" w:hAnsi="Bookman Old Style"/>
        </w:rPr>
      </w:pPr>
      <w:r w:rsidRPr="00E32FF4">
        <w:rPr>
          <w:rFonts w:ascii="Bookman Old Style" w:hAnsi="Bookman Old Style"/>
        </w:rPr>
        <w:t>Eventos de incumplimiento</w:t>
      </w:r>
      <w:r w:rsidR="00CC326D" w:rsidRPr="00744BE4">
        <w:rPr>
          <w:rFonts w:ascii="Bookman Old Style" w:hAnsi="Bookman Old Style"/>
        </w:rPr>
        <w:t>:</w:t>
      </w:r>
      <w:r w:rsidRPr="00425E75">
        <w:rPr>
          <w:rFonts w:ascii="Bookman Old Style" w:hAnsi="Bookman Old Style"/>
        </w:rPr>
        <w:t xml:space="preserve"> </w:t>
      </w:r>
      <w:r w:rsidR="00CC326D" w:rsidRPr="004B6EDA">
        <w:rPr>
          <w:rFonts w:ascii="Bookman Old Style" w:hAnsi="Bookman Old Style"/>
          <w:b w:val="0"/>
        </w:rPr>
        <w:t>Constituyen eventos de incumplimiento grave e insalvable los siguientes:</w:t>
      </w:r>
    </w:p>
    <w:p w:rsidR="000811C2" w:rsidRPr="00E10F2E" w:rsidRDefault="000811C2" w:rsidP="00C32CB6">
      <w:pPr>
        <w:ind w:left="0"/>
        <w:jc w:val="both"/>
        <w:rPr>
          <w:rFonts w:ascii="Bookman Old Style" w:hAnsi="Bookman Old Style"/>
        </w:rPr>
      </w:pPr>
    </w:p>
    <w:p w:rsidR="00CC326D" w:rsidRPr="00E10F2E" w:rsidRDefault="00CC326D" w:rsidP="009F0467">
      <w:pPr>
        <w:pStyle w:val="Prrafodelista"/>
        <w:widowControl w:val="0"/>
        <w:numPr>
          <w:ilvl w:val="1"/>
          <w:numId w:val="31"/>
        </w:numPr>
        <w:tabs>
          <w:tab w:val="left" w:pos="284"/>
        </w:tabs>
        <w:adjustRightInd w:val="0"/>
        <w:ind w:left="0" w:firstLine="0"/>
        <w:jc w:val="both"/>
        <w:textAlignment w:val="baseline"/>
        <w:rPr>
          <w:rFonts w:ascii="Bookman Old Style" w:hAnsi="Bookman Old Style"/>
          <w:sz w:val="24"/>
          <w:szCs w:val="24"/>
        </w:rPr>
      </w:pPr>
      <w:r w:rsidRPr="00120525">
        <w:rPr>
          <w:rFonts w:ascii="Bookman Old Style" w:hAnsi="Bookman Old Style"/>
          <w:sz w:val="24"/>
          <w:szCs w:val="24"/>
        </w:rPr>
        <w:t xml:space="preserve">Incumplimiento Calificado de Cronograma que implique que la puesta en operación de </w:t>
      </w:r>
      <w:r w:rsidRPr="00E10F2E">
        <w:rPr>
          <w:rFonts w:ascii="Bookman Old Style" w:hAnsi="Bookman Old Style"/>
          <w:sz w:val="24"/>
          <w:szCs w:val="24"/>
        </w:rPr>
        <w:t xml:space="preserve">la infraestructura de </w:t>
      </w:r>
      <w:r w:rsidR="00600C7D" w:rsidRPr="00E10F2E">
        <w:rPr>
          <w:rFonts w:ascii="Bookman Old Style" w:hAnsi="Bookman Old Style"/>
          <w:sz w:val="24"/>
          <w:szCs w:val="24"/>
        </w:rPr>
        <w:t>importación</w:t>
      </w:r>
      <w:r w:rsidRPr="00E10F2E">
        <w:rPr>
          <w:rFonts w:ascii="Bookman Old Style" w:hAnsi="Bookman Old Style"/>
          <w:sz w:val="24"/>
          <w:szCs w:val="24"/>
        </w:rPr>
        <w:t xml:space="preserve"> ocurrirá en un plazo superior a un (1) año contado a partir del IPVO.</w:t>
      </w:r>
    </w:p>
    <w:p w:rsidR="00CC326D" w:rsidRPr="00E10F2E" w:rsidRDefault="00CC326D" w:rsidP="000811C2">
      <w:pPr>
        <w:widowControl w:val="0"/>
        <w:adjustRightInd w:val="0"/>
        <w:ind w:left="0"/>
        <w:textAlignment w:val="baseline"/>
        <w:rPr>
          <w:rFonts w:ascii="Bookman Old Style" w:hAnsi="Bookman Old Style"/>
        </w:rPr>
      </w:pPr>
    </w:p>
    <w:p w:rsidR="00CC326D" w:rsidRPr="00E10F2E" w:rsidRDefault="00CC326D" w:rsidP="009F0467">
      <w:pPr>
        <w:pStyle w:val="Prrafodelista"/>
        <w:widowControl w:val="0"/>
        <w:numPr>
          <w:ilvl w:val="1"/>
          <w:numId w:val="31"/>
        </w:numPr>
        <w:tabs>
          <w:tab w:val="left" w:pos="284"/>
        </w:tabs>
        <w:adjustRightInd w:val="0"/>
        <w:ind w:left="0" w:firstLine="0"/>
        <w:jc w:val="both"/>
        <w:textAlignment w:val="baseline"/>
        <w:rPr>
          <w:rFonts w:ascii="Bookman Old Style" w:hAnsi="Bookman Old Style"/>
          <w:sz w:val="24"/>
          <w:szCs w:val="24"/>
        </w:rPr>
      </w:pPr>
      <w:r w:rsidRPr="00E10F2E">
        <w:rPr>
          <w:rFonts w:ascii="Bookman Old Style" w:hAnsi="Bookman Old Style"/>
          <w:sz w:val="24"/>
          <w:szCs w:val="24"/>
        </w:rPr>
        <w:t xml:space="preserve">Incumplimiento Calificado de Cronograma, que implique que la puesta en operación </w:t>
      </w:r>
      <w:r w:rsidR="00600C7D" w:rsidRPr="00E10F2E">
        <w:rPr>
          <w:rFonts w:ascii="Bookman Old Style" w:hAnsi="Bookman Old Style"/>
          <w:sz w:val="24"/>
          <w:szCs w:val="24"/>
        </w:rPr>
        <w:t>de la infraestructura de importación</w:t>
      </w:r>
      <w:r w:rsidRPr="00E10F2E">
        <w:rPr>
          <w:rFonts w:ascii="Bookman Old Style" w:hAnsi="Bookman Old Style"/>
          <w:sz w:val="24"/>
          <w:szCs w:val="24"/>
        </w:rPr>
        <w:t xml:space="preserve"> ocurrirá en un plazo inferior a un (1) año, contado a partir del IPVO, y el</w:t>
      </w:r>
      <w:r w:rsidR="00251089">
        <w:rPr>
          <w:rFonts w:ascii="Bookman Old Style" w:hAnsi="Bookman Old Style"/>
          <w:sz w:val="24"/>
          <w:szCs w:val="24"/>
        </w:rPr>
        <w:t xml:space="preserve"> o </w:t>
      </w:r>
      <w:r w:rsidR="00425E75">
        <w:rPr>
          <w:rFonts w:ascii="Bookman Old Style" w:hAnsi="Bookman Old Style"/>
          <w:sz w:val="24"/>
          <w:szCs w:val="24"/>
        </w:rPr>
        <w:t>los</w:t>
      </w:r>
      <w:r w:rsidRPr="00E10F2E">
        <w:rPr>
          <w:rFonts w:ascii="Bookman Old Style" w:hAnsi="Bookman Old Style"/>
          <w:sz w:val="24"/>
          <w:szCs w:val="24"/>
        </w:rPr>
        <w:t xml:space="preserve"> Agente</w:t>
      </w:r>
      <w:r w:rsidR="00425E75">
        <w:rPr>
          <w:rFonts w:ascii="Bookman Old Style" w:hAnsi="Bookman Old Style"/>
          <w:sz w:val="24"/>
          <w:szCs w:val="24"/>
        </w:rPr>
        <w:t>s</w:t>
      </w:r>
      <w:r w:rsidRPr="00E10F2E">
        <w:rPr>
          <w:rFonts w:ascii="Bookman Old Style" w:hAnsi="Bookman Old Style"/>
          <w:sz w:val="24"/>
          <w:szCs w:val="24"/>
        </w:rPr>
        <w:t xml:space="preserve"> Generador</w:t>
      </w:r>
      <w:r w:rsidR="00425E75">
        <w:rPr>
          <w:rFonts w:ascii="Bookman Old Style" w:hAnsi="Bookman Old Style"/>
          <w:sz w:val="24"/>
          <w:szCs w:val="24"/>
        </w:rPr>
        <w:t>es</w:t>
      </w:r>
      <w:r w:rsidR="00251089">
        <w:rPr>
          <w:rFonts w:ascii="Bookman Old Style" w:hAnsi="Bookman Old Style"/>
          <w:sz w:val="24"/>
          <w:szCs w:val="24"/>
        </w:rPr>
        <w:t xml:space="preserve"> </w:t>
      </w:r>
      <w:r w:rsidR="00600C7D" w:rsidRPr="00E10F2E">
        <w:rPr>
          <w:rFonts w:ascii="Bookman Old Style" w:hAnsi="Bookman Old Style"/>
          <w:sz w:val="24"/>
          <w:szCs w:val="24"/>
        </w:rPr>
        <w:t>no garantice</w:t>
      </w:r>
      <w:r w:rsidR="00425E75">
        <w:rPr>
          <w:rFonts w:ascii="Bookman Old Style" w:hAnsi="Bookman Old Style"/>
          <w:sz w:val="24"/>
          <w:szCs w:val="24"/>
        </w:rPr>
        <w:t>n</w:t>
      </w:r>
      <w:r w:rsidRPr="00E10F2E">
        <w:rPr>
          <w:rFonts w:ascii="Bookman Old Style" w:hAnsi="Bookman Old Style"/>
          <w:sz w:val="24"/>
          <w:szCs w:val="24"/>
        </w:rPr>
        <w:t xml:space="preserve"> el cumplimiento de la Obligación de Energía Firme </w:t>
      </w:r>
      <w:r w:rsidR="00600C7D" w:rsidRPr="00E10F2E">
        <w:rPr>
          <w:rFonts w:ascii="Bookman Old Style" w:hAnsi="Bookman Old Style"/>
          <w:sz w:val="24"/>
          <w:szCs w:val="24"/>
        </w:rPr>
        <w:t>mediante uno de los anillos de seguridad</w:t>
      </w:r>
      <w:r w:rsidRPr="00E10F2E">
        <w:rPr>
          <w:rFonts w:ascii="Bookman Old Style" w:hAnsi="Bookman Old Style"/>
          <w:sz w:val="24"/>
          <w:szCs w:val="24"/>
        </w:rPr>
        <w:t xml:space="preserve">. </w:t>
      </w:r>
    </w:p>
    <w:p w:rsidR="00CC326D" w:rsidRPr="00E10F2E" w:rsidRDefault="00CC326D" w:rsidP="000811C2">
      <w:pPr>
        <w:widowControl w:val="0"/>
        <w:adjustRightInd w:val="0"/>
        <w:ind w:left="0"/>
        <w:textAlignment w:val="baseline"/>
        <w:rPr>
          <w:rFonts w:ascii="Bookman Old Style" w:hAnsi="Bookman Old Style"/>
        </w:rPr>
      </w:pPr>
    </w:p>
    <w:p w:rsidR="00CC326D" w:rsidRPr="00E10F2E" w:rsidRDefault="00CC326D" w:rsidP="009F0467">
      <w:pPr>
        <w:pStyle w:val="Prrafodelista"/>
        <w:widowControl w:val="0"/>
        <w:numPr>
          <w:ilvl w:val="1"/>
          <w:numId w:val="31"/>
        </w:numPr>
        <w:tabs>
          <w:tab w:val="left" w:pos="284"/>
        </w:tabs>
        <w:adjustRightInd w:val="0"/>
        <w:ind w:left="0" w:firstLine="0"/>
        <w:jc w:val="both"/>
        <w:textAlignment w:val="baseline"/>
        <w:rPr>
          <w:rFonts w:ascii="Bookman Old Style" w:hAnsi="Bookman Old Style"/>
          <w:sz w:val="24"/>
          <w:szCs w:val="24"/>
        </w:rPr>
      </w:pPr>
      <w:r w:rsidRPr="00E10F2E">
        <w:rPr>
          <w:rFonts w:ascii="Bookman Old Style" w:hAnsi="Bookman Old Style"/>
          <w:sz w:val="24"/>
          <w:szCs w:val="24"/>
        </w:rPr>
        <w:t xml:space="preserve">Puesta en operación de la </w:t>
      </w:r>
      <w:r w:rsidR="00600C7D" w:rsidRPr="00E10F2E">
        <w:rPr>
          <w:rFonts w:ascii="Bookman Old Style" w:hAnsi="Bookman Old Style"/>
          <w:sz w:val="24"/>
          <w:szCs w:val="24"/>
        </w:rPr>
        <w:t xml:space="preserve">infraestructura de importación </w:t>
      </w:r>
      <w:r w:rsidRPr="00E10F2E">
        <w:rPr>
          <w:rFonts w:ascii="Bookman Old Style" w:hAnsi="Bookman Old Style"/>
          <w:sz w:val="24"/>
          <w:szCs w:val="24"/>
        </w:rPr>
        <w:t xml:space="preserve">con una </w:t>
      </w:r>
      <w:r w:rsidR="00600C7D" w:rsidRPr="00E10F2E">
        <w:rPr>
          <w:rFonts w:ascii="Bookman Old Style" w:hAnsi="Bookman Old Style"/>
          <w:sz w:val="24"/>
          <w:szCs w:val="24"/>
        </w:rPr>
        <w:t xml:space="preserve">capacidad de importación </w:t>
      </w:r>
      <w:r w:rsidRPr="00E10F2E">
        <w:rPr>
          <w:rFonts w:ascii="Bookman Old Style" w:hAnsi="Bookman Old Style"/>
          <w:sz w:val="24"/>
          <w:szCs w:val="24"/>
        </w:rPr>
        <w:t xml:space="preserve">inferior a la </w:t>
      </w:r>
      <w:r w:rsidR="00200509" w:rsidRPr="00E10F2E">
        <w:rPr>
          <w:rFonts w:ascii="Bookman Old Style" w:hAnsi="Bookman Old Style"/>
          <w:sz w:val="24"/>
          <w:szCs w:val="24"/>
        </w:rPr>
        <w:t xml:space="preserve">requerida para respaldar la </w:t>
      </w:r>
      <w:r w:rsidRPr="00E10F2E">
        <w:rPr>
          <w:rFonts w:ascii="Bookman Old Style" w:hAnsi="Bookman Old Style"/>
          <w:sz w:val="24"/>
          <w:szCs w:val="24"/>
        </w:rPr>
        <w:t>Obligación de Energía Firme asignada</w:t>
      </w:r>
      <w:r w:rsidR="00200509" w:rsidRPr="00E10F2E">
        <w:rPr>
          <w:rFonts w:ascii="Bookman Old Style" w:hAnsi="Bookman Old Style"/>
          <w:sz w:val="24"/>
          <w:szCs w:val="24"/>
        </w:rPr>
        <w:t>.</w:t>
      </w:r>
    </w:p>
    <w:p w:rsidR="00CC326D" w:rsidRPr="00E10F2E" w:rsidRDefault="00CC326D" w:rsidP="000811C2">
      <w:pPr>
        <w:widowControl w:val="0"/>
        <w:adjustRightInd w:val="0"/>
        <w:ind w:left="0"/>
        <w:textAlignment w:val="baseline"/>
        <w:rPr>
          <w:rFonts w:ascii="Bookman Old Style" w:hAnsi="Bookman Old Style"/>
        </w:rPr>
      </w:pPr>
    </w:p>
    <w:p w:rsidR="00CC326D" w:rsidRPr="004B6EDA" w:rsidRDefault="00CC326D" w:rsidP="009F0467">
      <w:pPr>
        <w:pStyle w:val="Prrafodelista"/>
        <w:widowControl w:val="0"/>
        <w:numPr>
          <w:ilvl w:val="1"/>
          <w:numId w:val="31"/>
        </w:numPr>
        <w:tabs>
          <w:tab w:val="left" w:pos="284"/>
        </w:tabs>
        <w:adjustRightInd w:val="0"/>
        <w:ind w:left="0" w:firstLine="0"/>
        <w:jc w:val="both"/>
        <w:textAlignment w:val="baseline"/>
        <w:rPr>
          <w:rFonts w:ascii="Bookman Old Style" w:hAnsi="Bookman Old Style"/>
          <w:sz w:val="24"/>
          <w:szCs w:val="24"/>
        </w:rPr>
      </w:pPr>
      <w:r w:rsidRPr="004B6EDA">
        <w:rPr>
          <w:rFonts w:ascii="Bookman Old Style" w:hAnsi="Bookman Old Style"/>
          <w:sz w:val="24"/>
          <w:szCs w:val="24"/>
        </w:rPr>
        <w:t>El</w:t>
      </w:r>
      <w:r w:rsidR="00E56CAD" w:rsidRPr="004B6EDA">
        <w:rPr>
          <w:rFonts w:ascii="Bookman Old Style" w:hAnsi="Bookman Old Style"/>
          <w:sz w:val="24"/>
          <w:szCs w:val="24"/>
        </w:rPr>
        <w:t xml:space="preserve"> o</w:t>
      </w:r>
      <w:r w:rsidRPr="004B6EDA">
        <w:rPr>
          <w:rFonts w:ascii="Bookman Old Style" w:hAnsi="Bookman Old Style"/>
          <w:sz w:val="24"/>
          <w:szCs w:val="24"/>
        </w:rPr>
        <w:t xml:space="preserve"> </w:t>
      </w:r>
      <w:r w:rsidR="00425E75" w:rsidRPr="004B6EDA">
        <w:rPr>
          <w:rFonts w:ascii="Bookman Old Style" w:hAnsi="Bookman Old Style"/>
          <w:sz w:val="24"/>
          <w:szCs w:val="24"/>
        </w:rPr>
        <w:t xml:space="preserve">los </w:t>
      </w:r>
      <w:r w:rsidRPr="004B6EDA">
        <w:rPr>
          <w:rFonts w:ascii="Bookman Old Style" w:hAnsi="Bookman Old Style"/>
          <w:sz w:val="24"/>
          <w:szCs w:val="24"/>
        </w:rPr>
        <w:t>Agente</w:t>
      </w:r>
      <w:r w:rsidR="00425E75" w:rsidRPr="004B6EDA">
        <w:rPr>
          <w:rFonts w:ascii="Bookman Old Style" w:hAnsi="Bookman Old Style"/>
          <w:sz w:val="24"/>
          <w:szCs w:val="24"/>
        </w:rPr>
        <w:t>s</w:t>
      </w:r>
      <w:r w:rsidRPr="004B6EDA">
        <w:rPr>
          <w:rFonts w:ascii="Bookman Old Style" w:hAnsi="Bookman Old Style"/>
          <w:sz w:val="24"/>
          <w:szCs w:val="24"/>
        </w:rPr>
        <w:t xml:space="preserve"> Generador</w:t>
      </w:r>
      <w:r w:rsidR="00425E75" w:rsidRPr="004B6EDA">
        <w:rPr>
          <w:rFonts w:ascii="Bookman Old Style" w:hAnsi="Bookman Old Style"/>
          <w:sz w:val="24"/>
          <w:szCs w:val="24"/>
        </w:rPr>
        <w:t>es</w:t>
      </w:r>
      <w:r w:rsidRPr="004B6EDA">
        <w:rPr>
          <w:rFonts w:ascii="Bookman Old Style" w:hAnsi="Bookman Old Style"/>
          <w:sz w:val="24"/>
          <w:szCs w:val="24"/>
        </w:rPr>
        <w:t xml:space="preserve"> no acredit</w:t>
      </w:r>
      <w:r w:rsidR="00261E0D" w:rsidRPr="004B6EDA">
        <w:rPr>
          <w:rFonts w:ascii="Bookman Old Style" w:hAnsi="Bookman Old Style"/>
          <w:sz w:val="24"/>
          <w:szCs w:val="24"/>
        </w:rPr>
        <w:t>e</w:t>
      </w:r>
      <w:r w:rsidRPr="004B6EDA">
        <w:rPr>
          <w:rFonts w:ascii="Bookman Old Style" w:hAnsi="Bookman Old Style"/>
          <w:sz w:val="24"/>
          <w:szCs w:val="24"/>
        </w:rPr>
        <w:t xml:space="preserve"> ante la </w:t>
      </w:r>
      <w:r w:rsidR="00F30DB4" w:rsidRPr="004B6EDA">
        <w:rPr>
          <w:rFonts w:ascii="Bookman Old Style" w:hAnsi="Bookman Old Style"/>
          <w:sz w:val="24"/>
          <w:szCs w:val="24"/>
        </w:rPr>
        <w:t>ASIC</w:t>
      </w:r>
      <w:r w:rsidRPr="004B6EDA">
        <w:rPr>
          <w:rFonts w:ascii="Bookman Old Style" w:hAnsi="Bookman Old Style"/>
          <w:sz w:val="24"/>
          <w:szCs w:val="24"/>
        </w:rPr>
        <w:t xml:space="preserve"> el ajuste o reposición de las garantías conforme a lo establecido en </w:t>
      </w:r>
      <w:r w:rsidR="00600C7D" w:rsidRPr="004B6EDA">
        <w:rPr>
          <w:rFonts w:ascii="Bookman Old Style" w:hAnsi="Bookman Old Style"/>
          <w:sz w:val="24"/>
          <w:szCs w:val="24"/>
        </w:rPr>
        <w:t>est</w:t>
      </w:r>
      <w:r w:rsidR="00F30DB4" w:rsidRPr="004B6EDA">
        <w:rPr>
          <w:rFonts w:ascii="Bookman Old Style" w:hAnsi="Bookman Old Style"/>
          <w:sz w:val="24"/>
          <w:szCs w:val="24"/>
        </w:rPr>
        <w:t>e Anexo</w:t>
      </w:r>
      <w:r w:rsidRPr="004B6EDA">
        <w:rPr>
          <w:rFonts w:ascii="Bookman Old Style" w:hAnsi="Bookman Old Style"/>
          <w:sz w:val="24"/>
          <w:szCs w:val="24"/>
        </w:rPr>
        <w:t>.</w:t>
      </w:r>
    </w:p>
    <w:p w:rsidR="00CC326D" w:rsidRPr="00E10F2E" w:rsidRDefault="00CC326D" w:rsidP="000811C2">
      <w:pPr>
        <w:pStyle w:val="Prrafodelista"/>
        <w:widowControl w:val="0"/>
        <w:adjustRightInd w:val="0"/>
        <w:ind w:left="0"/>
        <w:jc w:val="both"/>
        <w:textAlignment w:val="baseline"/>
        <w:rPr>
          <w:rFonts w:ascii="Bookman Old Style" w:hAnsi="Bookman Old Style"/>
          <w:sz w:val="24"/>
          <w:szCs w:val="24"/>
        </w:rPr>
      </w:pPr>
    </w:p>
    <w:p w:rsidR="00CC326D" w:rsidRPr="00E10F2E" w:rsidRDefault="00CC326D" w:rsidP="009F0467">
      <w:pPr>
        <w:pStyle w:val="Prrafodelista"/>
        <w:widowControl w:val="0"/>
        <w:numPr>
          <w:ilvl w:val="1"/>
          <w:numId w:val="31"/>
        </w:numPr>
        <w:tabs>
          <w:tab w:val="left" w:pos="284"/>
        </w:tabs>
        <w:adjustRightInd w:val="0"/>
        <w:ind w:left="0" w:firstLine="0"/>
        <w:jc w:val="both"/>
        <w:textAlignment w:val="baseline"/>
        <w:rPr>
          <w:rFonts w:ascii="Bookman Old Style" w:hAnsi="Bookman Old Style"/>
          <w:sz w:val="24"/>
          <w:szCs w:val="24"/>
        </w:rPr>
      </w:pPr>
      <w:r w:rsidRPr="00E10F2E">
        <w:rPr>
          <w:rFonts w:ascii="Bookman Old Style" w:hAnsi="Bookman Old Style"/>
          <w:sz w:val="24"/>
          <w:szCs w:val="24"/>
        </w:rPr>
        <w:t xml:space="preserve">El </w:t>
      </w:r>
      <w:r w:rsidR="00E56CAD">
        <w:rPr>
          <w:rFonts w:ascii="Bookman Old Style" w:hAnsi="Bookman Old Style"/>
          <w:sz w:val="24"/>
          <w:szCs w:val="24"/>
        </w:rPr>
        <w:t xml:space="preserve">o </w:t>
      </w:r>
      <w:r w:rsidR="007148F7">
        <w:rPr>
          <w:rFonts w:ascii="Bookman Old Style" w:hAnsi="Bookman Old Style"/>
          <w:sz w:val="24"/>
          <w:szCs w:val="24"/>
        </w:rPr>
        <w:t xml:space="preserve">los </w:t>
      </w:r>
      <w:r w:rsidRPr="00E10F2E">
        <w:rPr>
          <w:rFonts w:ascii="Bookman Old Style" w:hAnsi="Bookman Old Style"/>
          <w:sz w:val="24"/>
          <w:szCs w:val="24"/>
        </w:rPr>
        <w:t>Agente</w:t>
      </w:r>
      <w:r w:rsidR="007148F7">
        <w:rPr>
          <w:rFonts w:ascii="Bookman Old Style" w:hAnsi="Bookman Old Style"/>
          <w:sz w:val="24"/>
          <w:szCs w:val="24"/>
        </w:rPr>
        <w:t>s</w:t>
      </w:r>
      <w:r w:rsidRPr="00E10F2E">
        <w:rPr>
          <w:rFonts w:ascii="Bookman Old Style" w:hAnsi="Bookman Old Style"/>
          <w:sz w:val="24"/>
          <w:szCs w:val="24"/>
        </w:rPr>
        <w:t xml:space="preserve"> Generador</w:t>
      </w:r>
      <w:r w:rsidR="007148F7">
        <w:rPr>
          <w:rFonts w:ascii="Bookman Old Style" w:hAnsi="Bookman Old Style"/>
          <w:sz w:val="24"/>
          <w:szCs w:val="24"/>
        </w:rPr>
        <w:t>es</w:t>
      </w:r>
      <w:r w:rsidRPr="00E10F2E">
        <w:rPr>
          <w:rFonts w:ascii="Bookman Old Style" w:hAnsi="Bookman Old Style"/>
          <w:sz w:val="24"/>
          <w:szCs w:val="24"/>
        </w:rPr>
        <w:t xml:space="preserve"> no acredit</w:t>
      </w:r>
      <w:r w:rsidR="00261E0D">
        <w:rPr>
          <w:rFonts w:ascii="Bookman Old Style" w:hAnsi="Bookman Old Style"/>
          <w:sz w:val="24"/>
          <w:szCs w:val="24"/>
        </w:rPr>
        <w:t>e</w:t>
      </w:r>
      <w:r w:rsidR="007148F7">
        <w:rPr>
          <w:rFonts w:ascii="Bookman Old Style" w:hAnsi="Bookman Old Style"/>
          <w:sz w:val="24"/>
          <w:szCs w:val="24"/>
        </w:rPr>
        <w:t>n</w:t>
      </w:r>
      <w:r w:rsidRPr="00120525">
        <w:rPr>
          <w:rFonts w:ascii="Bookman Old Style" w:hAnsi="Bookman Old Style"/>
          <w:sz w:val="24"/>
          <w:szCs w:val="24"/>
        </w:rPr>
        <w:t xml:space="preserve"> ante el ASIC el pago de los honorarios del Auditor designado para verificar el cumplimiento del cronograma de construcción o de puesta en operación de la </w:t>
      </w:r>
      <w:r w:rsidR="00200509" w:rsidRPr="00E10F2E">
        <w:rPr>
          <w:rFonts w:ascii="Bookman Old Style" w:hAnsi="Bookman Old Style"/>
          <w:sz w:val="24"/>
          <w:szCs w:val="24"/>
        </w:rPr>
        <w:t>infraestructura de importación</w:t>
      </w:r>
      <w:r w:rsidRPr="00E10F2E">
        <w:rPr>
          <w:rFonts w:ascii="Bookman Old Style" w:hAnsi="Bookman Old Style"/>
          <w:sz w:val="24"/>
          <w:szCs w:val="24"/>
        </w:rPr>
        <w:t>.</w:t>
      </w:r>
    </w:p>
    <w:p w:rsidR="00CC326D" w:rsidRPr="004B6EDA" w:rsidRDefault="00CC326D" w:rsidP="00C32CB6">
      <w:pPr>
        <w:ind w:left="0"/>
        <w:jc w:val="both"/>
        <w:rPr>
          <w:rFonts w:ascii="Bookman Old Style" w:hAnsi="Bookman Old Style"/>
          <w:lang w:val="es-CO"/>
        </w:rPr>
      </w:pPr>
    </w:p>
    <w:p w:rsidR="002F6FC8" w:rsidRPr="00E32FF4" w:rsidRDefault="00CC326D" w:rsidP="004B6EDA">
      <w:pPr>
        <w:pStyle w:val="Ttulo1"/>
        <w:jc w:val="both"/>
        <w:rPr>
          <w:rFonts w:ascii="Bookman Old Style" w:hAnsi="Bookman Old Style"/>
        </w:rPr>
      </w:pPr>
      <w:r w:rsidRPr="00E32FF4">
        <w:rPr>
          <w:rFonts w:ascii="Bookman Old Style" w:hAnsi="Bookman Old Style"/>
        </w:rPr>
        <w:t xml:space="preserve">Terminación de la Obligación de Energía Firme. </w:t>
      </w:r>
      <w:r w:rsidR="00B015E7" w:rsidRPr="004B6EDA">
        <w:rPr>
          <w:rFonts w:ascii="Bookman Old Style" w:hAnsi="Bookman Old Style"/>
          <w:b w:val="0"/>
        </w:rPr>
        <w:t>L</w:t>
      </w:r>
      <w:r w:rsidRPr="004B6EDA">
        <w:rPr>
          <w:rFonts w:ascii="Bookman Old Style" w:hAnsi="Bookman Old Style"/>
          <w:b w:val="0"/>
        </w:rPr>
        <w:t xml:space="preserve">os eventos de incumplimiento </w:t>
      </w:r>
      <w:r w:rsidR="00B015E7" w:rsidRPr="004B6EDA">
        <w:rPr>
          <w:rFonts w:ascii="Bookman Old Style" w:hAnsi="Bookman Old Style"/>
          <w:b w:val="0"/>
        </w:rPr>
        <w:t xml:space="preserve">de que trata el </w:t>
      </w:r>
      <w:r w:rsidR="00120525">
        <w:rPr>
          <w:rFonts w:ascii="Bookman Old Style" w:hAnsi="Bookman Old Style"/>
          <w:b w:val="0"/>
        </w:rPr>
        <w:t>artículo</w:t>
      </w:r>
      <w:r w:rsidR="00B015E7" w:rsidRPr="004B6EDA">
        <w:rPr>
          <w:rFonts w:ascii="Bookman Old Style" w:hAnsi="Bookman Old Style"/>
          <w:b w:val="0"/>
        </w:rPr>
        <w:t xml:space="preserve"> anterior </w:t>
      </w:r>
      <w:r w:rsidRPr="004B6EDA">
        <w:rPr>
          <w:rFonts w:ascii="Bookman Old Style" w:hAnsi="Bookman Old Style"/>
          <w:b w:val="0"/>
        </w:rPr>
        <w:t xml:space="preserve">darán lugar a la pérdida de la </w:t>
      </w:r>
      <w:r w:rsidRPr="004B6EDA">
        <w:rPr>
          <w:rFonts w:ascii="Bookman Old Style" w:hAnsi="Bookman Old Style"/>
          <w:b w:val="0"/>
        </w:rPr>
        <w:lastRenderedPageBreak/>
        <w:t>asignación de la Obligación de Energía Firme y de la remuneración asociada, a partir</w:t>
      </w:r>
      <w:r w:rsidR="002F6FC8" w:rsidRPr="004B6EDA">
        <w:rPr>
          <w:rFonts w:ascii="Bookman Old Style" w:hAnsi="Bookman Old Style"/>
          <w:b w:val="0"/>
        </w:rPr>
        <w:t xml:space="preserve"> de la fecha en que se configure</w:t>
      </w:r>
      <w:r w:rsidRPr="004B6EDA">
        <w:rPr>
          <w:rFonts w:ascii="Bookman Old Style" w:hAnsi="Bookman Old Style"/>
          <w:b w:val="0"/>
        </w:rPr>
        <w:t xml:space="preserve"> el respectivo evento de incumplimiento.</w:t>
      </w:r>
    </w:p>
    <w:p w:rsidR="002F6FC8" w:rsidRPr="00E10F2E" w:rsidRDefault="002F6FC8" w:rsidP="00DF4C9D">
      <w:pPr>
        <w:pStyle w:val="Prrafodelista"/>
        <w:ind w:left="360"/>
        <w:jc w:val="both"/>
        <w:rPr>
          <w:rFonts w:ascii="Bookman Old Style" w:hAnsi="Bookman Old Style"/>
          <w:sz w:val="24"/>
          <w:szCs w:val="24"/>
        </w:rPr>
      </w:pPr>
    </w:p>
    <w:p w:rsidR="00772D44" w:rsidRPr="00E32FF4" w:rsidRDefault="007307BA" w:rsidP="004B6EDA">
      <w:pPr>
        <w:pStyle w:val="Ttulo1"/>
        <w:jc w:val="both"/>
        <w:rPr>
          <w:rFonts w:ascii="Bookman Old Style" w:hAnsi="Bookman Old Style"/>
        </w:rPr>
      </w:pPr>
      <w:r w:rsidRPr="00E10F2E">
        <w:rPr>
          <w:rFonts w:ascii="Bookman Old Style" w:hAnsi="Bookman Old Style"/>
        </w:rPr>
        <w:t>Valor de cobertura.</w:t>
      </w:r>
      <w:r w:rsidRPr="004B6EDA">
        <w:rPr>
          <w:rFonts w:ascii="Bookman Old Style" w:hAnsi="Bookman Old Style"/>
          <w:b w:val="0"/>
        </w:rPr>
        <w:t xml:space="preserve"> El valor de cobertura de la garantía de que trata este anexo, será calculado y actualizado por el </w:t>
      </w:r>
      <w:r w:rsidR="00261E0D" w:rsidRPr="004B6EDA">
        <w:rPr>
          <w:rFonts w:ascii="Bookman Old Style" w:hAnsi="Bookman Old Style"/>
          <w:b w:val="0"/>
        </w:rPr>
        <w:t>ASIC</w:t>
      </w:r>
      <w:r w:rsidRPr="004B6EDA">
        <w:rPr>
          <w:rFonts w:ascii="Bookman Old Style" w:hAnsi="Bookman Old Style"/>
          <w:b w:val="0"/>
        </w:rPr>
        <w:t xml:space="preserve"> para cada planta o unidad de generación como se indica a continuación:</w:t>
      </w:r>
    </w:p>
    <w:p w:rsidR="00772D44" w:rsidRPr="00E10F2E" w:rsidRDefault="00772D44" w:rsidP="00772D44">
      <w:pPr>
        <w:pStyle w:val="Encabezado"/>
        <w:ind w:left="708"/>
        <w:rPr>
          <w:rFonts w:ascii="Bookman Old Style" w:hAnsi="Bookman Old Style"/>
          <w:b/>
          <w:lang w:val="es-ES"/>
        </w:rPr>
      </w:pPr>
    </w:p>
    <w:p w:rsidR="00772D44" w:rsidRPr="00E10F2E" w:rsidRDefault="006A68BA" w:rsidP="00772D44">
      <w:pPr>
        <w:pStyle w:val="Encabezado"/>
        <w:ind w:left="708"/>
        <w:jc w:val="center"/>
        <w:rPr>
          <w:rFonts w:ascii="Bookman Old Style" w:hAnsi="Bookman Old Style"/>
          <w:b/>
          <w:lang w:val="es-ES"/>
        </w:rPr>
      </w:pPr>
      <w:r w:rsidRPr="000B0B3A">
        <w:rPr>
          <w:rFonts w:ascii="Bookman Old Style" w:hAnsi="Bookman Old Style"/>
          <w:b/>
          <w:position w:val="-30"/>
          <w:lang w:val="es-ES"/>
        </w:rPr>
        <w:object w:dxaOrig="4540" w:dyaOrig="700">
          <v:shape id="_x0000_i1030" type="#_x0000_t75" style="width:226.5pt;height:35.25pt" o:ole="">
            <v:imagedata r:id="rId19" o:title=""/>
          </v:shape>
          <o:OLEObject Type="Embed" ProgID="Equation.3" ShapeID="_x0000_i1030" DrawAspect="Content" ObjectID="_1379224958" r:id="rId20"/>
        </w:object>
      </w:r>
    </w:p>
    <w:p w:rsidR="00772D44" w:rsidRDefault="00772D44" w:rsidP="00772D44">
      <w:pPr>
        <w:pStyle w:val="Encabezado"/>
        <w:spacing w:before="120"/>
        <w:rPr>
          <w:rFonts w:ascii="Bookman Old Style" w:hAnsi="Bookman Old Style"/>
          <w:lang w:val="es-ES"/>
        </w:rPr>
      </w:pPr>
      <w:proofErr w:type="spellStart"/>
      <w:r w:rsidRPr="00E10F2E">
        <w:rPr>
          <w:rFonts w:ascii="Bookman Old Style" w:hAnsi="Bookman Old Style"/>
          <w:lang w:val="es-ES"/>
        </w:rPr>
        <w:t>Donde</w:t>
      </w:r>
      <w:proofErr w:type="spellEnd"/>
      <w:r w:rsidRPr="00E10F2E">
        <w:rPr>
          <w:rFonts w:ascii="Bookman Old Style" w:hAnsi="Bookman Old Style"/>
          <w:lang w:val="es-ES"/>
        </w:rPr>
        <w:t>:</w:t>
      </w:r>
    </w:p>
    <w:p w:rsidR="007148F7" w:rsidRPr="00E10F2E" w:rsidRDefault="007148F7" w:rsidP="004B6EDA">
      <w:pPr>
        <w:pStyle w:val="Encabezado"/>
        <w:spacing w:before="120"/>
        <w:ind w:left="1843" w:hanging="1276"/>
        <w:jc w:val="both"/>
        <w:rPr>
          <w:rFonts w:ascii="Bookman Old Style" w:hAnsi="Bookman Old Style"/>
          <w:lang w:val="es-ES"/>
        </w:rPr>
      </w:pPr>
      <w:proofErr w:type="spellStart"/>
      <w:r w:rsidRPr="00E10F2E">
        <w:rPr>
          <w:rFonts w:ascii="Bookman Old Style" w:hAnsi="Bookman Old Style"/>
          <w:lang w:val="es-ES"/>
        </w:rPr>
        <w:t>VOEFP</w:t>
      </w:r>
      <w:r w:rsidR="006A68BA">
        <w:rPr>
          <w:rFonts w:ascii="Bookman Old Style" w:hAnsi="Bookman Old Style"/>
          <w:vertAlign w:val="subscript"/>
          <w:lang w:val="es-ES"/>
        </w:rPr>
        <w:t>n</w:t>
      </w:r>
      <w:proofErr w:type="gramStart"/>
      <w:r w:rsidR="006A68BA">
        <w:rPr>
          <w:rFonts w:ascii="Bookman Old Style" w:hAnsi="Bookman Old Style"/>
          <w:vertAlign w:val="subscript"/>
          <w:lang w:val="es-ES"/>
        </w:rPr>
        <w:t>,</w:t>
      </w:r>
      <w:r>
        <w:rPr>
          <w:rFonts w:ascii="Bookman Old Style" w:hAnsi="Bookman Old Style"/>
          <w:vertAlign w:val="subscript"/>
          <w:lang w:val="es-ES"/>
        </w:rPr>
        <w:t>GNI</w:t>
      </w:r>
      <w:proofErr w:type="spellEnd"/>
      <w:proofErr w:type="gramEnd"/>
      <w:r w:rsidRPr="00E10F2E">
        <w:rPr>
          <w:rFonts w:ascii="Bookman Old Style" w:hAnsi="Bookman Old Style"/>
          <w:lang w:val="es-ES"/>
        </w:rPr>
        <w:t xml:space="preserve"> : Corresponde al Valor de la garantía asociada a la Obligación de Energía Firme </w:t>
      </w:r>
      <w:r w:rsidR="008A7699">
        <w:rPr>
          <w:rFonts w:ascii="Bookman Old Style" w:hAnsi="Bookman Old Style"/>
          <w:lang w:val="es-ES"/>
        </w:rPr>
        <w:t xml:space="preserve">respaldadas con </w:t>
      </w:r>
      <w:r w:rsidR="00DC09C9">
        <w:rPr>
          <w:rFonts w:ascii="Bookman Old Style" w:hAnsi="Bookman Old Style"/>
          <w:lang w:val="es-ES"/>
        </w:rPr>
        <w:t xml:space="preserve">la construcción de </w:t>
      </w:r>
      <w:r w:rsidR="008A7699">
        <w:rPr>
          <w:rFonts w:ascii="Bookman Old Style" w:hAnsi="Bookman Old Style"/>
          <w:lang w:val="es-ES"/>
        </w:rPr>
        <w:t>nueva infraestructura de importación de gas natural para el año n.</w:t>
      </w:r>
      <w:r w:rsidRPr="00E10F2E">
        <w:rPr>
          <w:rFonts w:ascii="Bookman Old Style" w:hAnsi="Bookman Old Style"/>
          <w:lang w:val="es-ES"/>
        </w:rPr>
        <w:t xml:space="preserve"> Esta variable es expresada en Pesos.</w:t>
      </w:r>
    </w:p>
    <w:p w:rsidR="008A7699" w:rsidRPr="00E10F2E" w:rsidRDefault="008A7699" w:rsidP="004B6EDA">
      <w:pPr>
        <w:pStyle w:val="Encabezado"/>
        <w:spacing w:before="120"/>
        <w:ind w:left="1843" w:hanging="1276"/>
        <w:rPr>
          <w:rFonts w:ascii="Bookman Old Style" w:hAnsi="Bookman Old Style"/>
          <w:lang w:val="es-ES"/>
        </w:rPr>
      </w:pPr>
      <w:proofErr w:type="gramStart"/>
      <w:r w:rsidRPr="00120525">
        <w:rPr>
          <w:rFonts w:ascii="Bookman Old Style" w:hAnsi="Bookman Old Style"/>
          <w:lang w:val="es-ES"/>
        </w:rPr>
        <w:t>n</w:t>
      </w:r>
      <w:proofErr w:type="gramEnd"/>
      <w:r w:rsidRPr="00120525">
        <w:rPr>
          <w:rFonts w:ascii="Bookman Old Style" w:hAnsi="Bookman Old Style"/>
          <w:lang w:val="es-ES"/>
        </w:rPr>
        <w:t xml:space="preserve">: </w:t>
      </w:r>
      <w:r w:rsidRPr="00273BC2">
        <w:rPr>
          <w:rFonts w:ascii="Bookman Old Style" w:hAnsi="Bookman Old Style"/>
          <w:lang w:val="es-ES"/>
        </w:rPr>
        <w:t xml:space="preserve">         </w:t>
      </w:r>
      <w:r w:rsidR="00CE4B32">
        <w:rPr>
          <w:rFonts w:ascii="Bookman Old Style" w:hAnsi="Bookman Old Style"/>
          <w:lang w:val="es-ES"/>
        </w:rPr>
        <w:tab/>
      </w:r>
      <w:r w:rsidRPr="00273BC2">
        <w:rPr>
          <w:rFonts w:ascii="Bookman Old Style" w:hAnsi="Bookman Old Style"/>
          <w:lang w:val="es-ES"/>
        </w:rPr>
        <w:t>Año en el que la</w:t>
      </w:r>
      <w:r w:rsidR="00D96056">
        <w:rPr>
          <w:rFonts w:ascii="Bookman Old Style" w:hAnsi="Bookman Old Style"/>
          <w:lang w:val="es-ES"/>
        </w:rPr>
        <w:t xml:space="preserve"> o la</w:t>
      </w:r>
      <w:r>
        <w:rPr>
          <w:rFonts w:ascii="Bookman Old Style" w:hAnsi="Bookman Old Style"/>
          <w:lang w:val="es-ES"/>
        </w:rPr>
        <w:t>s</w:t>
      </w:r>
      <w:r w:rsidRPr="00273BC2">
        <w:rPr>
          <w:rFonts w:ascii="Bookman Old Style" w:hAnsi="Bookman Old Style"/>
          <w:lang w:val="es-ES"/>
        </w:rPr>
        <w:t xml:space="preserve"> planta</w:t>
      </w:r>
      <w:r>
        <w:rPr>
          <w:rFonts w:ascii="Bookman Old Style" w:hAnsi="Bookman Old Style"/>
          <w:lang w:val="es-ES"/>
        </w:rPr>
        <w:t>s</w:t>
      </w:r>
      <w:r w:rsidRPr="00273BC2">
        <w:rPr>
          <w:rFonts w:ascii="Bookman Old Style" w:hAnsi="Bookman Old Style"/>
          <w:lang w:val="es-ES"/>
        </w:rPr>
        <w:t xml:space="preserve"> o unidad</w:t>
      </w:r>
      <w:r>
        <w:rPr>
          <w:rFonts w:ascii="Bookman Old Style" w:hAnsi="Bookman Old Style"/>
          <w:lang w:val="es-ES"/>
        </w:rPr>
        <w:t>es</w:t>
      </w:r>
      <w:r w:rsidRPr="00273BC2">
        <w:rPr>
          <w:rFonts w:ascii="Bookman Old Style" w:hAnsi="Bookman Old Style"/>
          <w:lang w:val="es-ES"/>
        </w:rPr>
        <w:t xml:space="preserve"> de generación tenga</w:t>
      </w:r>
      <w:r w:rsidR="00D96056">
        <w:rPr>
          <w:rFonts w:ascii="Bookman Old Style" w:hAnsi="Bookman Old Style"/>
          <w:lang w:val="es-ES"/>
        </w:rPr>
        <w:t>n</w:t>
      </w:r>
      <w:r w:rsidRPr="00273BC2">
        <w:rPr>
          <w:rFonts w:ascii="Bookman Old Style" w:hAnsi="Bookman Old Style"/>
          <w:lang w:val="es-ES"/>
        </w:rPr>
        <w:t xml:space="preserve"> asignadas Obligaciones de</w:t>
      </w:r>
      <w:r w:rsidRPr="00E10F2E">
        <w:rPr>
          <w:rFonts w:ascii="Bookman Old Style" w:hAnsi="Bookman Old Style"/>
          <w:lang w:val="es-ES"/>
        </w:rPr>
        <w:t xml:space="preserve"> Energía Firme.</w:t>
      </w:r>
    </w:p>
    <w:p w:rsidR="007148F7" w:rsidRPr="00E10F2E" w:rsidRDefault="007148F7" w:rsidP="00772D44">
      <w:pPr>
        <w:pStyle w:val="Encabezado"/>
        <w:spacing w:before="120"/>
        <w:rPr>
          <w:rFonts w:ascii="Bookman Old Style" w:hAnsi="Bookman Old Style"/>
          <w:lang w:val="es-ES"/>
        </w:rPr>
      </w:pPr>
    </w:p>
    <w:p w:rsidR="00772D44" w:rsidRPr="00E10F2E" w:rsidRDefault="00772D44" w:rsidP="00DF4C9D">
      <w:pPr>
        <w:pStyle w:val="Encabezado"/>
        <w:tabs>
          <w:tab w:val="left" w:pos="1843"/>
        </w:tabs>
        <w:spacing w:before="120"/>
        <w:ind w:left="1843" w:hanging="1276"/>
        <w:jc w:val="both"/>
        <w:rPr>
          <w:rFonts w:ascii="Bookman Old Style" w:hAnsi="Bookman Old Style"/>
          <w:lang w:val="es-ES"/>
        </w:rPr>
      </w:pPr>
      <w:proofErr w:type="spellStart"/>
      <w:proofErr w:type="gramStart"/>
      <w:r w:rsidRPr="00E10F2E">
        <w:rPr>
          <w:rFonts w:ascii="Bookman Old Style" w:hAnsi="Bookman Old Style"/>
          <w:lang w:val="es-ES"/>
        </w:rPr>
        <w:t>PA</w:t>
      </w:r>
      <w:r w:rsidRPr="00E10F2E">
        <w:rPr>
          <w:rFonts w:ascii="Bookman Old Style" w:hAnsi="Bookman Old Style"/>
          <w:vertAlign w:val="subscript"/>
          <w:lang w:val="es-ES"/>
        </w:rPr>
        <w:t>n</w:t>
      </w:r>
      <w:proofErr w:type="spellEnd"/>
      <w:r w:rsidRPr="00E10F2E">
        <w:rPr>
          <w:rFonts w:ascii="Bookman Old Style" w:hAnsi="Bookman Old Style"/>
          <w:lang w:val="es-ES"/>
        </w:rPr>
        <w:t xml:space="preserve"> :</w:t>
      </w:r>
      <w:proofErr w:type="gramEnd"/>
      <w:r w:rsidRPr="00E10F2E">
        <w:rPr>
          <w:rFonts w:ascii="Bookman Old Style" w:hAnsi="Bookman Old Style"/>
          <w:lang w:val="es-ES"/>
        </w:rPr>
        <w:t xml:space="preserve"> </w:t>
      </w:r>
      <w:r w:rsidR="00B2682D" w:rsidRPr="00E10F2E">
        <w:rPr>
          <w:rFonts w:ascii="Bookman Old Style" w:hAnsi="Bookman Old Style"/>
          <w:lang w:val="es-ES"/>
        </w:rPr>
        <w:tab/>
      </w:r>
      <w:r w:rsidR="00B2682D" w:rsidRPr="00E10F2E">
        <w:rPr>
          <w:rFonts w:ascii="Bookman Old Style" w:hAnsi="Bookman Old Style"/>
          <w:lang w:val="es-ES"/>
        </w:rPr>
        <w:tab/>
      </w:r>
      <w:r w:rsidRPr="00E10F2E">
        <w:rPr>
          <w:rFonts w:ascii="Bookman Old Style" w:hAnsi="Bookman Old Style"/>
          <w:lang w:val="es-ES"/>
        </w:rPr>
        <w:t>Precio con el que se hizo la asignación de las Obligaciones de Energía Firme objeto de garantía a la</w:t>
      </w:r>
      <w:r w:rsidR="00D96056">
        <w:rPr>
          <w:rFonts w:ascii="Bookman Old Style" w:hAnsi="Bookman Old Style"/>
          <w:lang w:val="es-ES"/>
        </w:rPr>
        <w:t xml:space="preserve"> o la</w:t>
      </w:r>
      <w:r w:rsidR="008A7699">
        <w:rPr>
          <w:rFonts w:ascii="Bookman Old Style" w:hAnsi="Bookman Old Style"/>
          <w:lang w:val="es-ES"/>
        </w:rPr>
        <w:t>s</w:t>
      </w:r>
      <w:r w:rsidRPr="00E10F2E">
        <w:rPr>
          <w:rFonts w:ascii="Bookman Old Style" w:hAnsi="Bookman Old Style"/>
          <w:lang w:val="es-ES"/>
        </w:rPr>
        <w:t xml:space="preserve"> planta</w:t>
      </w:r>
      <w:r w:rsidR="008A7699">
        <w:rPr>
          <w:rFonts w:ascii="Bookman Old Style" w:hAnsi="Bookman Old Style"/>
          <w:lang w:val="es-ES"/>
        </w:rPr>
        <w:t>s</w:t>
      </w:r>
      <w:r w:rsidRPr="00E10F2E">
        <w:rPr>
          <w:rFonts w:ascii="Bookman Old Style" w:hAnsi="Bookman Old Style"/>
          <w:lang w:val="es-ES"/>
        </w:rPr>
        <w:t xml:space="preserve"> o unidad</w:t>
      </w:r>
      <w:r w:rsidR="008A7699">
        <w:rPr>
          <w:rFonts w:ascii="Bookman Old Style" w:hAnsi="Bookman Old Style"/>
          <w:lang w:val="es-ES"/>
        </w:rPr>
        <w:t>es</w:t>
      </w:r>
      <w:r w:rsidRPr="00E10F2E">
        <w:rPr>
          <w:rFonts w:ascii="Bookman Old Style" w:hAnsi="Bookman Old Style"/>
          <w:lang w:val="es-ES"/>
        </w:rPr>
        <w:t xml:space="preserve"> de generación para el año n, expresado en $/</w:t>
      </w:r>
      <w:proofErr w:type="spellStart"/>
      <w:r w:rsidRPr="00E10F2E">
        <w:rPr>
          <w:rFonts w:ascii="Bookman Old Style" w:hAnsi="Bookman Old Style"/>
          <w:lang w:val="es-ES"/>
        </w:rPr>
        <w:t>kWh</w:t>
      </w:r>
      <w:proofErr w:type="spellEnd"/>
      <w:r w:rsidRPr="00E10F2E">
        <w:rPr>
          <w:rFonts w:ascii="Bookman Old Style" w:hAnsi="Bookman Old Style"/>
          <w:lang w:val="es-ES"/>
        </w:rPr>
        <w:t xml:space="preserve">, calculado en pesos colombianos usando la tasa de cambio representativa del mercado vigente el lunes de la semana anterior a la fecha prevista </w:t>
      </w:r>
      <w:r w:rsidR="00ED6726" w:rsidRPr="00E10F2E">
        <w:rPr>
          <w:rFonts w:ascii="Bookman Old Style" w:hAnsi="Bookman Old Style"/>
          <w:lang w:val="es-ES"/>
        </w:rPr>
        <w:t xml:space="preserve">en el artículo 6 </w:t>
      </w:r>
      <w:r w:rsidRPr="00E10F2E">
        <w:rPr>
          <w:rFonts w:ascii="Bookman Old Style" w:hAnsi="Bookman Old Style"/>
          <w:lang w:val="es-ES"/>
        </w:rPr>
        <w:t xml:space="preserve">de </w:t>
      </w:r>
      <w:r w:rsidR="00ED6726" w:rsidRPr="00E10F2E">
        <w:rPr>
          <w:rFonts w:ascii="Bookman Old Style" w:hAnsi="Bookman Old Style"/>
          <w:lang w:val="es-ES"/>
        </w:rPr>
        <w:t xml:space="preserve">esta resolución para la entrega de las garantías </w:t>
      </w:r>
      <w:r w:rsidRPr="00E10F2E">
        <w:rPr>
          <w:rFonts w:ascii="Bookman Old Style" w:hAnsi="Bookman Old Style"/>
          <w:lang w:val="es-ES"/>
        </w:rPr>
        <w:t>o a la fecha en que se calcule el valor de la actualización de las garantías.</w:t>
      </w:r>
    </w:p>
    <w:p w:rsidR="00772D44" w:rsidRPr="00E10F2E" w:rsidRDefault="00772D44" w:rsidP="00DF4C9D">
      <w:pPr>
        <w:pStyle w:val="Encabezado"/>
        <w:spacing w:before="120"/>
        <w:ind w:left="1843" w:hanging="1276"/>
        <w:jc w:val="both"/>
        <w:rPr>
          <w:rFonts w:ascii="Bookman Old Style" w:hAnsi="Bookman Old Style"/>
          <w:lang w:val="es-ES"/>
        </w:rPr>
      </w:pPr>
      <w:proofErr w:type="spellStart"/>
      <w:r w:rsidRPr="00E10F2E">
        <w:rPr>
          <w:rFonts w:ascii="Bookman Old Style" w:hAnsi="Bookman Old Style"/>
          <w:lang w:val="es-ES"/>
        </w:rPr>
        <w:t>OEFP</w:t>
      </w:r>
      <w:r w:rsidRPr="00E10F2E">
        <w:rPr>
          <w:rFonts w:ascii="Bookman Old Style" w:hAnsi="Bookman Old Style"/>
          <w:vertAlign w:val="subscript"/>
          <w:lang w:val="es-ES"/>
        </w:rPr>
        <w:t>n</w:t>
      </w:r>
      <w:proofErr w:type="gramStart"/>
      <w:r w:rsidRPr="00E10F2E">
        <w:rPr>
          <w:rFonts w:ascii="Bookman Old Style" w:hAnsi="Bookman Old Style"/>
          <w:vertAlign w:val="subscript"/>
          <w:lang w:val="es-ES"/>
        </w:rPr>
        <w:t>,</w:t>
      </w:r>
      <w:r w:rsidR="006A68BA">
        <w:rPr>
          <w:rFonts w:ascii="Bookman Old Style" w:hAnsi="Bookman Old Style"/>
          <w:vertAlign w:val="subscript"/>
          <w:lang w:val="es-ES"/>
        </w:rPr>
        <w:t>GNI</w:t>
      </w:r>
      <w:proofErr w:type="spellEnd"/>
      <w:proofErr w:type="gramEnd"/>
      <w:r w:rsidRPr="00E10F2E">
        <w:rPr>
          <w:rFonts w:ascii="Bookman Old Style" w:hAnsi="Bookman Old Style"/>
          <w:lang w:val="es-ES"/>
        </w:rPr>
        <w:t xml:space="preserve"> : Obligación de Energía Firme objeto de garantía de la</w:t>
      </w:r>
      <w:r w:rsidR="00714402">
        <w:rPr>
          <w:rFonts w:ascii="Bookman Old Style" w:hAnsi="Bookman Old Style"/>
          <w:lang w:val="es-ES"/>
        </w:rPr>
        <w:t xml:space="preserve"> o la</w:t>
      </w:r>
      <w:r w:rsidR="008A7699">
        <w:rPr>
          <w:rFonts w:ascii="Bookman Old Style" w:hAnsi="Bookman Old Style"/>
          <w:lang w:val="es-ES"/>
        </w:rPr>
        <w:t>s</w:t>
      </w:r>
      <w:r w:rsidRPr="00E10F2E">
        <w:rPr>
          <w:rFonts w:ascii="Bookman Old Style" w:hAnsi="Bookman Old Style"/>
          <w:lang w:val="es-ES"/>
        </w:rPr>
        <w:t xml:space="preserve"> planta</w:t>
      </w:r>
      <w:r w:rsidR="008A7699">
        <w:rPr>
          <w:rFonts w:ascii="Bookman Old Style" w:hAnsi="Bookman Old Style"/>
          <w:lang w:val="es-ES"/>
        </w:rPr>
        <w:t>s</w:t>
      </w:r>
      <w:r w:rsidRPr="00E10F2E">
        <w:rPr>
          <w:rFonts w:ascii="Bookman Old Style" w:hAnsi="Bookman Old Style"/>
          <w:lang w:val="es-ES"/>
        </w:rPr>
        <w:t xml:space="preserve"> o unidad</w:t>
      </w:r>
      <w:r w:rsidR="008A7699">
        <w:rPr>
          <w:rFonts w:ascii="Bookman Old Style" w:hAnsi="Bookman Old Style"/>
          <w:lang w:val="es-ES"/>
        </w:rPr>
        <w:t>es</w:t>
      </w:r>
      <w:r w:rsidRPr="00E10F2E">
        <w:rPr>
          <w:rFonts w:ascii="Bookman Old Style" w:hAnsi="Bookman Old Style"/>
          <w:lang w:val="es-ES"/>
        </w:rPr>
        <w:t xml:space="preserve"> de generación para el año n</w:t>
      </w:r>
      <w:r w:rsidR="006A68BA">
        <w:rPr>
          <w:rFonts w:ascii="Bookman Old Style" w:hAnsi="Bookman Old Style"/>
          <w:lang w:val="es-ES"/>
        </w:rPr>
        <w:t xml:space="preserve"> que respaldan con nueva infraestructura de importación de gas natural</w:t>
      </w:r>
      <w:r w:rsidRPr="00E10F2E">
        <w:rPr>
          <w:rFonts w:ascii="Bookman Old Style" w:hAnsi="Bookman Old Style"/>
          <w:lang w:val="es-ES"/>
        </w:rPr>
        <w:t xml:space="preserve">, conforme lo establecido en el </w:t>
      </w:r>
      <w:r w:rsidR="008A7699">
        <w:rPr>
          <w:rFonts w:ascii="Bookman Old Style" w:hAnsi="Bookman Old Style"/>
          <w:lang w:val="es-ES"/>
        </w:rPr>
        <w:t xml:space="preserve">artículo 2 del presente </w:t>
      </w:r>
      <w:r w:rsidR="00714402">
        <w:rPr>
          <w:rFonts w:ascii="Bookman Old Style" w:hAnsi="Bookman Old Style"/>
          <w:lang w:val="es-ES"/>
        </w:rPr>
        <w:t>Anexo</w:t>
      </w:r>
      <w:r w:rsidR="008A7699">
        <w:rPr>
          <w:rFonts w:ascii="Bookman Old Style" w:hAnsi="Bookman Old Style"/>
          <w:lang w:val="es-ES"/>
        </w:rPr>
        <w:t>.</w:t>
      </w:r>
      <w:r w:rsidRPr="00E10F2E">
        <w:rPr>
          <w:rFonts w:ascii="Bookman Old Style" w:hAnsi="Bookman Old Style"/>
          <w:lang w:val="es-ES"/>
        </w:rPr>
        <w:t xml:space="preserve"> Esta variable es expresada en </w:t>
      </w:r>
      <w:proofErr w:type="spellStart"/>
      <w:r w:rsidRPr="00E10F2E">
        <w:rPr>
          <w:rFonts w:ascii="Bookman Old Style" w:hAnsi="Bookman Old Style"/>
          <w:lang w:val="es-ES"/>
        </w:rPr>
        <w:t>kWh</w:t>
      </w:r>
      <w:proofErr w:type="spellEnd"/>
      <w:r w:rsidRPr="00E10F2E">
        <w:rPr>
          <w:rFonts w:ascii="Bookman Old Style" w:hAnsi="Bookman Old Style"/>
          <w:lang w:val="es-ES"/>
        </w:rPr>
        <w:t>.</w:t>
      </w:r>
    </w:p>
    <w:p w:rsidR="00772D44" w:rsidRPr="00E10F2E" w:rsidRDefault="00772D44" w:rsidP="00DF4C9D">
      <w:pPr>
        <w:pStyle w:val="Encabezado"/>
        <w:tabs>
          <w:tab w:val="clear" w:pos="4252"/>
          <w:tab w:val="left" w:pos="1843"/>
        </w:tabs>
        <w:spacing w:before="120"/>
        <w:ind w:left="1843" w:hanging="1276"/>
        <w:jc w:val="both"/>
        <w:rPr>
          <w:rFonts w:ascii="Bookman Old Style" w:hAnsi="Bookman Old Style"/>
          <w:lang w:val="es-ES"/>
        </w:rPr>
      </w:pPr>
      <w:r w:rsidRPr="00120525">
        <w:rPr>
          <w:rFonts w:ascii="Bookman Old Style" w:hAnsi="Bookman Old Style"/>
          <w:lang w:val="es-ES"/>
        </w:rPr>
        <w:t xml:space="preserve">FMIC: </w:t>
      </w:r>
      <w:r w:rsidR="00B52624" w:rsidRPr="00273BC2">
        <w:rPr>
          <w:rFonts w:ascii="Bookman Old Style" w:hAnsi="Bookman Old Style"/>
          <w:lang w:val="es-ES"/>
        </w:rPr>
        <w:tab/>
      </w:r>
      <w:r w:rsidRPr="005C217A">
        <w:rPr>
          <w:rFonts w:ascii="Bookman Old Style" w:hAnsi="Bookman Old Style"/>
          <w:lang w:val="es-ES"/>
        </w:rPr>
        <w:t xml:space="preserve">Factor definido en el Artículo </w:t>
      </w:r>
      <w:r w:rsidR="00120525" w:rsidRPr="004B6EDA">
        <w:rPr>
          <w:rFonts w:ascii="Bookman Old Style" w:hAnsi="Bookman Old Style"/>
          <w:lang w:val="es-ES"/>
        </w:rPr>
        <w:t>7</w:t>
      </w:r>
      <w:r w:rsidR="00AC3185" w:rsidRPr="005C217A">
        <w:rPr>
          <w:rFonts w:ascii="Bookman Old Style" w:hAnsi="Bookman Old Style"/>
          <w:lang w:val="es-ES"/>
        </w:rPr>
        <w:t xml:space="preserve"> </w:t>
      </w:r>
      <w:r w:rsidRPr="005C217A">
        <w:rPr>
          <w:rFonts w:ascii="Bookman Old Style" w:hAnsi="Bookman Old Style"/>
          <w:lang w:val="es-ES"/>
        </w:rPr>
        <w:t xml:space="preserve">de este </w:t>
      </w:r>
      <w:r w:rsidR="00AC3185" w:rsidRPr="0049681C">
        <w:rPr>
          <w:rFonts w:ascii="Bookman Old Style" w:hAnsi="Bookman Old Style"/>
          <w:lang w:val="es-ES"/>
        </w:rPr>
        <w:t>Anexo</w:t>
      </w:r>
      <w:r w:rsidRPr="0049681C">
        <w:rPr>
          <w:rFonts w:ascii="Bookman Old Style" w:hAnsi="Bookman Old Style"/>
          <w:lang w:val="es-ES"/>
        </w:rPr>
        <w:t xml:space="preserve">. </w:t>
      </w:r>
    </w:p>
    <w:p w:rsidR="00772D44" w:rsidRPr="00E10F2E" w:rsidRDefault="00772D44" w:rsidP="00DF4C9D">
      <w:pPr>
        <w:pStyle w:val="Sangradetextonormal"/>
        <w:tabs>
          <w:tab w:val="left" w:pos="1843"/>
        </w:tabs>
        <w:spacing w:before="120"/>
        <w:ind w:left="1843" w:hanging="1276"/>
        <w:jc w:val="both"/>
        <w:rPr>
          <w:rFonts w:ascii="Bookman Old Style" w:hAnsi="Bookman Old Style"/>
        </w:rPr>
      </w:pPr>
      <w:r w:rsidRPr="00120525">
        <w:rPr>
          <w:rFonts w:ascii="Bookman Old Style" w:hAnsi="Bookman Old Style"/>
        </w:rPr>
        <w:t>IPP</w:t>
      </w:r>
      <w:r w:rsidRPr="00273BC2">
        <w:rPr>
          <w:rFonts w:ascii="Bookman Old Style" w:hAnsi="Bookman Old Style"/>
          <w:vertAlign w:val="subscript"/>
        </w:rPr>
        <w:t>G</w:t>
      </w:r>
      <w:r w:rsidRPr="00273BC2">
        <w:rPr>
          <w:rFonts w:ascii="Bookman Old Style" w:hAnsi="Bookman Old Style"/>
        </w:rPr>
        <w:t>:</w:t>
      </w:r>
      <w:r w:rsidRPr="00273BC2">
        <w:rPr>
          <w:rFonts w:ascii="Bookman Old Style" w:hAnsi="Bookman Old Style"/>
        </w:rPr>
        <w:tab/>
        <w:t xml:space="preserve">Último índice de Precios al Productor de los Estados Unidos de América correspondiente a bienes de capital, disponible el lunes de la semana anterior a la fecha prevista </w:t>
      </w:r>
      <w:r w:rsidR="00C42860" w:rsidRPr="00E10F2E">
        <w:rPr>
          <w:rFonts w:ascii="Bookman Old Style" w:hAnsi="Bookman Old Style"/>
        </w:rPr>
        <w:t>para la presentación de las garantías prevista en el artículo 6</w:t>
      </w:r>
      <w:r w:rsidRPr="00E10F2E">
        <w:rPr>
          <w:rFonts w:ascii="Bookman Old Style" w:hAnsi="Bookman Old Style"/>
        </w:rPr>
        <w:t xml:space="preserve"> de </w:t>
      </w:r>
      <w:r w:rsidR="00C42860" w:rsidRPr="00E10F2E">
        <w:rPr>
          <w:rFonts w:ascii="Bookman Old Style" w:hAnsi="Bookman Old Style"/>
        </w:rPr>
        <w:t>esta resolución</w:t>
      </w:r>
      <w:r w:rsidRPr="00E10F2E">
        <w:rPr>
          <w:rFonts w:ascii="Bookman Old Style" w:hAnsi="Bookman Old Style"/>
        </w:rPr>
        <w:t xml:space="preserve"> o a la fecha en que se calcule el valor de la actualización de las garantías, reportado por la Oficina de Estadísticas Laborales del Departamento de Trabajo de los Estados Unidos (Serie ID: WPSSOP3200). </w:t>
      </w:r>
    </w:p>
    <w:p w:rsidR="00772D44" w:rsidRPr="00E10F2E" w:rsidRDefault="00772D44" w:rsidP="00DF4C9D">
      <w:pPr>
        <w:pStyle w:val="Sangradetextonormal"/>
        <w:spacing w:before="120"/>
        <w:ind w:left="1843" w:hanging="1276"/>
        <w:jc w:val="both"/>
        <w:rPr>
          <w:rFonts w:ascii="Bookman Old Style" w:hAnsi="Bookman Old Style"/>
        </w:rPr>
      </w:pPr>
      <w:r w:rsidRPr="00120525">
        <w:rPr>
          <w:rFonts w:ascii="Bookman Old Style" w:hAnsi="Bookman Old Style"/>
        </w:rPr>
        <w:t>IPP</w:t>
      </w:r>
      <w:r w:rsidRPr="00273BC2">
        <w:rPr>
          <w:rFonts w:ascii="Bookman Old Style" w:hAnsi="Bookman Old Style"/>
          <w:vertAlign w:val="subscript"/>
        </w:rPr>
        <w:t>A</w:t>
      </w:r>
      <w:r w:rsidRPr="00273BC2">
        <w:rPr>
          <w:rFonts w:ascii="Bookman Old Style" w:hAnsi="Bookman Old Style"/>
        </w:rPr>
        <w:t>:</w:t>
      </w:r>
      <w:r w:rsidRPr="00273BC2">
        <w:rPr>
          <w:rFonts w:ascii="Bookman Old Style" w:hAnsi="Bookman Old Style"/>
        </w:rPr>
        <w:tab/>
        <w:t>Índice de Precios al Productor de los Estados Unidos de América correspondiente a bienes de capital, para el mes en que se realizó la asignación de Obligaciones de Energía Firme objeto de garantía, reportado por la Oficina de Estadísticas Laborales del Departamento de Trabajo de los Estados Unidos (Ser</w:t>
      </w:r>
      <w:r w:rsidRPr="00E10F2E">
        <w:rPr>
          <w:rFonts w:ascii="Bookman Old Style" w:hAnsi="Bookman Old Style"/>
        </w:rPr>
        <w:t>ie ID: WPSSOP3200). Si este índice no se encuentra disponible la relación IPP</w:t>
      </w:r>
      <w:r w:rsidRPr="00E10F2E">
        <w:rPr>
          <w:rFonts w:ascii="Bookman Old Style" w:hAnsi="Bookman Old Style"/>
          <w:vertAlign w:val="subscript"/>
        </w:rPr>
        <w:t>G</w:t>
      </w:r>
      <w:r w:rsidRPr="00E10F2E">
        <w:rPr>
          <w:rFonts w:ascii="Bookman Old Style" w:hAnsi="Bookman Old Style"/>
        </w:rPr>
        <w:t xml:space="preserve"> / IPP</w:t>
      </w:r>
      <w:r w:rsidRPr="00E10F2E">
        <w:rPr>
          <w:rFonts w:ascii="Bookman Old Style" w:hAnsi="Bookman Old Style"/>
          <w:vertAlign w:val="subscript"/>
        </w:rPr>
        <w:t>A</w:t>
      </w:r>
      <w:r w:rsidRPr="00E10F2E">
        <w:rPr>
          <w:rFonts w:ascii="Bookman Old Style" w:hAnsi="Bookman Old Style"/>
        </w:rPr>
        <w:t xml:space="preserve"> se toma igual a uno (1).</w:t>
      </w:r>
    </w:p>
    <w:p w:rsidR="00057DBD" w:rsidRPr="00E10F2E" w:rsidRDefault="00057DBD" w:rsidP="00DF4C9D">
      <w:pPr>
        <w:ind w:left="0"/>
        <w:rPr>
          <w:rFonts w:ascii="Bookman Old Style" w:hAnsi="Bookman Old Style"/>
          <w:b/>
        </w:rPr>
      </w:pPr>
    </w:p>
    <w:p w:rsidR="00772D44" w:rsidRPr="00E10F2E" w:rsidRDefault="00772D44" w:rsidP="009F0467">
      <w:pPr>
        <w:ind w:left="0"/>
        <w:jc w:val="both"/>
        <w:rPr>
          <w:rFonts w:ascii="Bookman Old Style" w:hAnsi="Bookman Old Style"/>
        </w:rPr>
      </w:pPr>
      <w:r w:rsidRPr="00E10F2E">
        <w:rPr>
          <w:rFonts w:ascii="Bookman Old Style" w:hAnsi="Bookman Old Style"/>
          <w:b/>
        </w:rPr>
        <w:t>Parágrafo.</w:t>
      </w:r>
      <w:r w:rsidRPr="00E10F2E">
        <w:rPr>
          <w:rFonts w:ascii="Bookman Old Style" w:hAnsi="Bookman Old Style"/>
        </w:rPr>
        <w:t xml:space="preserve"> El valor de la cobertura de que trata el presente </w:t>
      </w:r>
      <w:r w:rsidR="003D7DC7" w:rsidRPr="00E10F2E">
        <w:rPr>
          <w:rFonts w:ascii="Bookman Old Style" w:hAnsi="Bookman Old Style"/>
        </w:rPr>
        <w:t>artículo</w:t>
      </w:r>
      <w:r w:rsidRPr="00E10F2E">
        <w:rPr>
          <w:rFonts w:ascii="Bookman Old Style" w:hAnsi="Bookman Old Style"/>
        </w:rPr>
        <w:t>, se actualizará en los siguientes eventos:</w:t>
      </w:r>
    </w:p>
    <w:p w:rsidR="00772D44" w:rsidRPr="00E10F2E" w:rsidRDefault="00772D44" w:rsidP="00772D44">
      <w:pPr>
        <w:rPr>
          <w:rFonts w:ascii="Bookman Old Style" w:hAnsi="Bookman Old Style"/>
        </w:rPr>
      </w:pPr>
    </w:p>
    <w:p w:rsidR="00772D44" w:rsidRPr="00E10F2E" w:rsidRDefault="00772D44" w:rsidP="00772D44">
      <w:pPr>
        <w:pStyle w:val="Encabezado"/>
        <w:numPr>
          <w:ilvl w:val="0"/>
          <w:numId w:val="32"/>
        </w:numPr>
        <w:tabs>
          <w:tab w:val="clear" w:pos="4252"/>
          <w:tab w:val="clear" w:pos="8504"/>
        </w:tabs>
        <w:suppressAutoHyphens/>
        <w:ind w:left="360"/>
        <w:jc w:val="both"/>
        <w:rPr>
          <w:rFonts w:ascii="Bookman Old Style" w:hAnsi="Bookman Old Style"/>
          <w:lang w:val="es-ES"/>
        </w:rPr>
      </w:pPr>
      <w:r w:rsidRPr="00E10F2E">
        <w:rPr>
          <w:rFonts w:ascii="Bookman Old Style" w:hAnsi="Bookman Old Style"/>
          <w:lang w:val="es-ES"/>
        </w:rPr>
        <w:t>Cuando se presente un cambio en el factor FMIC.</w:t>
      </w:r>
    </w:p>
    <w:p w:rsidR="00772D44" w:rsidRPr="00E10F2E" w:rsidRDefault="00772D44" w:rsidP="00772D44">
      <w:pPr>
        <w:pStyle w:val="Encabezado"/>
        <w:rPr>
          <w:rFonts w:ascii="Bookman Old Style" w:hAnsi="Bookman Old Style"/>
          <w:lang w:val="es-ES"/>
        </w:rPr>
      </w:pPr>
    </w:p>
    <w:p w:rsidR="00772D44" w:rsidRPr="00E10F2E" w:rsidRDefault="00772D44" w:rsidP="00772D44">
      <w:pPr>
        <w:pStyle w:val="Encabezado"/>
        <w:numPr>
          <w:ilvl w:val="0"/>
          <w:numId w:val="32"/>
        </w:numPr>
        <w:tabs>
          <w:tab w:val="clear" w:pos="4252"/>
          <w:tab w:val="clear" w:pos="8504"/>
        </w:tabs>
        <w:suppressAutoHyphens/>
        <w:ind w:left="360"/>
        <w:jc w:val="both"/>
        <w:rPr>
          <w:rFonts w:ascii="Bookman Old Style" w:hAnsi="Bookman Old Style"/>
          <w:lang w:val="es-ES"/>
        </w:rPr>
      </w:pPr>
      <w:r w:rsidRPr="00E10F2E">
        <w:rPr>
          <w:rFonts w:ascii="Bookman Old Style" w:hAnsi="Bookman Old Style"/>
          <w:lang w:val="es-ES"/>
        </w:rPr>
        <w:t>Cada vez que la tasa de cambio representativa del mercado presente variaciones mayores al diez por ciento (10%) del valor con que fue calculada la garantía vigente.</w:t>
      </w:r>
    </w:p>
    <w:p w:rsidR="00772D44" w:rsidRPr="00120525" w:rsidRDefault="00772D44" w:rsidP="00772D44">
      <w:pPr>
        <w:pStyle w:val="Encabezado"/>
        <w:rPr>
          <w:rFonts w:ascii="Bookman Old Style" w:hAnsi="Bookman Old Style"/>
          <w:lang w:val="es-ES"/>
        </w:rPr>
      </w:pPr>
    </w:p>
    <w:p w:rsidR="00772D44" w:rsidRPr="00120525" w:rsidRDefault="00772D44" w:rsidP="00772D44">
      <w:pPr>
        <w:pStyle w:val="Encabezado"/>
        <w:numPr>
          <w:ilvl w:val="0"/>
          <w:numId w:val="32"/>
        </w:numPr>
        <w:tabs>
          <w:tab w:val="clear" w:pos="4252"/>
          <w:tab w:val="clear" w:pos="8504"/>
        </w:tabs>
        <w:suppressAutoHyphens/>
        <w:ind w:left="360"/>
        <w:jc w:val="both"/>
        <w:rPr>
          <w:rFonts w:ascii="Bookman Old Style" w:hAnsi="Bookman Old Style"/>
          <w:lang w:val="es-ES"/>
        </w:rPr>
      </w:pPr>
      <w:r w:rsidRPr="00E10F2E">
        <w:rPr>
          <w:rFonts w:ascii="Bookman Old Style" w:hAnsi="Bookman Old Style"/>
          <w:lang w:val="es-ES"/>
        </w:rPr>
        <w:t xml:space="preserve">Cada vez que se deban ajustar o reponer las garantías, acorde con </w:t>
      </w:r>
      <w:r w:rsidR="003D7DC7" w:rsidRPr="00E10F2E">
        <w:rPr>
          <w:rFonts w:ascii="Bookman Old Style" w:hAnsi="Bookman Old Style"/>
          <w:lang w:val="es-ES"/>
        </w:rPr>
        <w:t xml:space="preserve">lo establecido en el artículo </w:t>
      </w:r>
      <w:r w:rsidR="00120525">
        <w:rPr>
          <w:rFonts w:ascii="Bookman Old Style" w:hAnsi="Bookman Old Style"/>
          <w:lang w:val="es-ES"/>
        </w:rPr>
        <w:t>8</w:t>
      </w:r>
      <w:r w:rsidRPr="00120525">
        <w:rPr>
          <w:rFonts w:ascii="Bookman Old Style" w:hAnsi="Bookman Old Style"/>
          <w:lang w:val="es-ES"/>
        </w:rPr>
        <w:t xml:space="preserve"> de este </w:t>
      </w:r>
      <w:r w:rsidR="003D7DC7" w:rsidRPr="00120525">
        <w:rPr>
          <w:rFonts w:ascii="Bookman Old Style" w:hAnsi="Bookman Old Style"/>
          <w:lang w:val="es-ES"/>
        </w:rPr>
        <w:t>Anexo.</w:t>
      </w:r>
    </w:p>
    <w:p w:rsidR="00772D44" w:rsidRPr="00E10F2E" w:rsidRDefault="00772D44" w:rsidP="00772D44">
      <w:pPr>
        <w:pStyle w:val="Encabezado"/>
        <w:rPr>
          <w:rFonts w:ascii="Bookman Old Style" w:hAnsi="Bookman Old Style"/>
          <w:lang w:val="es-ES"/>
        </w:rPr>
      </w:pPr>
    </w:p>
    <w:p w:rsidR="00772D44" w:rsidRPr="008A64D7" w:rsidRDefault="00772D44" w:rsidP="004B6EDA">
      <w:pPr>
        <w:pStyle w:val="Ttulo1"/>
        <w:jc w:val="both"/>
        <w:rPr>
          <w:rFonts w:ascii="Bookman Old Style" w:hAnsi="Bookman Old Style"/>
        </w:rPr>
      </w:pPr>
      <w:r w:rsidRPr="00E32FF4">
        <w:rPr>
          <w:rFonts w:ascii="Bookman Old Style" w:hAnsi="Bookman Old Style"/>
        </w:rPr>
        <w:t xml:space="preserve">Valor </w:t>
      </w:r>
      <w:r w:rsidRPr="00425E75">
        <w:rPr>
          <w:rFonts w:ascii="Bookman Old Style" w:hAnsi="Bookman Old Style"/>
        </w:rPr>
        <w:t xml:space="preserve">de cobertura ante </w:t>
      </w:r>
      <w:r w:rsidRPr="008A64D7">
        <w:rPr>
          <w:rFonts w:ascii="Bookman Old Style" w:hAnsi="Bookman Old Style"/>
        </w:rPr>
        <w:t xml:space="preserve">incumplimiento de cronogramas. </w:t>
      </w:r>
      <w:r w:rsidRPr="004B6EDA">
        <w:rPr>
          <w:rFonts w:ascii="Bookman Old Style" w:hAnsi="Bookman Old Style"/>
          <w:b w:val="0"/>
        </w:rPr>
        <w:t xml:space="preserve">Cuando se presente incumplimiento </w:t>
      </w:r>
      <w:r w:rsidR="00F2451C">
        <w:rPr>
          <w:rFonts w:ascii="Bookman Old Style" w:hAnsi="Bookman Old Style"/>
          <w:b w:val="0"/>
        </w:rPr>
        <w:t xml:space="preserve">calificado de cronograma de construcción de la nueva </w:t>
      </w:r>
      <w:r w:rsidR="00927F9D" w:rsidRPr="004B6EDA">
        <w:rPr>
          <w:rFonts w:ascii="Bookman Old Style" w:hAnsi="Bookman Old Style"/>
          <w:b w:val="0"/>
        </w:rPr>
        <w:t xml:space="preserve">infraestructura </w:t>
      </w:r>
      <w:r w:rsidR="00F2451C">
        <w:rPr>
          <w:rFonts w:ascii="Bookman Old Style" w:hAnsi="Bookman Old Style"/>
          <w:b w:val="0"/>
        </w:rPr>
        <w:t xml:space="preserve">para </w:t>
      </w:r>
      <w:r w:rsidR="00927F9D" w:rsidRPr="004B6EDA">
        <w:rPr>
          <w:rFonts w:ascii="Bookman Old Style" w:hAnsi="Bookman Old Style"/>
          <w:b w:val="0"/>
        </w:rPr>
        <w:t>importación de gas natural</w:t>
      </w:r>
      <w:r w:rsidRPr="004B6EDA">
        <w:rPr>
          <w:rFonts w:ascii="Bookman Old Style" w:hAnsi="Bookman Old Style"/>
          <w:b w:val="0"/>
        </w:rPr>
        <w:t xml:space="preserve">, la variable </w:t>
      </w:r>
      <w:proofErr w:type="spellStart"/>
      <w:r w:rsidRPr="004B6EDA">
        <w:rPr>
          <w:rFonts w:ascii="Bookman Old Style" w:hAnsi="Bookman Old Style"/>
          <w:b w:val="0"/>
        </w:rPr>
        <w:t>VOEFP</w:t>
      </w:r>
      <w:r w:rsidRPr="004B6EDA">
        <w:rPr>
          <w:rFonts w:ascii="Bookman Old Style" w:hAnsi="Bookman Old Style"/>
          <w:b w:val="0"/>
          <w:sz w:val="28"/>
          <w:vertAlign w:val="subscript"/>
        </w:rPr>
        <w:t>n</w:t>
      </w:r>
      <w:proofErr w:type="gramStart"/>
      <w:r w:rsidRPr="004B6EDA">
        <w:rPr>
          <w:rFonts w:ascii="Bookman Old Style" w:hAnsi="Bookman Old Style"/>
          <w:b w:val="0"/>
          <w:sz w:val="28"/>
          <w:vertAlign w:val="subscript"/>
        </w:rPr>
        <w:t>,</w:t>
      </w:r>
      <w:r w:rsidR="00DC09C9" w:rsidRPr="004B6EDA">
        <w:rPr>
          <w:rFonts w:ascii="Bookman Old Style" w:hAnsi="Bookman Old Style"/>
          <w:b w:val="0"/>
          <w:sz w:val="28"/>
          <w:vertAlign w:val="subscript"/>
        </w:rPr>
        <w:t>GNI</w:t>
      </w:r>
      <w:proofErr w:type="spellEnd"/>
      <w:proofErr w:type="gramEnd"/>
      <w:r w:rsidRPr="004B6EDA">
        <w:rPr>
          <w:rFonts w:ascii="Bookman Old Style" w:hAnsi="Bookman Old Style"/>
          <w:b w:val="0"/>
        </w:rPr>
        <w:t xml:space="preserve"> del </w:t>
      </w:r>
      <w:r w:rsidR="00120525" w:rsidRPr="004B6EDA">
        <w:rPr>
          <w:rFonts w:ascii="Bookman Old Style" w:hAnsi="Bookman Old Style"/>
          <w:b w:val="0"/>
        </w:rPr>
        <w:t xml:space="preserve">artículo </w:t>
      </w:r>
      <w:r w:rsidRPr="004B6EDA">
        <w:rPr>
          <w:rFonts w:ascii="Bookman Old Style" w:hAnsi="Bookman Old Style"/>
          <w:b w:val="0"/>
        </w:rPr>
        <w:t>anterior, se calculará usando el siguiente factor:</w:t>
      </w:r>
    </w:p>
    <w:p w:rsidR="00772D44" w:rsidRPr="004B6EDA" w:rsidRDefault="00772D44" w:rsidP="00772D44">
      <w:pPr>
        <w:rPr>
          <w:rFonts w:ascii="Bookman Old Style" w:hAnsi="Bookman Old Style"/>
          <w:b/>
          <w:lang w:val="es-CO"/>
        </w:rPr>
      </w:pPr>
    </w:p>
    <w:p w:rsidR="00772D44" w:rsidRPr="00E10F2E" w:rsidRDefault="00772D44" w:rsidP="00772D44">
      <w:pPr>
        <w:pStyle w:val="Encabezado"/>
        <w:rPr>
          <w:rFonts w:ascii="Bookman Old Style" w:hAnsi="Bookman Old Style"/>
          <w:b/>
          <w:lang w:val="es-ES"/>
        </w:rPr>
      </w:pPr>
      <w:r w:rsidRPr="00120525">
        <w:rPr>
          <w:rFonts w:ascii="Bookman Old Style" w:hAnsi="Bookman Old Style"/>
          <w:b/>
          <w:lang w:val="es-ES"/>
        </w:rPr>
        <w:tab/>
      </w:r>
      <w:r w:rsidRPr="000B0B3A">
        <w:rPr>
          <w:rFonts w:ascii="Bookman Old Style" w:hAnsi="Bookman Old Style"/>
          <w:b/>
          <w:position w:val="-24"/>
          <w:lang w:val="es-ES"/>
        </w:rPr>
        <w:object w:dxaOrig="1920" w:dyaOrig="620">
          <v:shape id="_x0000_i1031" type="#_x0000_t75" style="width:95.25pt;height:30.75pt" o:ole="">
            <v:imagedata r:id="rId21" o:title=""/>
          </v:shape>
          <o:OLEObject Type="Embed" ProgID="Equation.3" ShapeID="_x0000_i1031" DrawAspect="Content" ObjectID="_1379224959" r:id="rId22"/>
        </w:object>
      </w:r>
    </w:p>
    <w:p w:rsidR="00772D44" w:rsidRPr="00E10F2E" w:rsidRDefault="00772D44" w:rsidP="00772D44">
      <w:pPr>
        <w:spacing w:before="120"/>
        <w:rPr>
          <w:rFonts w:ascii="Bookman Old Style" w:hAnsi="Bookman Old Style"/>
        </w:rPr>
      </w:pPr>
      <w:proofErr w:type="spellStart"/>
      <w:r w:rsidRPr="00E10F2E">
        <w:rPr>
          <w:rFonts w:ascii="Bookman Old Style" w:hAnsi="Bookman Old Style"/>
        </w:rPr>
        <w:t>Donde</w:t>
      </w:r>
      <w:proofErr w:type="spellEnd"/>
      <w:r w:rsidRPr="00E10F2E">
        <w:rPr>
          <w:rFonts w:ascii="Bookman Old Style" w:hAnsi="Bookman Old Style"/>
        </w:rPr>
        <w:t>:</w:t>
      </w:r>
    </w:p>
    <w:p w:rsidR="00772D44" w:rsidRPr="00E10F2E" w:rsidRDefault="00772D44" w:rsidP="004B6EDA">
      <w:pPr>
        <w:tabs>
          <w:tab w:val="center" w:pos="1418"/>
        </w:tabs>
        <w:spacing w:before="120"/>
        <w:rPr>
          <w:rFonts w:ascii="Bookman Old Style" w:hAnsi="Bookman Old Style"/>
        </w:rPr>
      </w:pPr>
      <w:r w:rsidRPr="00E10F2E">
        <w:rPr>
          <w:rFonts w:ascii="Bookman Old Style" w:hAnsi="Bookman Old Style"/>
        </w:rPr>
        <w:t>FMIC: Factor de multiplicación por incumplimiento del cronograma.</w:t>
      </w:r>
    </w:p>
    <w:p w:rsidR="00772D44" w:rsidRPr="00E10F2E" w:rsidRDefault="00772D44" w:rsidP="008A7F8F">
      <w:pPr>
        <w:spacing w:before="120"/>
        <w:ind w:left="1134" w:hanging="567"/>
        <w:jc w:val="both"/>
        <w:rPr>
          <w:rFonts w:ascii="Bookman Old Style" w:hAnsi="Bookman Old Style"/>
        </w:rPr>
      </w:pPr>
      <w:r w:rsidRPr="00E10F2E">
        <w:rPr>
          <w:rFonts w:ascii="Bookman Old Style" w:hAnsi="Bookman Old Style"/>
        </w:rPr>
        <w:t xml:space="preserve">DR: </w:t>
      </w:r>
      <w:r w:rsidR="00CE4B32">
        <w:rPr>
          <w:rFonts w:ascii="Bookman Old Style" w:hAnsi="Bookman Old Style"/>
        </w:rPr>
        <w:tab/>
      </w:r>
      <w:r w:rsidRPr="00E10F2E">
        <w:rPr>
          <w:rFonts w:ascii="Bookman Old Style" w:hAnsi="Bookman Old Style"/>
        </w:rPr>
        <w:t>Días de retraso de entrada en operación de la</w:t>
      </w:r>
      <w:r w:rsidR="0014484D" w:rsidRPr="00E10F2E">
        <w:rPr>
          <w:rFonts w:ascii="Bookman Old Style" w:hAnsi="Bookman Old Style"/>
        </w:rPr>
        <w:t xml:space="preserve"> infraestructura de importación</w:t>
      </w:r>
      <w:r w:rsidRPr="00E10F2E">
        <w:rPr>
          <w:rFonts w:ascii="Bookman Old Style" w:hAnsi="Bookman Old Style"/>
        </w:rPr>
        <w:t xml:space="preserve">, posteriores al IPVO. Cada vez que el Auditor certifique los días de retraso indicados en el presente </w:t>
      </w:r>
      <w:r w:rsidR="0014484D" w:rsidRPr="00E10F2E">
        <w:rPr>
          <w:rFonts w:ascii="Bookman Old Style" w:hAnsi="Bookman Old Style"/>
        </w:rPr>
        <w:t>artículo</w:t>
      </w:r>
      <w:r w:rsidRPr="00E10F2E">
        <w:rPr>
          <w:rFonts w:ascii="Bookman Old Style" w:hAnsi="Bookman Old Style"/>
        </w:rPr>
        <w:t>, se recalculará el valor de la cobertura.</w:t>
      </w:r>
    </w:p>
    <w:p w:rsidR="00772D44" w:rsidRPr="00E10F2E" w:rsidRDefault="00772D44" w:rsidP="00772D44">
      <w:pPr>
        <w:ind w:left="708"/>
        <w:rPr>
          <w:rFonts w:ascii="Bookman Old Style" w:hAnsi="Bookman Old Style"/>
        </w:rPr>
      </w:pPr>
    </w:p>
    <w:p w:rsidR="00772D44" w:rsidRPr="00E10F2E" w:rsidRDefault="00772D44" w:rsidP="008A7F8F">
      <w:pPr>
        <w:ind w:left="0"/>
        <w:jc w:val="both"/>
        <w:rPr>
          <w:rFonts w:ascii="Bookman Old Style" w:hAnsi="Bookman Old Style"/>
        </w:rPr>
      </w:pPr>
      <w:r w:rsidRPr="00E10F2E">
        <w:rPr>
          <w:rFonts w:ascii="Bookman Old Style" w:hAnsi="Bookman Old Style"/>
          <w:b/>
        </w:rPr>
        <w:t>Parágrafo 1.</w:t>
      </w:r>
      <w:r w:rsidRPr="00E10F2E">
        <w:rPr>
          <w:rFonts w:ascii="Bookman Old Style" w:hAnsi="Bookman Old Style"/>
        </w:rPr>
        <w:t xml:space="preserve"> El Auditor designado para verificar el cumplimiento del cronograma de construcción </w:t>
      </w:r>
      <w:r w:rsidR="0014484D" w:rsidRPr="00E10F2E">
        <w:rPr>
          <w:rFonts w:ascii="Bookman Old Style" w:hAnsi="Bookman Old Style"/>
        </w:rPr>
        <w:t>de la infraestructura de importación</w:t>
      </w:r>
      <w:r w:rsidRPr="00E10F2E">
        <w:rPr>
          <w:rFonts w:ascii="Bookman Old Style" w:hAnsi="Bookman Old Style"/>
        </w:rPr>
        <w:t xml:space="preserve"> y la puesta en operación de la misma, será el responsable de informar al ASIC el número de días de retraso de entrada en operación.</w:t>
      </w:r>
    </w:p>
    <w:p w:rsidR="00772D44" w:rsidRPr="00E10F2E" w:rsidRDefault="00772D44" w:rsidP="00772D44">
      <w:pPr>
        <w:rPr>
          <w:rFonts w:ascii="Bookman Old Style" w:hAnsi="Bookman Old Style"/>
        </w:rPr>
      </w:pPr>
    </w:p>
    <w:p w:rsidR="00772D44" w:rsidRPr="00E10F2E" w:rsidRDefault="00772D44" w:rsidP="008A7F8F">
      <w:pPr>
        <w:ind w:left="0"/>
        <w:jc w:val="both"/>
        <w:rPr>
          <w:rFonts w:ascii="Bookman Old Style" w:hAnsi="Bookman Old Style"/>
        </w:rPr>
      </w:pPr>
      <w:r w:rsidRPr="00E10F2E">
        <w:rPr>
          <w:rFonts w:ascii="Bookman Old Style" w:hAnsi="Bookman Old Style"/>
          <w:b/>
        </w:rPr>
        <w:t>Parágrafo 2.</w:t>
      </w:r>
      <w:r w:rsidRPr="00E10F2E">
        <w:rPr>
          <w:rFonts w:ascii="Bookman Old Style" w:hAnsi="Bookman Old Style"/>
        </w:rPr>
        <w:t xml:space="preserve"> El </w:t>
      </w:r>
      <w:r w:rsidR="0067260E">
        <w:rPr>
          <w:rFonts w:ascii="Bookman Old Style" w:hAnsi="Bookman Old Style"/>
        </w:rPr>
        <w:t xml:space="preserve">o </w:t>
      </w:r>
      <w:r w:rsidR="00DC09C9">
        <w:rPr>
          <w:rFonts w:ascii="Bookman Old Style" w:hAnsi="Bookman Old Style"/>
        </w:rPr>
        <w:t xml:space="preserve">los </w:t>
      </w:r>
      <w:r w:rsidRPr="00E10F2E">
        <w:rPr>
          <w:rFonts w:ascii="Bookman Old Style" w:hAnsi="Bookman Old Style"/>
        </w:rPr>
        <w:t>Agente Generador</w:t>
      </w:r>
      <w:r w:rsidR="006B577E">
        <w:rPr>
          <w:rFonts w:ascii="Bookman Old Style" w:hAnsi="Bookman Old Style"/>
        </w:rPr>
        <w:t>es</w:t>
      </w:r>
      <w:r w:rsidRPr="00E10F2E">
        <w:rPr>
          <w:rFonts w:ascii="Bookman Old Style" w:hAnsi="Bookman Old Style"/>
        </w:rPr>
        <w:t xml:space="preserve"> podrán solicitar auditorías con una periodicidad inferior a la establecida en la Regulación para actualizar el número de días de retraso de entrada en operación de sus plantas o unidades de generación, las cuales serán realizadas por la misma firma que realiza la auditoría. El</w:t>
      </w:r>
      <w:r w:rsidR="00DC7CE7">
        <w:rPr>
          <w:rFonts w:ascii="Bookman Old Style" w:hAnsi="Bookman Old Style"/>
        </w:rPr>
        <w:t xml:space="preserve"> o</w:t>
      </w:r>
      <w:r w:rsidRPr="00E10F2E">
        <w:rPr>
          <w:rFonts w:ascii="Bookman Old Style" w:hAnsi="Bookman Old Style"/>
        </w:rPr>
        <w:t xml:space="preserve"> </w:t>
      </w:r>
      <w:r w:rsidR="006B577E">
        <w:rPr>
          <w:rFonts w:ascii="Bookman Old Style" w:hAnsi="Bookman Old Style"/>
        </w:rPr>
        <w:t xml:space="preserve">los </w:t>
      </w:r>
      <w:r w:rsidRPr="00E10F2E">
        <w:rPr>
          <w:rFonts w:ascii="Bookman Old Style" w:hAnsi="Bookman Old Style"/>
        </w:rPr>
        <w:t>Agente</w:t>
      </w:r>
      <w:r w:rsidR="006B577E">
        <w:rPr>
          <w:rFonts w:ascii="Bookman Old Style" w:hAnsi="Bookman Old Style"/>
        </w:rPr>
        <w:t>s</w:t>
      </w:r>
      <w:r w:rsidRPr="00E10F2E">
        <w:rPr>
          <w:rFonts w:ascii="Bookman Old Style" w:hAnsi="Bookman Old Style"/>
        </w:rPr>
        <w:t xml:space="preserve"> Generador</w:t>
      </w:r>
      <w:r w:rsidR="006B577E">
        <w:rPr>
          <w:rFonts w:ascii="Bookman Old Style" w:hAnsi="Bookman Old Style"/>
        </w:rPr>
        <w:t>es</w:t>
      </w:r>
      <w:r w:rsidRPr="00E10F2E">
        <w:rPr>
          <w:rFonts w:ascii="Bookman Old Style" w:hAnsi="Bookman Old Style"/>
        </w:rPr>
        <w:t xml:space="preserve"> deberán pagar el costo de la auditoría adicional, previamente a la ejecución de la misma.</w:t>
      </w:r>
    </w:p>
    <w:p w:rsidR="00772D44" w:rsidRPr="00E10F2E" w:rsidRDefault="00772D44" w:rsidP="00772D44">
      <w:pPr>
        <w:rPr>
          <w:rFonts w:ascii="Bookman Old Style" w:hAnsi="Bookman Old Style"/>
        </w:rPr>
      </w:pPr>
    </w:p>
    <w:p w:rsidR="00772D44" w:rsidRPr="00120525" w:rsidRDefault="00772D44" w:rsidP="008A7F8F">
      <w:pPr>
        <w:ind w:left="0"/>
        <w:jc w:val="both"/>
        <w:rPr>
          <w:rFonts w:ascii="Bookman Old Style" w:hAnsi="Bookman Old Style"/>
          <w:b/>
        </w:rPr>
      </w:pPr>
      <w:r w:rsidRPr="00E10F2E">
        <w:rPr>
          <w:rFonts w:ascii="Bookman Old Style" w:hAnsi="Bookman Old Style"/>
          <w:b/>
        </w:rPr>
        <w:t xml:space="preserve">Parágrafo 3. </w:t>
      </w:r>
      <w:r w:rsidRPr="00E10F2E">
        <w:rPr>
          <w:rFonts w:ascii="Bookman Old Style" w:hAnsi="Bookman Old Style"/>
        </w:rPr>
        <w:t xml:space="preserve">En caso de que la garantía presentada por el </w:t>
      </w:r>
      <w:r w:rsidR="00AD1C53">
        <w:rPr>
          <w:rFonts w:ascii="Bookman Old Style" w:hAnsi="Bookman Old Style"/>
        </w:rPr>
        <w:t xml:space="preserve">o </w:t>
      </w:r>
      <w:r w:rsidR="006B577E">
        <w:rPr>
          <w:rFonts w:ascii="Bookman Old Style" w:hAnsi="Bookman Old Style"/>
        </w:rPr>
        <w:t xml:space="preserve">los </w:t>
      </w:r>
      <w:r w:rsidRPr="00E10F2E">
        <w:rPr>
          <w:rFonts w:ascii="Bookman Old Style" w:hAnsi="Bookman Old Style"/>
        </w:rPr>
        <w:t>Agente</w:t>
      </w:r>
      <w:r w:rsidR="006B577E">
        <w:rPr>
          <w:rFonts w:ascii="Bookman Old Style" w:hAnsi="Bookman Old Style"/>
        </w:rPr>
        <w:t>s</w:t>
      </w:r>
      <w:r w:rsidRPr="00E10F2E">
        <w:rPr>
          <w:rFonts w:ascii="Bookman Old Style" w:hAnsi="Bookman Old Style"/>
        </w:rPr>
        <w:t xml:space="preserve"> Generador</w:t>
      </w:r>
      <w:r w:rsidR="006B577E">
        <w:rPr>
          <w:rFonts w:ascii="Bookman Old Style" w:hAnsi="Bookman Old Style"/>
        </w:rPr>
        <w:t>es</w:t>
      </w:r>
      <w:r w:rsidRPr="00E10F2E">
        <w:rPr>
          <w:rFonts w:ascii="Bookman Old Style" w:hAnsi="Bookman Old Style"/>
        </w:rPr>
        <w:t xml:space="preserve"> deba ser ajustada, se dará cumplimiento a los plazos y procedimientos establecidos en el </w:t>
      </w:r>
      <w:r w:rsidR="0014484D" w:rsidRPr="00E10F2E">
        <w:rPr>
          <w:rFonts w:ascii="Bookman Old Style" w:hAnsi="Bookman Old Style"/>
        </w:rPr>
        <w:t xml:space="preserve">artículo </w:t>
      </w:r>
      <w:r w:rsidR="00120525">
        <w:rPr>
          <w:rFonts w:ascii="Bookman Old Style" w:hAnsi="Bookman Old Style"/>
        </w:rPr>
        <w:t>8</w:t>
      </w:r>
      <w:r w:rsidR="0014484D" w:rsidRPr="00120525">
        <w:rPr>
          <w:rFonts w:ascii="Bookman Old Style" w:hAnsi="Bookman Old Style"/>
        </w:rPr>
        <w:t xml:space="preserve"> </w:t>
      </w:r>
      <w:r w:rsidRPr="00120525">
        <w:rPr>
          <w:rFonts w:ascii="Bookman Old Style" w:hAnsi="Bookman Old Style"/>
        </w:rPr>
        <w:t xml:space="preserve">del presente </w:t>
      </w:r>
      <w:r w:rsidR="0014484D" w:rsidRPr="00120525">
        <w:rPr>
          <w:rFonts w:ascii="Bookman Old Style" w:hAnsi="Bookman Old Style"/>
        </w:rPr>
        <w:t>Anexo</w:t>
      </w:r>
      <w:r w:rsidRPr="00120525">
        <w:rPr>
          <w:rFonts w:ascii="Bookman Old Style" w:hAnsi="Bookman Old Style"/>
        </w:rPr>
        <w:t>.</w:t>
      </w:r>
    </w:p>
    <w:p w:rsidR="00772D44" w:rsidRPr="00E10F2E" w:rsidRDefault="00772D44" w:rsidP="00A855D8">
      <w:pPr>
        <w:ind w:left="0"/>
        <w:rPr>
          <w:rFonts w:ascii="Bookman Old Style" w:hAnsi="Bookman Old Style"/>
        </w:rPr>
      </w:pPr>
    </w:p>
    <w:p w:rsidR="00772D44" w:rsidRPr="00E32FF4" w:rsidRDefault="00772D44" w:rsidP="004B6EDA">
      <w:pPr>
        <w:pStyle w:val="Ttulo1"/>
        <w:jc w:val="both"/>
        <w:rPr>
          <w:rFonts w:ascii="Bookman Old Style" w:hAnsi="Bookman Old Style"/>
        </w:rPr>
      </w:pPr>
      <w:r w:rsidRPr="00E32FF4">
        <w:rPr>
          <w:rFonts w:ascii="Bookman Old Style" w:hAnsi="Bookman Old Style"/>
        </w:rPr>
        <w:t xml:space="preserve">Ajuste y Reposición de Garantías. </w:t>
      </w:r>
      <w:r w:rsidRPr="004B6EDA">
        <w:rPr>
          <w:rFonts w:ascii="Bookman Old Style" w:hAnsi="Bookman Old Style"/>
          <w:b w:val="0"/>
        </w:rPr>
        <w:t xml:space="preserve">Cuando la calidad crediticia de la entidad otorgante de la garantía disminuya por debajo de la calificación límite establecida en el </w:t>
      </w:r>
      <w:r w:rsidR="00120525" w:rsidRPr="004B6EDA">
        <w:rPr>
          <w:rFonts w:ascii="Bookman Old Style" w:hAnsi="Bookman Old Style"/>
          <w:b w:val="0"/>
        </w:rPr>
        <w:t xml:space="preserve">artículo </w:t>
      </w:r>
      <w:r w:rsidRPr="004B6EDA">
        <w:rPr>
          <w:rFonts w:ascii="Bookman Old Style" w:hAnsi="Bookman Old Style"/>
          <w:b w:val="0"/>
        </w:rPr>
        <w:t>3 del Reglamento</w:t>
      </w:r>
      <w:r w:rsidR="00120525" w:rsidRPr="004B6EDA">
        <w:rPr>
          <w:rFonts w:ascii="Bookman Old Style" w:hAnsi="Bookman Old Style"/>
          <w:b w:val="0"/>
        </w:rPr>
        <w:t xml:space="preserve"> de Garantías para el Cargo por Confiabilidad</w:t>
      </w:r>
      <w:r w:rsidRPr="004B6EDA">
        <w:rPr>
          <w:rFonts w:ascii="Bookman Old Style" w:hAnsi="Bookman Old Style"/>
          <w:b w:val="0"/>
        </w:rPr>
        <w:t xml:space="preserve"> o las garantías disminuyan su valor por debajo de los montos exigidos, o el valor de la cobertura deba ser ajustado conforme a lo previsto en el presente </w:t>
      </w:r>
      <w:r w:rsidR="00120525">
        <w:rPr>
          <w:rFonts w:ascii="Bookman Old Style" w:hAnsi="Bookman Old Style"/>
          <w:b w:val="0"/>
        </w:rPr>
        <w:t>Anexo</w:t>
      </w:r>
      <w:r w:rsidRPr="004B6EDA">
        <w:rPr>
          <w:rFonts w:ascii="Bookman Old Style" w:hAnsi="Bookman Old Style"/>
          <w:b w:val="0"/>
        </w:rPr>
        <w:t xml:space="preserve">, el </w:t>
      </w:r>
      <w:r w:rsidR="00B02458">
        <w:rPr>
          <w:rFonts w:ascii="Bookman Old Style" w:hAnsi="Bookman Old Style"/>
          <w:b w:val="0"/>
        </w:rPr>
        <w:t xml:space="preserve">o </w:t>
      </w:r>
      <w:r w:rsidR="006B577E">
        <w:rPr>
          <w:rFonts w:ascii="Bookman Old Style" w:hAnsi="Bookman Old Style"/>
          <w:b w:val="0"/>
        </w:rPr>
        <w:t xml:space="preserve">los </w:t>
      </w:r>
      <w:r w:rsidRPr="004B6EDA">
        <w:rPr>
          <w:rFonts w:ascii="Bookman Old Style" w:hAnsi="Bookman Old Style"/>
          <w:b w:val="0"/>
        </w:rPr>
        <w:t>Agente</w:t>
      </w:r>
      <w:r w:rsidR="006B577E">
        <w:rPr>
          <w:rFonts w:ascii="Bookman Old Style" w:hAnsi="Bookman Old Style"/>
          <w:b w:val="0"/>
        </w:rPr>
        <w:t>s</w:t>
      </w:r>
      <w:r w:rsidRPr="004B6EDA">
        <w:rPr>
          <w:rFonts w:ascii="Bookman Old Style" w:hAnsi="Bookman Old Style"/>
          <w:b w:val="0"/>
        </w:rPr>
        <w:t xml:space="preserve"> Generador</w:t>
      </w:r>
      <w:r w:rsidR="006B577E">
        <w:rPr>
          <w:rFonts w:ascii="Bookman Old Style" w:hAnsi="Bookman Old Style"/>
          <w:b w:val="0"/>
        </w:rPr>
        <w:t>es</w:t>
      </w:r>
      <w:r w:rsidRPr="004B6EDA">
        <w:rPr>
          <w:rFonts w:ascii="Bookman Old Style" w:hAnsi="Bookman Old Style"/>
          <w:b w:val="0"/>
        </w:rPr>
        <w:t xml:space="preserve"> deberán proceder a efectuar el </w:t>
      </w:r>
      <w:r w:rsidRPr="004B6EDA">
        <w:rPr>
          <w:rFonts w:ascii="Bookman Old Style" w:hAnsi="Bookman Old Style"/>
          <w:b w:val="0"/>
        </w:rPr>
        <w:lastRenderedPageBreak/>
        <w:t>ajuste o reposición respectivos en un plazo de quince (15) días hábiles contados a partir de la ocurrencia del hecho que da lugar al ajuste y/o reposición.</w:t>
      </w:r>
    </w:p>
    <w:p w:rsidR="00772D44" w:rsidRPr="004B6EDA" w:rsidRDefault="00772D44" w:rsidP="00772D44">
      <w:pPr>
        <w:rPr>
          <w:rFonts w:ascii="Bookman Old Style" w:hAnsi="Bookman Old Style"/>
          <w:lang w:val="es-CO"/>
        </w:rPr>
      </w:pPr>
    </w:p>
    <w:p w:rsidR="00772D44" w:rsidRPr="00FA6A1C" w:rsidRDefault="00772D44" w:rsidP="008A7F8F">
      <w:pPr>
        <w:ind w:left="0"/>
        <w:jc w:val="both"/>
        <w:rPr>
          <w:rFonts w:ascii="Bookman Old Style" w:hAnsi="Bookman Old Style"/>
        </w:rPr>
      </w:pPr>
      <w:r w:rsidRPr="00120525">
        <w:rPr>
          <w:rFonts w:ascii="Bookman Old Style" w:hAnsi="Bookman Old Style"/>
        </w:rPr>
        <w:t xml:space="preserve">Cuando la vigencia de las garantías deba ser prorrogada, el </w:t>
      </w:r>
      <w:r w:rsidR="009362B6">
        <w:rPr>
          <w:rFonts w:ascii="Bookman Old Style" w:hAnsi="Bookman Old Style"/>
        </w:rPr>
        <w:t xml:space="preserve">o </w:t>
      </w:r>
      <w:r w:rsidR="006B577E">
        <w:rPr>
          <w:rFonts w:ascii="Bookman Old Style" w:hAnsi="Bookman Old Style"/>
        </w:rPr>
        <w:t xml:space="preserve">los </w:t>
      </w:r>
      <w:r w:rsidRPr="00120525">
        <w:rPr>
          <w:rFonts w:ascii="Bookman Old Style" w:hAnsi="Bookman Old Style"/>
        </w:rPr>
        <w:t>Agente</w:t>
      </w:r>
      <w:r w:rsidR="006B577E">
        <w:rPr>
          <w:rFonts w:ascii="Bookman Old Style" w:hAnsi="Bookman Old Style"/>
        </w:rPr>
        <w:t>s</w:t>
      </w:r>
      <w:r w:rsidRPr="00120525">
        <w:rPr>
          <w:rFonts w:ascii="Bookman Old Style" w:hAnsi="Bookman Old Style"/>
        </w:rPr>
        <w:t xml:space="preserve"> Generador</w:t>
      </w:r>
      <w:r w:rsidR="006B577E">
        <w:rPr>
          <w:rFonts w:ascii="Bookman Old Style" w:hAnsi="Bookman Old Style"/>
        </w:rPr>
        <w:t>es</w:t>
      </w:r>
      <w:r w:rsidRPr="00120525">
        <w:rPr>
          <w:rFonts w:ascii="Bookman Old Style" w:hAnsi="Bookman Old Style"/>
        </w:rPr>
        <w:t xml:space="preserve"> deberán proceder a efectuar el ajuste o reposición respectivos en un plazo de quince (15) días hábiles previos a la fecha en que</w:t>
      </w:r>
      <w:r w:rsidRPr="00FA6A1C">
        <w:rPr>
          <w:rFonts w:ascii="Bookman Old Style" w:hAnsi="Bookman Old Style"/>
        </w:rPr>
        <w:t xml:space="preserve"> termina la vigencia de la garantía. </w:t>
      </w:r>
    </w:p>
    <w:p w:rsidR="00772D44" w:rsidRPr="00E10F2E" w:rsidRDefault="00772D44" w:rsidP="00772D44">
      <w:pPr>
        <w:rPr>
          <w:rFonts w:ascii="Bookman Old Style" w:hAnsi="Bookman Old Style"/>
        </w:rPr>
      </w:pPr>
    </w:p>
    <w:p w:rsidR="00772D44" w:rsidRPr="00E10F2E" w:rsidRDefault="00772D44" w:rsidP="008A7F8F">
      <w:pPr>
        <w:ind w:left="0"/>
        <w:jc w:val="both"/>
        <w:rPr>
          <w:rFonts w:ascii="Bookman Old Style" w:hAnsi="Bookman Old Style"/>
        </w:rPr>
      </w:pPr>
      <w:r w:rsidRPr="00E10F2E">
        <w:rPr>
          <w:rFonts w:ascii="Bookman Old Style" w:hAnsi="Bookman Old Style"/>
        </w:rPr>
        <w:t>En caso de iniciarse un proceso concursal, de toma de posesión o de liquidación a la entidad garante, administradora o emisora de la garantía, el</w:t>
      </w:r>
      <w:r w:rsidR="006B577E">
        <w:rPr>
          <w:rFonts w:ascii="Bookman Old Style" w:hAnsi="Bookman Old Style"/>
        </w:rPr>
        <w:t xml:space="preserve"> </w:t>
      </w:r>
      <w:r w:rsidR="009362B6">
        <w:rPr>
          <w:rFonts w:ascii="Bookman Old Style" w:hAnsi="Bookman Old Style"/>
        </w:rPr>
        <w:t xml:space="preserve">o </w:t>
      </w:r>
      <w:r w:rsidR="006B577E">
        <w:rPr>
          <w:rFonts w:ascii="Bookman Old Style" w:hAnsi="Bookman Old Style"/>
        </w:rPr>
        <w:t>los</w:t>
      </w:r>
      <w:r w:rsidRPr="00E10F2E">
        <w:rPr>
          <w:rFonts w:ascii="Bookman Old Style" w:hAnsi="Bookman Old Style"/>
        </w:rPr>
        <w:t xml:space="preserve"> Agente</w:t>
      </w:r>
      <w:r w:rsidR="006B577E">
        <w:rPr>
          <w:rFonts w:ascii="Bookman Old Style" w:hAnsi="Bookman Old Style"/>
        </w:rPr>
        <w:t>s</w:t>
      </w:r>
      <w:r w:rsidRPr="00E10F2E">
        <w:rPr>
          <w:rFonts w:ascii="Bookman Old Style" w:hAnsi="Bookman Old Style"/>
        </w:rPr>
        <w:t xml:space="preserve"> Generador</w:t>
      </w:r>
      <w:r w:rsidR="006B577E">
        <w:rPr>
          <w:rFonts w:ascii="Bookman Old Style" w:hAnsi="Bookman Old Style"/>
        </w:rPr>
        <w:t>es</w:t>
      </w:r>
      <w:r w:rsidRPr="00E10F2E">
        <w:rPr>
          <w:rFonts w:ascii="Bookman Old Style" w:hAnsi="Bookman Old Style"/>
        </w:rPr>
        <w:t xml:space="preserve"> </w:t>
      </w:r>
      <w:r w:rsidR="009362B6">
        <w:rPr>
          <w:rFonts w:ascii="Bookman Old Style" w:hAnsi="Bookman Old Style"/>
        </w:rPr>
        <w:t>que presenten</w:t>
      </w:r>
      <w:r w:rsidRPr="00E10F2E">
        <w:rPr>
          <w:rFonts w:ascii="Bookman Old Style" w:hAnsi="Bookman Old Style"/>
        </w:rPr>
        <w:t xml:space="preserve"> la garantía deberá</w:t>
      </w:r>
      <w:r w:rsidR="009362B6">
        <w:rPr>
          <w:rFonts w:ascii="Bookman Old Style" w:hAnsi="Bookman Old Style"/>
        </w:rPr>
        <w:t>n</w:t>
      </w:r>
      <w:r w:rsidRPr="00E10F2E">
        <w:rPr>
          <w:rFonts w:ascii="Bookman Old Style" w:hAnsi="Bookman Old Style"/>
        </w:rPr>
        <w:t xml:space="preserve"> sustituirla en un plazo máximo de quince (15) días hábiles, a partir del inicio de cualquiera de los procesos indicados.</w:t>
      </w:r>
    </w:p>
    <w:p w:rsidR="00D77DDC" w:rsidRPr="00E10F2E" w:rsidRDefault="00D77DDC" w:rsidP="008A7F8F">
      <w:pPr>
        <w:ind w:left="0"/>
        <w:rPr>
          <w:rFonts w:ascii="Bookman Old Style" w:hAnsi="Bookman Old Style"/>
        </w:rPr>
      </w:pPr>
    </w:p>
    <w:p w:rsidR="00772D44" w:rsidRPr="00FA6A1C" w:rsidRDefault="00772D44" w:rsidP="008A7F8F">
      <w:pPr>
        <w:ind w:left="0"/>
        <w:jc w:val="both"/>
        <w:rPr>
          <w:rFonts w:ascii="Bookman Old Style" w:hAnsi="Bookman Old Style"/>
        </w:rPr>
      </w:pPr>
      <w:r w:rsidRPr="00E10F2E">
        <w:rPr>
          <w:rFonts w:ascii="Bookman Old Style" w:hAnsi="Bookman Old Style"/>
        </w:rPr>
        <w:t xml:space="preserve">Si transcurridos los plazos indicados en este </w:t>
      </w:r>
      <w:r w:rsidR="00FA6A1C">
        <w:rPr>
          <w:rFonts w:ascii="Bookman Old Style" w:hAnsi="Bookman Old Style"/>
        </w:rPr>
        <w:t>Anexo</w:t>
      </w:r>
      <w:r w:rsidRPr="00FA6A1C">
        <w:rPr>
          <w:rFonts w:ascii="Bookman Old Style" w:hAnsi="Bookman Old Style"/>
        </w:rPr>
        <w:t xml:space="preserve"> el </w:t>
      </w:r>
      <w:r w:rsidR="009362B6">
        <w:rPr>
          <w:rFonts w:ascii="Bookman Old Style" w:hAnsi="Bookman Old Style"/>
        </w:rPr>
        <w:t xml:space="preserve">o </w:t>
      </w:r>
      <w:r w:rsidR="006B577E">
        <w:rPr>
          <w:rFonts w:ascii="Bookman Old Style" w:hAnsi="Bookman Old Style"/>
        </w:rPr>
        <w:t xml:space="preserve">los </w:t>
      </w:r>
      <w:r w:rsidRPr="00FA6A1C">
        <w:rPr>
          <w:rFonts w:ascii="Bookman Old Style" w:hAnsi="Bookman Old Style"/>
        </w:rPr>
        <w:t>Agente</w:t>
      </w:r>
      <w:r w:rsidR="006B577E">
        <w:rPr>
          <w:rFonts w:ascii="Bookman Old Style" w:hAnsi="Bookman Old Style"/>
        </w:rPr>
        <w:t>s</w:t>
      </w:r>
      <w:r w:rsidRPr="00FA6A1C">
        <w:rPr>
          <w:rFonts w:ascii="Bookman Old Style" w:hAnsi="Bookman Old Style"/>
        </w:rPr>
        <w:t xml:space="preserve"> Generador</w:t>
      </w:r>
      <w:r w:rsidR="006B577E">
        <w:rPr>
          <w:rFonts w:ascii="Bookman Old Style" w:hAnsi="Bookman Old Style"/>
        </w:rPr>
        <w:t>es</w:t>
      </w:r>
      <w:r w:rsidRPr="00FA6A1C">
        <w:rPr>
          <w:rFonts w:ascii="Bookman Old Style" w:hAnsi="Bookman Old Style"/>
        </w:rPr>
        <w:t xml:space="preserve"> no reponen la garantía o no ajustan el monto de la misma, se entiende, a partir de la fecha en que se configure el incumplimiento, terminada la Obligación de Energía Firme gara</w:t>
      </w:r>
      <w:r w:rsidRPr="00E10F2E">
        <w:rPr>
          <w:rFonts w:ascii="Bookman Old Style" w:hAnsi="Bookman Old Style"/>
        </w:rPr>
        <w:t xml:space="preserve">ntizada y perdida la remuneración asociada a la misma, en los términos establecidos en </w:t>
      </w:r>
      <w:r w:rsidR="00FA6A1C">
        <w:rPr>
          <w:rFonts w:ascii="Bookman Old Style" w:hAnsi="Bookman Old Style"/>
        </w:rPr>
        <w:t>esta Resolución</w:t>
      </w:r>
      <w:r w:rsidRPr="00FA6A1C">
        <w:rPr>
          <w:rFonts w:ascii="Bookman Old Style" w:hAnsi="Bookman Old Style"/>
        </w:rPr>
        <w:t>, sin perjuicio de la ejecución de la garantía respectiva.</w:t>
      </w:r>
    </w:p>
    <w:p w:rsidR="002F3E70" w:rsidRPr="00E10F2E" w:rsidRDefault="002F3E70" w:rsidP="00A855D8">
      <w:pPr>
        <w:ind w:left="0"/>
        <w:rPr>
          <w:rFonts w:ascii="Bookman Old Style" w:hAnsi="Bookman Old Style"/>
        </w:rPr>
      </w:pPr>
    </w:p>
    <w:p w:rsidR="002F3E70" w:rsidRPr="00E10F2E" w:rsidRDefault="002F3E70" w:rsidP="00A855D8">
      <w:pPr>
        <w:ind w:left="0"/>
        <w:rPr>
          <w:rFonts w:ascii="Bookman Old Style" w:hAnsi="Bookman Old Style"/>
        </w:rPr>
      </w:pPr>
    </w:p>
    <w:p w:rsidR="002F3E70" w:rsidRPr="00E10F2E" w:rsidRDefault="002F3E70" w:rsidP="00A855D8">
      <w:pPr>
        <w:ind w:left="0"/>
        <w:rPr>
          <w:rFonts w:ascii="Bookman Old Style" w:hAnsi="Bookman Old Style"/>
        </w:rPr>
      </w:pPr>
    </w:p>
    <w:p w:rsidR="00A855D8" w:rsidRPr="00E10F2E" w:rsidRDefault="00A855D8" w:rsidP="00A855D8">
      <w:pPr>
        <w:ind w:left="0"/>
        <w:rPr>
          <w:rFonts w:ascii="Bookman Old Style" w:hAnsi="Bookman Old Style"/>
        </w:rPr>
      </w:pPr>
    </w:p>
    <w:tbl>
      <w:tblPr>
        <w:tblW w:w="9761" w:type="dxa"/>
        <w:jc w:val="right"/>
        <w:tblLayout w:type="fixed"/>
        <w:tblCellMar>
          <w:left w:w="70" w:type="dxa"/>
          <w:right w:w="70" w:type="dxa"/>
        </w:tblCellMar>
        <w:tblLook w:val="0000" w:firstRow="0" w:lastRow="0" w:firstColumn="0" w:lastColumn="0" w:noHBand="0" w:noVBand="0"/>
      </w:tblPr>
      <w:tblGrid>
        <w:gridCol w:w="4503"/>
        <w:gridCol w:w="5258"/>
      </w:tblGrid>
      <w:tr w:rsidR="00A855D8" w:rsidRPr="00E10F2E" w:rsidTr="002F3E70">
        <w:trPr>
          <w:jc w:val="right"/>
        </w:trPr>
        <w:tc>
          <w:tcPr>
            <w:tcW w:w="4503" w:type="dxa"/>
            <w:shd w:val="clear" w:color="auto" w:fill="auto"/>
          </w:tcPr>
          <w:p w:rsidR="00A855D8" w:rsidRPr="00E10F2E" w:rsidRDefault="00A855D8" w:rsidP="009A408D">
            <w:pPr>
              <w:ind w:left="204"/>
              <w:rPr>
                <w:rFonts w:ascii="Bookman Old Style" w:hAnsi="Bookman Old Style" w:cs="Arial"/>
                <w:b/>
                <w:spacing w:val="-3"/>
                <w:lang w:val="es-ES_tradnl"/>
              </w:rPr>
            </w:pPr>
            <w:r w:rsidRPr="00E10F2E">
              <w:rPr>
                <w:rFonts w:ascii="Bookman Old Style" w:hAnsi="Bookman Old Style" w:cs="Arial"/>
                <w:b/>
                <w:spacing w:val="-3"/>
              </w:rPr>
              <w:t xml:space="preserve">  TOMÁS GONZÁLEZ ESTRADA</w:t>
            </w:r>
          </w:p>
        </w:tc>
        <w:tc>
          <w:tcPr>
            <w:tcW w:w="5258" w:type="dxa"/>
            <w:shd w:val="clear" w:color="auto" w:fill="auto"/>
          </w:tcPr>
          <w:p w:rsidR="00A855D8" w:rsidRPr="00E10F2E" w:rsidRDefault="00A855D8" w:rsidP="009A408D">
            <w:pPr>
              <w:ind w:left="161" w:right="567"/>
              <w:jc w:val="right"/>
              <w:rPr>
                <w:rFonts w:ascii="Bookman Old Style" w:hAnsi="Bookman Old Style" w:cs="Arial"/>
                <w:b/>
                <w:spacing w:val="-3"/>
                <w:lang w:val="es-ES_tradnl"/>
              </w:rPr>
            </w:pPr>
            <w:r w:rsidRPr="00E10F2E">
              <w:rPr>
                <w:rFonts w:ascii="Bookman Old Style" w:hAnsi="Bookman Old Style" w:cs="Arial"/>
                <w:b/>
                <w:spacing w:val="-3"/>
                <w:lang w:val="es-ES_tradnl"/>
              </w:rPr>
              <w:t>JAVIER AUGUSTO DÍAZ VELASCO</w:t>
            </w:r>
          </w:p>
        </w:tc>
      </w:tr>
      <w:tr w:rsidR="00A855D8" w:rsidRPr="00E10F2E" w:rsidTr="002F3E70">
        <w:trPr>
          <w:jc w:val="right"/>
        </w:trPr>
        <w:tc>
          <w:tcPr>
            <w:tcW w:w="4503" w:type="dxa"/>
            <w:shd w:val="clear" w:color="auto" w:fill="auto"/>
          </w:tcPr>
          <w:p w:rsidR="00A855D8" w:rsidRPr="00120525" w:rsidRDefault="00A855D8" w:rsidP="009A408D">
            <w:pPr>
              <w:ind w:left="0"/>
              <w:jc w:val="center"/>
              <w:rPr>
                <w:rFonts w:ascii="Bookman Old Style" w:hAnsi="Bookman Old Style" w:cs="Arial"/>
                <w:spacing w:val="-3"/>
                <w:lang w:val="es-ES_tradnl"/>
              </w:rPr>
            </w:pPr>
            <w:r w:rsidRPr="00E10F2E">
              <w:rPr>
                <w:rFonts w:ascii="Bookman Old Style" w:hAnsi="Bookman Old Style" w:cs="Arial"/>
                <w:spacing w:val="-3"/>
                <w:lang w:val="es-ES_tradnl"/>
              </w:rPr>
              <w:t>Viceministr</w:t>
            </w:r>
            <w:r w:rsidRPr="00120525">
              <w:rPr>
                <w:rFonts w:ascii="Bookman Old Style" w:hAnsi="Bookman Old Style" w:cs="Arial"/>
                <w:spacing w:val="-3"/>
                <w:lang w:val="es-ES_tradnl"/>
              </w:rPr>
              <w:t>o de Minas y Energía</w:t>
            </w:r>
          </w:p>
          <w:p w:rsidR="00A855D8" w:rsidRPr="000C0E2A" w:rsidRDefault="00A855D8" w:rsidP="009A408D">
            <w:pPr>
              <w:ind w:left="0"/>
              <w:jc w:val="center"/>
              <w:rPr>
                <w:rFonts w:ascii="Bookman Old Style" w:hAnsi="Bookman Old Style" w:cs="Arial"/>
                <w:spacing w:val="-3"/>
                <w:lang w:val="es-ES_tradnl"/>
              </w:rPr>
            </w:pPr>
            <w:r w:rsidRPr="000C0E2A">
              <w:rPr>
                <w:rFonts w:ascii="Bookman Old Style" w:hAnsi="Bookman Old Style" w:cs="Arial"/>
                <w:spacing w:val="-3"/>
                <w:lang w:val="es-ES_tradnl"/>
              </w:rPr>
              <w:t>Delegado del Ministro de Minas y Energía</w:t>
            </w:r>
          </w:p>
        </w:tc>
        <w:tc>
          <w:tcPr>
            <w:tcW w:w="5258" w:type="dxa"/>
            <w:shd w:val="clear" w:color="auto" w:fill="auto"/>
          </w:tcPr>
          <w:p w:rsidR="00A855D8" w:rsidRPr="00E10F2E" w:rsidRDefault="00A855D8" w:rsidP="009A408D">
            <w:pPr>
              <w:rPr>
                <w:rFonts w:ascii="Bookman Old Style" w:hAnsi="Bookman Old Style" w:cs="Arial"/>
                <w:spacing w:val="-3"/>
                <w:lang w:val="es-ES_tradnl"/>
              </w:rPr>
            </w:pPr>
            <w:r w:rsidRPr="00E10F2E">
              <w:rPr>
                <w:rFonts w:ascii="Bookman Old Style" w:hAnsi="Bookman Old Style" w:cs="Arial"/>
                <w:spacing w:val="-3"/>
                <w:lang w:val="es-ES_tradnl"/>
              </w:rPr>
              <w:t xml:space="preserve">           Director Ejecutivo</w:t>
            </w:r>
          </w:p>
        </w:tc>
      </w:tr>
      <w:tr w:rsidR="00A855D8" w:rsidRPr="00E10F2E" w:rsidTr="002F3E70">
        <w:trPr>
          <w:jc w:val="right"/>
        </w:trPr>
        <w:tc>
          <w:tcPr>
            <w:tcW w:w="4503" w:type="dxa"/>
            <w:shd w:val="clear" w:color="auto" w:fill="auto"/>
          </w:tcPr>
          <w:p w:rsidR="00A855D8" w:rsidRPr="00120525" w:rsidRDefault="00A855D8" w:rsidP="009A408D">
            <w:pPr>
              <w:rPr>
                <w:rFonts w:ascii="Bookman Old Style" w:hAnsi="Bookman Old Style" w:cs="Arial"/>
                <w:spacing w:val="-3"/>
              </w:rPr>
            </w:pPr>
            <w:r w:rsidRPr="00E10F2E">
              <w:rPr>
                <w:rFonts w:ascii="Bookman Old Style" w:hAnsi="Bookman Old Style" w:cs="Arial"/>
                <w:spacing w:val="-3"/>
              </w:rPr>
              <w:t xml:space="preserve">             </w:t>
            </w:r>
            <w:r w:rsidRPr="00120525">
              <w:rPr>
                <w:rFonts w:ascii="Bookman Old Style" w:hAnsi="Bookman Old Style" w:cs="Arial"/>
                <w:spacing w:val="-3"/>
              </w:rPr>
              <w:t>Presidente</w:t>
            </w:r>
          </w:p>
        </w:tc>
        <w:tc>
          <w:tcPr>
            <w:tcW w:w="5258" w:type="dxa"/>
            <w:shd w:val="clear" w:color="auto" w:fill="auto"/>
          </w:tcPr>
          <w:p w:rsidR="00A855D8" w:rsidRPr="000C0E2A" w:rsidRDefault="00A855D8" w:rsidP="009A408D">
            <w:pPr>
              <w:rPr>
                <w:rFonts w:ascii="Bookman Old Style" w:hAnsi="Bookman Old Style" w:cs="Arial"/>
                <w:spacing w:val="-3"/>
              </w:rPr>
            </w:pPr>
          </w:p>
        </w:tc>
      </w:tr>
    </w:tbl>
    <w:p w:rsidR="00B351B4" w:rsidRPr="00E10F2E" w:rsidRDefault="00B351B4" w:rsidP="00012259">
      <w:pPr>
        <w:ind w:left="0"/>
        <w:rPr>
          <w:rFonts w:ascii="Bookman Old Style" w:hAnsi="Bookman Old Style"/>
          <w:bCs/>
          <w:lang w:val="es-CO"/>
        </w:rPr>
      </w:pPr>
    </w:p>
    <w:sectPr w:rsidR="00B351B4" w:rsidRPr="00E10F2E" w:rsidSect="000F4A89">
      <w:headerReference w:type="default" r:id="rId23"/>
      <w:headerReference w:type="first" r:id="rId24"/>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988" w:rsidRDefault="00205988">
      <w:r>
        <w:separator/>
      </w:r>
    </w:p>
  </w:endnote>
  <w:endnote w:type="continuationSeparator" w:id="0">
    <w:p w:rsidR="00205988" w:rsidRDefault="00205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988" w:rsidRDefault="00205988">
      <w:r>
        <w:separator/>
      </w:r>
    </w:p>
  </w:footnote>
  <w:footnote w:type="continuationSeparator" w:id="0">
    <w:p w:rsidR="00205988" w:rsidRDefault="00205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25D" w:rsidRDefault="00E6025D" w:rsidP="004B6EDA">
    <w:pPr>
      <w:pStyle w:val="Ttulo1"/>
      <w:numPr>
        <w:ilvl w:val="0"/>
        <w:numId w:val="0"/>
      </w:numPr>
      <w:ind w:right="6"/>
      <w:jc w:val="left"/>
      <w:rPr>
        <w:rFonts w:ascii="Bookman Old Style" w:hAnsi="Bookman Old Style" w:cs="Arial"/>
        <w:b w:val="0"/>
        <w:sz w:val="22"/>
        <w:szCs w:val="22"/>
      </w:rPr>
    </w:pPr>
  </w:p>
  <w:p w:rsidR="00E6025D" w:rsidRPr="00951F79" w:rsidRDefault="00E6025D" w:rsidP="004B6EDA">
    <w:pPr>
      <w:pStyle w:val="Ttulo1"/>
      <w:numPr>
        <w:ilvl w:val="0"/>
        <w:numId w:val="0"/>
      </w:numPr>
      <w:ind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Pr>
        <w:rFonts w:ascii="Bookman Old Style" w:hAnsi="Bookman Old Style" w:cs="Arial"/>
        <w:b w:val="0"/>
        <w:sz w:val="22"/>
        <w:szCs w:val="22"/>
      </w:rPr>
      <w:t xml:space="preserve">  ________________</w:t>
    </w:r>
    <w:r w:rsidRPr="00654384">
      <w:rPr>
        <w:rFonts w:ascii="Bookman Old Style" w:hAnsi="Bookman Old Style" w:cs="Arial"/>
        <w:b w:val="0"/>
        <w:sz w:val="22"/>
        <w:szCs w:val="22"/>
      </w:rPr>
      <w:tab/>
    </w:r>
    <w:r>
      <w:rPr>
        <w:rFonts w:ascii="Bookman Old Style" w:hAnsi="Bookman Old Style" w:cs="Arial"/>
        <w:b w:val="0"/>
        <w:sz w:val="22"/>
        <w:szCs w:val="22"/>
      </w:rPr>
      <w:t>DE ________________</w:t>
    </w:r>
    <w:r>
      <w:rPr>
        <w:rFonts w:ascii="Bookman Old Style" w:hAnsi="Bookman Old Style" w:cs="Arial"/>
        <w:b w:val="0"/>
        <w:sz w:val="22"/>
        <w:szCs w:val="22"/>
      </w:rPr>
      <w:tab/>
    </w:r>
    <w:r w:rsidRPr="00654384">
      <w:rPr>
        <w:rFonts w:ascii="Bookman Old Style" w:hAnsi="Bookman Old Style" w:cs="Arial"/>
        <w:b w:val="0"/>
        <w:sz w:val="22"/>
        <w:szCs w:val="22"/>
      </w:rPr>
      <w:t xml:space="preserve">HOJA No. </w:t>
    </w:r>
    <w:r w:rsidRPr="00654384">
      <w:rPr>
        <w:rFonts w:ascii="Bookman Old Style" w:hAnsi="Bookman Old Style" w:cs="Arial"/>
        <w:b w:val="0"/>
        <w:sz w:val="22"/>
        <w:szCs w:val="22"/>
      </w:rPr>
      <w:fldChar w:fldCharType="begin"/>
    </w:r>
    <w:r w:rsidRPr="00654384">
      <w:rPr>
        <w:rFonts w:ascii="Bookman Old Style" w:hAnsi="Bookman Old Style" w:cs="Arial"/>
        <w:b w:val="0"/>
        <w:sz w:val="22"/>
        <w:szCs w:val="22"/>
      </w:rPr>
      <w:instrText xml:space="preserve"> PAGE   \* MERGEFORMAT </w:instrText>
    </w:r>
    <w:r w:rsidRPr="00654384">
      <w:rPr>
        <w:rFonts w:ascii="Bookman Old Style" w:hAnsi="Bookman Old Style" w:cs="Arial"/>
        <w:b w:val="0"/>
        <w:sz w:val="22"/>
        <w:szCs w:val="22"/>
      </w:rPr>
      <w:fldChar w:fldCharType="separate"/>
    </w:r>
    <w:r w:rsidR="00FF3B21">
      <w:rPr>
        <w:rFonts w:ascii="Bookman Old Style" w:hAnsi="Bookman Old Style" w:cs="Arial"/>
        <w:b w:val="0"/>
        <w:noProof/>
        <w:sz w:val="22"/>
        <w:szCs w:val="22"/>
      </w:rPr>
      <w:t>18</w:t>
    </w:r>
    <w:r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r w:rsidR="00FF3B21">
      <w:fldChar w:fldCharType="begin"/>
    </w:r>
    <w:r w:rsidR="00FF3B21">
      <w:instrText xml:space="preserve"> NUMPAGES  \* MERGEFORMAT </w:instrText>
    </w:r>
    <w:r w:rsidR="00FF3B21">
      <w:fldChar w:fldCharType="separate"/>
    </w:r>
    <w:r w:rsidR="00FF3B21" w:rsidRPr="00FF3B21">
      <w:rPr>
        <w:rFonts w:ascii="Bookman Old Style" w:hAnsi="Bookman Old Style" w:cs="Arial"/>
        <w:b w:val="0"/>
        <w:noProof/>
        <w:sz w:val="22"/>
        <w:szCs w:val="22"/>
      </w:rPr>
      <w:t>18</w:t>
    </w:r>
    <w:r w:rsidR="00FF3B21">
      <w:rPr>
        <w:rFonts w:ascii="Bookman Old Style" w:hAnsi="Bookman Old Style" w:cs="Arial"/>
        <w:b w:val="0"/>
        <w:noProof/>
        <w:sz w:val="22"/>
        <w:szCs w:val="22"/>
      </w:rPr>
      <w:fldChar w:fldCharType="end"/>
    </w:r>
  </w:p>
  <w:p w:rsidR="00E6025D" w:rsidRDefault="00E6025D" w:rsidP="00AD01E4">
    <w:pPr>
      <w:ind w:left="142" w:right="148"/>
      <w:rPr>
        <w:rFonts w:ascii="Bookman Old Style" w:hAnsi="Bookman Old Style" w:cs="Arial"/>
      </w:rPr>
    </w:pPr>
    <w:r>
      <w:rPr>
        <w:noProof/>
        <w:lang w:val="es-CO" w:eastAsia="es-CO"/>
      </w:rPr>
      <mc:AlternateContent>
        <mc:Choice Requires="wps">
          <w:drawing>
            <wp:anchor distT="0" distB="0" distL="114300" distR="114300" simplePos="0" relativeHeight="251657216" behindDoc="0" locked="0" layoutInCell="1" allowOverlap="1" wp14:anchorId="609D71F0" wp14:editId="1328F40F">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" filled="f" strokeweight="1.5pt"/>
          </w:pict>
        </mc:Fallback>
      </mc:AlternateContent>
    </w:r>
  </w:p>
  <w:p w:rsidR="00E6025D" w:rsidRPr="00DB4F37" w:rsidRDefault="00E6025D" w:rsidP="004B6EDA">
    <w:pPr>
      <w:ind w:left="0"/>
      <w:jc w:val="both"/>
      <w:rPr>
        <w:rFonts w:ascii="Bookman Old Style" w:hAnsi="Bookman Old Style"/>
        <w:sz w:val="22"/>
        <w:szCs w:val="22"/>
        <w:lang w:val="es-CO"/>
      </w:rPr>
    </w:pPr>
    <w:r w:rsidRPr="00DB4F37">
      <w:rPr>
        <w:rFonts w:ascii="Bookman Old Style" w:hAnsi="Bookman Old Style"/>
        <w:sz w:val="22"/>
        <w:szCs w:val="22"/>
        <w:lang w:val="es-CO"/>
      </w:rPr>
      <w:t>Por  la cual se define una opción con gas natural importado para respaldar Obligaciones de Energ</w:t>
    </w:r>
    <w:r>
      <w:rPr>
        <w:rFonts w:ascii="Bookman Old Style" w:hAnsi="Bookman Old Style"/>
        <w:sz w:val="22"/>
        <w:szCs w:val="22"/>
        <w:lang w:val="es-CO"/>
      </w:rPr>
      <w:t xml:space="preserve">ía Firme del Cargo por Confiabilidad </w:t>
    </w:r>
    <w:r w:rsidRPr="002A4CBB">
      <w:rPr>
        <w:rFonts w:ascii="Bookman Old Style" w:hAnsi="Bookman Old Style"/>
        <w:sz w:val="22"/>
        <w:szCs w:val="22"/>
        <w:lang w:val="es-CO"/>
      </w:rPr>
      <w:t>y se adoptan otras disposiciones.</w:t>
    </w:r>
  </w:p>
  <w:p w:rsidR="00E6025D" w:rsidRPr="00D32D32" w:rsidRDefault="00E6025D" w:rsidP="00D32D32">
    <w:pPr>
      <w:pBdr>
        <w:bottom w:val="single" w:sz="4" w:space="1" w:color="auto"/>
      </w:pBdr>
      <w:ind w:left="0" w:right="148"/>
      <w:rPr>
        <w:b/>
        <w:sz w:val="12"/>
        <w:szCs w:val="12"/>
        <w:lang w:val="es-C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25D" w:rsidRDefault="00E6025D" w:rsidP="00025383">
    <w:pPr>
      <w:pStyle w:val="Encabezado"/>
      <w:jc w:val="both"/>
      <w:rPr>
        <w:rFonts w:ascii="Arial" w:hAnsi="Arial" w:cs="Arial"/>
        <w:spacing w:val="20"/>
        <w:sz w:val="20"/>
      </w:rPr>
    </w:pPr>
    <w:r>
      <w:rPr>
        <w:rFonts w:ascii="Arial" w:hAnsi="Arial" w:cs="Arial"/>
        <w:spacing w:val="20"/>
        <w:sz w:val="20"/>
      </w:rPr>
      <w:t xml:space="preserve">                                   República de Colombia</w:t>
    </w:r>
  </w:p>
  <w:p w:rsidR="00E6025D" w:rsidRDefault="00E6025D">
    <w:pPr>
      <w:pStyle w:val="Encabezado"/>
      <w:jc w:val="center"/>
      <w:rPr>
        <w:rFonts w:ascii="Arial" w:hAnsi="Arial" w:cs="Arial"/>
        <w:spacing w:val="20"/>
        <w:sz w:val="20"/>
      </w:rPr>
    </w:pPr>
  </w:p>
  <w:p w:rsidR="00E6025D" w:rsidRDefault="00E6025D" w:rsidP="00CA77FB">
    <w:pPr>
      <w:pStyle w:val="Encabezado"/>
      <w:jc w:val="center"/>
    </w:pPr>
    <w:r>
      <w:rPr>
        <w:rFonts w:ascii="Arial" w:hAnsi="Arial" w:cs="Arial"/>
        <w:noProof/>
        <w:spacing w:val="20"/>
        <w:sz w:val="20"/>
        <w:lang w:eastAsia="es-CO"/>
      </w:rPr>
      <mc:AlternateContent>
        <mc:Choice Requires="wps">
          <w:drawing>
            <wp:anchor distT="0" distB="0" distL="114300" distR="114300" simplePos="0" relativeHeight="251658240" behindDoc="0" locked="0" layoutInCell="1" allowOverlap="1" wp14:anchorId="0B00EC43" wp14:editId="3D746F67">
              <wp:simplePos x="0" y="0"/>
              <wp:positionH relativeFrom="column">
                <wp:posOffset>-213360</wp:posOffset>
              </wp:positionH>
              <wp:positionV relativeFrom="paragraph">
                <wp:posOffset>377190</wp:posOffset>
              </wp:positionV>
              <wp:extent cx="6343650" cy="9839325"/>
              <wp:effectExtent l="15240" t="15240" r="13335"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" filled="f"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1">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3A216E4"/>
    <w:multiLevelType w:val="hybridMultilevel"/>
    <w:tmpl w:val="96E8D0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nsid w:val="05BC398D"/>
    <w:multiLevelType w:val="multilevel"/>
    <w:tmpl w:val="568802C6"/>
    <w:lvl w:ilvl="0">
      <w:start w:val="1"/>
      <w:numFmt w:val="decimal"/>
      <w:pStyle w:val="Ttulo1"/>
      <w:lvlText w:val="Artículo %1."/>
      <w:lvlJc w:val="left"/>
      <w:pPr>
        <w:tabs>
          <w:tab w:val="num" w:pos="1080"/>
        </w:tabs>
        <w:ind w:left="0" w:firstLine="0"/>
      </w:pPr>
      <w:rPr>
        <w:rFonts w:ascii="Bookman Old Style" w:hAnsi="Bookman Old Style" w:hint="default"/>
        <w:b/>
        <w:i w:val="0"/>
        <w:color w:val="auto"/>
        <w:sz w:val="24"/>
        <w:szCs w:val="24"/>
      </w:rPr>
    </w:lvl>
    <w:lvl w:ilvl="1">
      <w:start w:val="1"/>
      <w:numFmt w:val="decimal"/>
      <w:lvlText w:val="Sección %1.%2"/>
      <w:lvlJc w:val="left"/>
      <w:pPr>
        <w:tabs>
          <w:tab w:val="num" w:pos="0"/>
        </w:tabs>
        <w:ind w:left="0" w:firstLine="0"/>
      </w:pPr>
      <w:rPr>
        <w:rFonts w:hint="default"/>
      </w:rPr>
    </w:lvl>
    <w:lvl w:ilvl="2">
      <w:start w:val="1"/>
      <w:numFmt w:val="lowerLetter"/>
      <w:lvlText w:val="(%3)"/>
      <w:lvlJc w:val="left"/>
      <w:pPr>
        <w:tabs>
          <w:tab w:val="num" w:pos="720"/>
        </w:tabs>
        <w:ind w:left="0" w:firstLine="0"/>
      </w:pPr>
      <w:rPr>
        <w:rFonts w:hint="default"/>
      </w:rPr>
    </w:lvl>
    <w:lvl w:ilvl="3">
      <w:start w:val="1"/>
      <w:numFmt w:val="lowerRoman"/>
      <w:lvlText w:val="(%4)"/>
      <w:lvlJc w:val="right"/>
      <w:pPr>
        <w:tabs>
          <w:tab w:val="num" w:pos="864"/>
        </w:tabs>
        <w:ind w:left="0" w:firstLine="0"/>
      </w:pPr>
      <w:rPr>
        <w:rFonts w:hint="default"/>
      </w:rPr>
    </w:lvl>
    <w:lvl w:ilvl="4">
      <w:start w:val="1"/>
      <w:numFmt w:val="decimal"/>
      <w:lvlText w:val="%5)"/>
      <w:lvlJc w:val="left"/>
      <w:pPr>
        <w:tabs>
          <w:tab w:val="num" w:pos="1008"/>
        </w:tabs>
        <w:ind w:left="0" w:firstLine="0"/>
      </w:pPr>
      <w:rPr>
        <w:rFonts w:hint="default"/>
      </w:rPr>
    </w:lvl>
    <w:lvl w:ilvl="5">
      <w:start w:val="1"/>
      <w:numFmt w:val="decimal"/>
      <w:lvlText w:val="%6."/>
      <w:lvlJc w:val="left"/>
      <w:pPr>
        <w:tabs>
          <w:tab w:val="num" w:pos="360"/>
        </w:tabs>
        <w:ind w:left="340" w:hanging="340"/>
      </w:pPr>
      <w:rPr>
        <w:rFonts w:ascii="Times New Roman" w:hAnsi="Times New Roman" w:hint="default"/>
        <w:b w:val="0"/>
        <w:i w:val="0"/>
        <w:sz w:val="22"/>
      </w:rPr>
    </w:lvl>
    <w:lvl w:ilvl="6">
      <w:start w:val="1"/>
      <w:numFmt w:val="lowerRoman"/>
      <w:lvlText w:val="%7)"/>
      <w:lvlJc w:val="right"/>
      <w:pPr>
        <w:tabs>
          <w:tab w:val="num" w:pos="1296"/>
        </w:tabs>
        <w:ind w:left="0" w:firstLine="0"/>
      </w:pPr>
      <w:rPr>
        <w:rFonts w:hint="default"/>
        <w:b w:val="0"/>
        <w:i w:val="0"/>
      </w:rPr>
    </w:lvl>
    <w:lvl w:ilvl="7">
      <w:start w:val="1"/>
      <w:numFmt w:val="lowerLetter"/>
      <w:lvlText w:val="%8."/>
      <w:lvlJc w:val="left"/>
      <w:pPr>
        <w:tabs>
          <w:tab w:val="num" w:pos="1440"/>
        </w:tabs>
        <w:ind w:left="0" w:firstLine="0"/>
      </w:pPr>
      <w:rPr>
        <w:rFonts w:hint="default"/>
      </w:rPr>
    </w:lvl>
    <w:lvl w:ilvl="8">
      <w:start w:val="1"/>
      <w:numFmt w:val="lowerRoman"/>
      <w:lvlText w:val="%9."/>
      <w:lvlJc w:val="right"/>
      <w:pPr>
        <w:tabs>
          <w:tab w:val="num" w:pos="1584"/>
        </w:tabs>
        <w:ind w:left="0" w:firstLine="0"/>
      </w:pPr>
      <w:rPr>
        <w:rFonts w:hint="default"/>
      </w:rPr>
    </w:lvl>
  </w:abstractNum>
  <w:abstractNum w:abstractNumId="5">
    <w:nsid w:val="082F1E42"/>
    <w:multiLevelType w:val="hybridMultilevel"/>
    <w:tmpl w:val="FD4CE0A4"/>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D603E2D"/>
    <w:multiLevelType w:val="hybridMultilevel"/>
    <w:tmpl w:val="ADB0C204"/>
    <w:lvl w:ilvl="0" w:tplc="240A001B">
      <w:start w:val="1"/>
      <w:numFmt w:val="lowerRoman"/>
      <w:lvlText w:val="%1."/>
      <w:lvlJc w:val="right"/>
      <w:pPr>
        <w:ind w:left="720" w:hanging="360"/>
      </w:pPr>
      <w:rPr>
        <w:rFonts w:hint="default"/>
        <w:sz w:val="24"/>
        <w:szCs w:val="24"/>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0A07241"/>
    <w:multiLevelType w:val="hybridMultilevel"/>
    <w:tmpl w:val="9D8A28E4"/>
    <w:lvl w:ilvl="0" w:tplc="240A001B">
      <w:start w:val="1"/>
      <w:numFmt w:val="lowerRoman"/>
      <w:lvlText w:val="%1."/>
      <w:lvlJc w:val="righ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2881A02"/>
    <w:multiLevelType w:val="hybridMultilevel"/>
    <w:tmpl w:val="6BD89750"/>
    <w:lvl w:ilvl="0" w:tplc="3BB6152A">
      <w:numFmt w:val="bullet"/>
      <w:lvlText w:val="-"/>
      <w:lvlJc w:val="left"/>
      <w:pPr>
        <w:ind w:left="360" w:hanging="360"/>
      </w:pPr>
      <w:rPr>
        <w:rFonts w:ascii="Bookman Old Style" w:eastAsia="Times New Roman" w:hAnsi="Bookman Old Style"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22D8732B"/>
    <w:multiLevelType w:val="hybridMultilevel"/>
    <w:tmpl w:val="54D49A56"/>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24BF62D4"/>
    <w:multiLevelType w:val="hybridMultilevel"/>
    <w:tmpl w:val="4F3626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DF7123C"/>
    <w:multiLevelType w:val="hybridMultilevel"/>
    <w:tmpl w:val="D82462AA"/>
    <w:lvl w:ilvl="0" w:tplc="9CEECC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25518B6"/>
    <w:multiLevelType w:val="hybridMultilevel"/>
    <w:tmpl w:val="14066976"/>
    <w:lvl w:ilvl="0" w:tplc="827EA904">
      <w:start w:val="1"/>
      <w:numFmt w:val="lowerRoman"/>
      <w:lvlText w:val="%1)"/>
      <w:lvlJc w:val="left"/>
      <w:pPr>
        <w:ind w:left="1080" w:hanging="720"/>
      </w:pPr>
      <w:rPr>
        <w:rFonts w:hint="default"/>
      </w:rPr>
    </w:lvl>
    <w:lvl w:ilvl="1" w:tplc="58D6865A">
      <w:start w:val="1"/>
      <w:numFmt w:val="decimal"/>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2EA035B"/>
    <w:multiLevelType w:val="hybridMultilevel"/>
    <w:tmpl w:val="7A0EFB38"/>
    <w:lvl w:ilvl="0" w:tplc="94807058">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330A5146"/>
    <w:multiLevelType w:val="hybridMultilevel"/>
    <w:tmpl w:val="7B18D724"/>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6C0DD3"/>
    <w:multiLevelType w:val="hybridMultilevel"/>
    <w:tmpl w:val="FD0C69E6"/>
    <w:lvl w:ilvl="0" w:tplc="29EA409E">
      <w:start w:val="1"/>
      <w:numFmt w:val="decimal"/>
      <w:lvlText w:val="%1."/>
      <w:lvlJc w:val="left"/>
      <w:pPr>
        <w:ind w:left="720" w:hanging="360"/>
      </w:pPr>
      <w:rPr>
        <w:rFonts w:hint="default"/>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9355428"/>
    <w:multiLevelType w:val="hybridMultilevel"/>
    <w:tmpl w:val="B1D48E5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E7C540C"/>
    <w:multiLevelType w:val="hybridMultilevel"/>
    <w:tmpl w:val="3FFC0F5E"/>
    <w:lvl w:ilvl="0" w:tplc="99E2EDAA">
      <w:numFmt w:val="bullet"/>
      <w:lvlText w:val="-"/>
      <w:lvlJc w:val="left"/>
      <w:pPr>
        <w:ind w:left="360" w:hanging="360"/>
      </w:pPr>
      <w:rPr>
        <w:rFonts w:ascii="Bookman Old Style" w:eastAsia="Times New Roman" w:hAnsi="Bookman Old Style"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22">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24">
    <w:nsid w:val="53897BCD"/>
    <w:multiLevelType w:val="hybridMultilevel"/>
    <w:tmpl w:val="096CB2E8"/>
    <w:lvl w:ilvl="0" w:tplc="240A001B">
      <w:start w:val="1"/>
      <w:numFmt w:val="lowerRoman"/>
      <w:lvlText w:val="%1."/>
      <w:lvlJc w:val="right"/>
      <w:pPr>
        <w:ind w:left="1080" w:hanging="720"/>
      </w:pPr>
      <w:rPr>
        <w:rFonts w:hint="default"/>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5817315F"/>
    <w:multiLevelType w:val="hybridMultilevel"/>
    <w:tmpl w:val="D82462AA"/>
    <w:lvl w:ilvl="0" w:tplc="9CEECC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nsid w:val="64DD33DB"/>
    <w:multiLevelType w:val="hybridMultilevel"/>
    <w:tmpl w:val="3CE6C7F2"/>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6E020619"/>
    <w:multiLevelType w:val="hybridMultilevel"/>
    <w:tmpl w:val="BEE27990"/>
    <w:lvl w:ilvl="0" w:tplc="240A001B">
      <w:start w:val="1"/>
      <w:numFmt w:val="lowerRoman"/>
      <w:lvlText w:val="%1."/>
      <w:lvlJc w:val="right"/>
      <w:pPr>
        <w:ind w:left="1080" w:hanging="720"/>
      </w:pPr>
      <w:rPr>
        <w:rFonts w:hint="default"/>
        <w:sz w:val="24"/>
        <w:szCs w:val="24"/>
        <w:lang w:val="es-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45F3BF1"/>
    <w:multiLevelType w:val="hybridMultilevel"/>
    <w:tmpl w:val="98CAE580"/>
    <w:lvl w:ilvl="0" w:tplc="24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4">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33"/>
  </w:num>
  <w:num w:numId="4">
    <w:abstractNumId w:val="12"/>
  </w:num>
  <w:num w:numId="5">
    <w:abstractNumId w:val="26"/>
  </w:num>
  <w:num w:numId="6">
    <w:abstractNumId w:val="3"/>
  </w:num>
  <w:num w:numId="7">
    <w:abstractNumId w:val="1"/>
  </w:num>
  <w:num w:numId="8">
    <w:abstractNumId w:val="28"/>
  </w:num>
  <w:num w:numId="9">
    <w:abstractNumId w:val="27"/>
  </w:num>
  <w:num w:numId="10">
    <w:abstractNumId w:val="22"/>
  </w:num>
  <w:num w:numId="11">
    <w:abstractNumId w:val="34"/>
  </w:num>
  <w:num w:numId="12">
    <w:abstractNumId w:val="31"/>
  </w:num>
  <w:num w:numId="13">
    <w:abstractNumId w:val="17"/>
  </w:num>
  <w:num w:numId="14">
    <w:abstractNumId w:val="0"/>
  </w:num>
  <w:num w:numId="15">
    <w:abstractNumId w:val="23"/>
  </w:num>
  <w:num w:numId="16">
    <w:abstractNumId w:val="11"/>
  </w:num>
  <w:num w:numId="17">
    <w:abstractNumId w:val="30"/>
  </w:num>
  <w:num w:numId="18">
    <w:abstractNumId w:val="32"/>
  </w:num>
  <w:num w:numId="19">
    <w:abstractNumId w:val="9"/>
  </w:num>
  <w:num w:numId="20">
    <w:abstractNumId w:val="20"/>
  </w:num>
  <w:num w:numId="21">
    <w:abstractNumId w:val="10"/>
  </w:num>
  <w:num w:numId="22">
    <w:abstractNumId w:val="13"/>
  </w:num>
  <w:num w:numId="23">
    <w:abstractNumId w:val="29"/>
  </w:num>
  <w:num w:numId="24">
    <w:abstractNumId w:val="18"/>
  </w:num>
  <w:num w:numId="25">
    <w:abstractNumId w:val="14"/>
  </w:num>
  <w:num w:numId="26">
    <w:abstractNumId w:val="16"/>
  </w:num>
  <w:num w:numId="27">
    <w:abstractNumId w:val="19"/>
  </w:num>
  <w:num w:numId="28">
    <w:abstractNumId w:val="15"/>
  </w:num>
  <w:num w:numId="29">
    <w:abstractNumId w:val="25"/>
  </w:num>
  <w:num w:numId="30">
    <w:abstractNumId w:val="24"/>
  </w:num>
  <w:num w:numId="31">
    <w:abstractNumId w:val="5"/>
  </w:num>
  <w:num w:numId="32">
    <w:abstractNumId w:val="2"/>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8"/>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340"/>
    <w:rsid w:val="00006AE2"/>
    <w:rsid w:val="00006D72"/>
    <w:rsid w:val="000076A1"/>
    <w:rsid w:val="000106AE"/>
    <w:rsid w:val="00012259"/>
    <w:rsid w:val="00012461"/>
    <w:rsid w:val="00017799"/>
    <w:rsid w:val="000236A4"/>
    <w:rsid w:val="00023FE5"/>
    <w:rsid w:val="00024CD3"/>
    <w:rsid w:val="00025383"/>
    <w:rsid w:val="00026A3A"/>
    <w:rsid w:val="00034E6B"/>
    <w:rsid w:val="000362AE"/>
    <w:rsid w:val="00037E0E"/>
    <w:rsid w:val="000533D6"/>
    <w:rsid w:val="00053B2E"/>
    <w:rsid w:val="00057DBD"/>
    <w:rsid w:val="00063302"/>
    <w:rsid w:val="00063657"/>
    <w:rsid w:val="00070A0B"/>
    <w:rsid w:val="00070DA5"/>
    <w:rsid w:val="000738C6"/>
    <w:rsid w:val="00076680"/>
    <w:rsid w:val="0008073E"/>
    <w:rsid w:val="000811C2"/>
    <w:rsid w:val="00085F42"/>
    <w:rsid w:val="00091CDB"/>
    <w:rsid w:val="00094ACC"/>
    <w:rsid w:val="000A0E39"/>
    <w:rsid w:val="000A19AC"/>
    <w:rsid w:val="000B0B3A"/>
    <w:rsid w:val="000B701B"/>
    <w:rsid w:val="000B78FC"/>
    <w:rsid w:val="000B7A20"/>
    <w:rsid w:val="000B7BFE"/>
    <w:rsid w:val="000C04CE"/>
    <w:rsid w:val="000C0E2A"/>
    <w:rsid w:val="000C1FCC"/>
    <w:rsid w:val="000C48FD"/>
    <w:rsid w:val="000C58DA"/>
    <w:rsid w:val="000D26F8"/>
    <w:rsid w:val="000D4303"/>
    <w:rsid w:val="000D7506"/>
    <w:rsid w:val="000F14DA"/>
    <w:rsid w:val="000F4A89"/>
    <w:rsid w:val="00100FA9"/>
    <w:rsid w:val="00102AA6"/>
    <w:rsid w:val="00106387"/>
    <w:rsid w:val="00111DAE"/>
    <w:rsid w:val="00113754"/>
    <w:rsid w:val="0011422B"/>
    <w:rsid w:val="00114AB8"/>
    <w:rsid w:val="00120525"/>
    <w:rsid w:val="0012536C"/>
    <w:rsid w:val="001329EA"/>
    <w:rsid w:val="001405C6"/>
    <w:rsid w:val="00140673"/>
    <w:rsid w:val="00141013"/>
    <w:rsid w:val="0014484D"/>
    <w:rsid w:val="001545C9"/>
    <w:rsid w:val="00155C7D"/>
    <w:rsid w:val="00163BCD"/>
    <w:rsid w:val="00163CFC"/>
    <w:rsid w:val="00163EFA"/>
    <w:rsid w:val="001643B9"/>
    <w:rsid w:val="00164836"/>
    <w:rsid w:val="00173B6E"/>
    <w:rsid w:val="00173F57"/>
    <w:rsid w:val="00182FA5"/>
    <w:rsid w:val="00185819"/>
    <w:rsid w:val="00192CBF"/>
    <w:rsid w:val="00192FF1"/>
    <w:rsid w:val="00194C30"/>
    <w:rsid w:val="00195686"/>
    <w:rsid w:val="001A00E7"/>
    <w:rsid w:val="001A05EC"/>
    <w:rsid w:val="001A1F0B"/>
    <w:rsid w:val="001A5F1B"/>
    <w:rsid w:val="001B0A89"/>
    <w:rsid w:val="001B12D1"/>
    <w:rsid w:val="001B1C22"/>
    <w:rsid w:val="001B2A92"/>
    <w:rsid w:val="001B34C6"/>
    <w:rsid w:val="001B37A9"/>
    <w:rsid w:val="001B6E7A"/>
    <w:rsid w:val="001C08F4"/>
    <w:rsid w:val="001C0EC3"/>
    <w:rsid w:val="001C34CC"/>
    <w:rsid w:val="001C351E"/>
    <w:rsid w:val="001D0A6F"/>
    <w:rsid w:val="001D2290"/>
    <w:rsid w:val="001D60FD"/>
    <w:rsid w:val="001D7832"/>
    <w:rsid w:val="001E603A"/>
    <w:rsid w:val="001E737A"/>
    <w:rsid w:val="001F21E0"/>
    <w:rsid w:val="001F4096"/>
    <w:rsid w:val="001F505E"/>
    <w:rsid w:val="001F65D8"/>
    <w:rsid w:val="00200509"/>
    <w:rsid w:val="00204313"/>
    <w:rsid w:val="00205988"/>
    <w:rsid w:val="00207EBE"/>
    <w:rsid w:val="00211D34"/>
    <w:rsid w:val="00214F04"/>
    <w:rsid w:val="0022340E"/>
    <w:rsid w:val="0022390A"/>
    <w:rsid w:val="00224A48"/>
    <w:rsid w:val="002328DE"/>
    <w:rsid w:val="00237A3D"/>
    <w:rsid w:val="00240D29"/>
    <w:rsid w:val="00241556"/>
    <w:rsid w:val="00244782"/>
    <w:rsid w:val="002471D8"/>
    <w:rsid w:val="0024750E"/>
    <w:rsid w:val="00251089"/>
    <w:rsid w:val="002513FE"/>
    <w:rsid w:val="0025245A"/>
    <w:rsid w:val="00260FDF"/>
    <w:rsid w:val="00261E0D"/>
    <w:rsid w:val="00263964"/>
    <w:rsid w:val="00266CD6"/>
    <w:rsid w:val="00267BBB"/>
    <w:rsid w:val="00273BC2"/>
    <w:rsid w:val="002742D7"/>
    <w:rsid w:val="00275DAB"/>
    <w:rsid w:val="0028314C"/>
    <w:rsid w:val="00290584"/>
    <w:rsid w:val="00297975"/>
    <w:rsid w:val="002A29EB"/>
    <w:rsid w:val="002A3C52"/>
    <w:rsid w:val="002A4CBB"/>
    <w:rsid w:val="002A554D"/>
    <w:rsid w:val="002A6056"/>
    <w:rsid w:val="002A782A"/>
    <w:rsid w:val="002A7869"/>
    <w:rsid w:val="002B11E2"/>
    <w:rsid w:val="002B1627"/>
    <w:rsid w:val="002B24B8"/>
    <w:rsid w:val="002B5716"/>
    <w:rsid w:val="002C414B"/>
    <w:rsid w:val="002C5889"/>
    <w:rsid w:val="002D095E"/>
    <w:rsid w:val="002D3AE9"/>
    <w:rsid w:val="002D4510"/>
    <w:rsid w:val="002D6EA5"/>
    <w:rsid w:val="002D7D4A"/>
    <w:rsid w:val="002E5FB4"/>
    <w:rsid w:val="002E61EC"/>
    <w:rsid w:val="002F0734"/>
    <w:rsid w:val="002F07B9"/>
    <w:rsid w:val="002F08B9"/>
    <w:rsid w:val="002F338B"/>
    <w:rsid w:val="002F3E70"/>
    <w:rsid w:val="002F40F0"/>
    <w:rsid w:val="002F46E7"/>
    <w:rsid w:val="002F4713"/>
    <w:rsid w:val="002F6A4B"/>
    <w:rsid w:val="002F6FC8"/>
    <w:rsid w:val="00300D0B"/>
    <w:rsid w:val="003101DA"/>
    <w:rsid w:val="003108BC"/>
    <w:rsid w:val="00310DE8"/>
    <w:rsid w:val="003122FA"/>
    <w:rsid w:val="00314757"/>
    <w:rsid w:val="00314D08"/>
    <w:rsid w:val="003211CE"/>
    <w:rsid w:val="00322A44"/>
    <w:rsid w:val="00323577"/>
    <w:rsid w:val="0032573B"/>
    <w:rsid w:val="00327836"/>
    <w:rsid w:val="003343EF"/>
    <w:rsid w:val="00336995"/>
    <w:rsid w:val="0034092B"/>
    <w:rsid w:val="003517FF"/>
    <w:rsid w:val="00351FA3"/>
    <w:rsid w:val="00352B2D"/>
    <w:rsid w:val="0035403A"/>
    <w:rsid w:val="00356F59"/>
    <w:rsid w:val="0036394B"/>
    <w:rsid w:val="00364C2B"/>
    <w:rsid w:val="00367D0B"/>
    <w:rsid w:val="00370678"/>
    <w:rsid w:val="003709B5"/>
    <w:rsid w:val="00372F1A"/>
    <w:rsid w:val="00373DB5"/>
    <w:rsid w:val="003759C2"/>
    <w:rsid w:val="00375E2F"/>
    <w:rsid w:val="00380391"/>
    <w:rsid w:val="003813DD"/>
    <w:rsid w:val="0038378E"/>
    <w:rsid w:val="00384A45"/>
    <w:rsid w:val="00385A74"/>
    <w:rsid w:val="003909AF"/>
    <w:rsid w:val="00397365"/>
    <w:rsid w:val="003A0B5C"/>
    <w:rsid w:val="003A319E"/>
    <w:rsid w:val="003A31F6"/>
    <w:rsid w:val="003A5C45"/>
    <w:rsid w:val="003B29EE"/>
    <w:rsid w:val="003C0870"/>
    <w:rsid w:val="003C3447"/>
    <w:rsid w:val="003C7BA4"/>
    <w:rsid w:val="003D076C"/>
    <w:rsid w:val="003D5A37"/>
    <w:rsid w:val="003D7409"/>
    <w:rsid w:val="003D775E"/>
    <w:rsid w:val="003D7DC7"/>
    <w:rsid w:val="003E78B5"/>
    <w:rsid w:val="003F1D03"/>
    <w:rsid w:val="003F226D"/>
    <w:rsid w:val="003F2BA5"/>
    <w:rsid w:val="003F2C6A"/>
    <w:rsid w:val="004024E5"/>
    <w:rsid w:val="00403B2E"/>
    <w:rsid w:val="00415BAB"/>
    <w:rsid w:val="00415ED2"/>
    <w:rsid w:val="00416E59"/>
    <w:rsid w:val="00417971"/>
    <w:rsid w:val="0042068C"/>
    <w:rsid w:val="00420BD0"/>
    <w:rsid w:val="00420DB7"/>
    <w:rsid w:val="00425E75"/>
    <w:rsid w:val="00425FD4"/>
    <w:rsid w:val="00426B09"/>
    <w:rsid w:val="00432177"/>
    <w:rsid w:val="00432419"/>
    <w:rsid w:val="004350A9"/>
    <w:rsid w:val="004366AB"/>
    <w:rsid w:val="004371F9"/>
    <w:rsid w:val="00437419"/>
    <w:rsid w:val="004400C6"/>
    <w:rsid w:val="00441721"/>
    <w:rsid w:val="00446556"/>
    <w:rsid w:val="00451362"/>
    <w:rsid w:val="00451A99"/>
    <w:rsid w:val="004545FB"/>
    <w:rsid w:val="00454C97"/>
    <w:rsid w:val="00456398"/>
    <w:rsid w:val="0046306D"/>
    <w:rsid w:val="00465F33"/>
    <w:rsid w:val="0047122B"/>
    <w:rsid w:val="00473B7A"/>
    <w:rsid w:val="004760F4"/>
    <w:rsid w:val="004828FB"/>
    <w:rsid w:val="00483978"/>
    <w:rsid w:val="00483A38"/>
    <w:rsid w:val="004849C6"/>
    <w:rsid w:val="0049006F"/>
    <w:rsid w:val="00491213"/>
    <w:rsid w:val="004960E9"/>
    <w:rsid w:val="0049681C"/>
    <w:rsid w:val="00497900"/>
    <w:rsid w:val="004A1A2B"/>
    <w:rsid w:val="004A2E88"/>
    <w:rsid w:val="004A5305"/>
    <w:rsid w:val="004A75C4"/>
    <w:rsid w:val="004A7BD2"/>
    <w:rsid w:val="004B06FD"/>
    <w:rsid w:val="004B38FE"/>
    <w:rsid w:val="004B3D00"/>
    <w:rsid w:val="004B6EDA"/>
    <w:rsid w:val="004C3AFA"/>
    <w:rsid w:val="004C5586"/>
    <w:rsid w:val="004C5CB6"/>
    <w:rsid w:val="004D3E79"/>
    <w:rsid w:val="004D5826"/>
    <w:rsid w:val="004D6B05"/>
    <w:rsid w:val="004D7045"/>
    <w:rsid w:val="004D7634"/>
    <w:rsid w:val="004E41C1"/>
    <w:rsid w:val="004E53D9"/>
    <w:rsid w:val="004F4FBF"/>
    <w:rsid w:val="004F6BAD"/>
    <w:rsid w:val="004F7F8A"/>
    <w:rsid w:val="00510485"/>
    <w:rsid w:val="005112A7"/>
    <w:rsid w:val="005144B6"/>
    <w:rsid w:val="00517DB3"/>
    <w:rsid w:val="00523A8E"/>
    <w:rsid w:val="00524F7B"/>
    <w:rsid w:val="005300D3"/>
    <w:rsid w:val="005329FD"/>
    <w:rsid w:val="0053514E"/>
    <w:rsid w:val="00540BAE"/>
    <w:rsid w:val="0054144A"/>
    <w:rsid w:val="00544F82"/>
    <w:rsid w:val="00547351"/>
    <w:rsid w:val="00547D7A"/>
    <w:rsid w:val="00562CEF"/>
    <w:rsid w:val="00564614"/>
    <w:rsid w:val="00571559"/>
    <w:rsid w:val="00576A0D"/>
    <w:rsid w:val="00580882"/>
    <w:rsid w:val="005816B4"/>
    <w:rsid w:val="005858B4"/>
    <w:rsid w:val="00593B54"/>
    <w:rsid w:val="00593C4F"/>
    <w:rsid w:val="005946A8"/>
    <w:rsid w:val="005A0BA0"/>
    <w:rsid w:val="005A2AFB"/>
    <w:rsid w:val="005A4407"/>
    <w:rsid w:val="005A57C3"/>
    <w:rsid w:val="005A59EF"/>
    <w:rsid w:val="005A7875"/>
    <w:rsid w:val="005B29FB"/>
    <w:rsid w:val="005C0252"/>
    <w:rsid w:val="005C217A"/>
    <w:rsid w:val="005D6BF7"/>
    <w:rsid w:val="005E438B"/>
    <w:rsid w:val="005F17C2"/>
    <w:rsid w:val="005F57D4"/>
    <w:rsid w:val="005F6A82"/>
    <w:rsid w:val="005F6F41"/>
    <w:rsid w:val="006008A5"/>
    <w:rsid w:val="00600C7D"/>
    <w:rsid w:val="00602952"/>
    <w:rsid w:val="00606BC6"/>
    <w:rsid w:val="00612532"/>
    <w:rsid w:val="00613EED"/>
    <w:rsid w:val="0062196E"/>
    <w:rsid w:val="00621E37"/>
    <w:rsid w:val="00625DC6"/>
    <w:rsid w:val="00632E26"/>
    <w:rsid w:val="006433A4"/>
    <w:rsid w:val="0064391D"/>
    <w:rsid w:val="00643B52"/>
    <w:rsid w:val="00651821"/>
    <w:rsid w:val="00654384"/>
    <w:rsid w:val="006617C8"/>
    <w:rsid w:val="006635CA"/>
    <w:rsid w:val="00665D3D"/>
    <w:rsid w:val="00666CE9"/>
    <w:rsid w:val="006675CD"/>
    <w:rsid w:val="00670FBE"/>
    <w:rsid w:val="0067235B"/>
    <w:rsid w:val="0067260E"/>
    <w:rsid w:val="00674CBF"/>
    <w:rsid w:val="0067708A"/>
    <w:rsid w:val="00681517"/>
    <w:rsid w:val="00684745"/>
    <w:rsid w:val="00684D5A"/>
    <w:rsid w:val="00684D9B"/>
    <w:rsid w:val="00685ADA"/>
    <w:rsid w:val="006932D4"/>
    <w:rsid w:val="00694DEB"/>
    <w:rsid w:val="00697556"/>
    <w:rsid w:val="006A4D20"/>
    <w:rsid w:val="006A68BA"/>
    <w:rsid w:val="006A79F2"/>
    <w:rsid w:val="006B060E"/>
    <w:rsid w:val="006B227C"/>
    <w:rsid w:val="006B2B7B"/>
    <w:rsid w:val="006B305C"/>
    <w:rsid w:val="006B4C2B"/>
    <w:rsid w:val="006B577E"/>
    <w:rsid w:val="006B5C54"/>
    <w:rsid w:val="006B6D47"/>
    <w:rsid w:val="006C0C43"/>
    <w:rsid w:val="006C1DB8"/>
    <w:rsid w:val="006C5AFE"/>
    <w:rsid w:val="006C6435"/>
    <w:rsid w:val="006D1A9F"/>
    <w:rsid w:val="006D427A"/>
    <w:rsid w:val="006D6E4A"/>
    <w:rsid w:val="006E3CD9"/>
    <w:rsid w:val="006E550B"/>
    <w:rsid w:val="006E5975"/>
    <w:rsid w:val="006F0256"/>
    <w:rsid w:val="006F6D95"/>
    <w:rsid w:val="006F7AAC"/>
    <w:rsid w:val="0070099A"/>
    <w:rsid w:val="00704A40"/>
    <w:rsid w:val="00706F13"/>
    <w:rsid w:val="007072E8"/>
    <w:rsid w:val="00711DD5"/>
    <w:rsid w:val="00714402"/>
    <w:rsid w:val="007148F7"/>
    <w:rsid w:val="00715FDA"/>
    <w:rsid w:val="0071618D"/>
    <w:rsid w:val="00725FA4"/>
    <w:rsid w:val="007307BA"/>
    <w:rsid w:val="00731A2E"/>
    <w:rsid w:val="00735144"/>
    <w:rsid w:val="0073675D"/>
    <w:rsid w:val="0073735D"/>
    <w:rsid w:val="00740446"/>
    <w:rsid w:val="00741855"/>
    <w:rsid w:val="007438A9"/>
    <w:rsid w:val="0074491E"/>
    <w:rsid w:val="00744BE4"/>
    <w:rsid w:val="00745C2C"/>
    <w:rsid w:val="00746AF2"/>
    <w:rsid w:val="007644E3"/>
    <w:rsid w:val="00767175"/>
    <w:rsid w:val="00771134"/>
    <w:rsid w:val="00772D44"/>
    <w:rsid w:val="00774198"/>
    <w:rsid w:val="00775964"/>
    <w:rsid w:val="0078490E"/>
    <w:rsid w:val="00785956"/>
    <w:rsid w:val="00786EB7"/>
    <w:rsid w:val="007955C6"/>
    <w:rsid w:val="00795BFB"/>
    <w:rsid w:val="00797C93"/>
    <w:rsid w:val="007A1F3C"/>
    <w:rsid w:val="007A72FF"/>
    <w:rsid w:val="007B2760"/>
    <w:rsid w:val="007B5E6F"/>
    <w:rsid w:val="007C74ED"/>
    <w:rsid w:val="007D126A"/>
    <w:rsid w:val="007D2D3B"/>
    <w:rsid w:val="007D345F"/>
    <w:rsid w:val="007D39BB"/>
    <w:rsid w:val="007D4F92"/>
    <w:rsid w:val="007E5998"/>
    <w:rsid w:val="007F243E"/>
    <w:rsid w:val="007F622F"/>
    <w:rsid w:val="00802251"/>
    <w:rsid w:val="00803380"/>
    <w:rsid w:val="00804595"/>
    <w:rsid w:val="00806C01"/>
    <w:rsid w:val="008075A6"/>
    <w:rsid w:val="00810564"/>
    <w:rsid w:val="00811017"/>
    <w:rsid w:val="00812792"/>
    <w:rsid w:val="00813355"/>
    <w:rsid w:val="00813D34"/>
    <w:rsid w:val="008148CC"/>
    <w:rsid w:val="008211A4"/>
    <w:rsid w:val="00822498"/>
    <w:rsid w:val="008224AE"/>
    <w:rsid w:val="00823BDF"/>
    <w:rsid w:val="008301C3"/>
    <w:rsid w:val="008414FD"/>
    <w:rsid w:val="00842512"/>
    <w:rsid w:val="008440AB"/>
    <w:rsid w:val="00844A84"/>
    <w:rsid w:val="00854C53"/>
    <w:rsid w:val="0085683A"/>
    <w:rsid w:val="00862F0D"/>
    <w:rsid w:val="008631AB"/>
    <w:rsid w:val="00863459"/>
    <w:rsid w:val="00864402"/>
    <w:rsid w:val="00866A25"/>
    <w:rsid w:val="00872918"/>
    <w:rsid w:val="00872E13"/>
    <w:rsid w:val="00873150"/>
    <w:rsid w:val="0087657D"/>
    <w:rsid w:val="008807D5"/>
    <w:rsid w:val="00880832"/>
    <w:rsid w:val="00882E55"/>
    <w:rsid w:val="008835CC"/>
    <w:rsid w:val="00886EE1"/>
    <w:rsid w:val="0088727D"/>
    <w:rsid w:val="00887453"/>
    <w:rsid w:val="00887CE4"/>
    <w:rsid w:val="00890C18"/>
    <w:rsid w:val="0089292A"/>
    <w:rsid w:val="008935B7"/>
    <w:rsid w:val="008942EB"/>
    <w:rsid w:val="0089436E"/>
    <w:rsid w:val="008943AD"/>
    <w:rsid w:val="00894479"/>
    <w:rsid w:val="00894F7D"/>
    <w:rsid w:val="00897C75"/>
    <w:rsid w:val="008A0339"/>
    <w:rsid w:val="008A1674"/>
    <w:rsid w:val="008A64D7"/>
    <w:rsid w:val="008A7699"/>
    <w:rsid w:val="008A7BE5"/>
    <w:rsid w:val="008A7F8F"/>
    <w:rsid w:val="008C0D0A"/>
    <w:rsid w:val="008C1130"/>
    <w:rsid w:val="008C370A"/>
    <w:rsid w:val="008C7A69"/>
    <w:rsid w:val="008D18E6"/>
    <w:rsid w:val="008D1919"/>
    <w:rsid w:val="008D4476"/>
    <w:rsid w:val="008D55BC"/>
    <w:rsid w:val="008D5EAA"/>
    <w:rsid w:val="008D6A58"/>
    <w:rsid w:val="008D7A9B"/>
    <w:rsid w:val="008E1009"/>
    <w:rsid w:val="008E2404"/>
    <w:rsid w:val="008E2476"/>
    <w:rsid w:val="008E38DF"/>
    <w:rsid w:val="008E6B8C"/>
    <w:rsid w:val="008E76AC"/>
    <w:rsid w:val="008F0630"/>
    <w:rsid w:val="008F21F6"/>
    <w:rsid w:val="008F52DC"/>
    <w:rsid w:val="0090324F"/>
    <w:rsid w:val="00904780"/>
    <w:rsid w:val="00906F25"/>
    <w:rsid w:val="0091163B"/>
    <w:rsid w:val="0091512B"/>
    <w:rsid w:val="00916E8C"/>
    <w:rsid w:val="009220E7"/>
    <w:rsid w:val="00927453"/>
    <w:rsid w:val="00927F9D"/>
    <w:rsid w:val="009311B5"/>
    <w:rsid w:val="00932D6D"/>
    <w:rsid w:val="009362B6"/>
    <w:rsid w:val="009410B2"/>
    <w:rsid w:val="0094241B"/>
    <w:rsid w:val="00944BB5"/>
    <w:rsid w:val="00945945"/>
    <w:rsid w:val="00951041"/>
    <w:rsid w:val="00951F79"/>
    <w:rsid w:val="00955488"/>
    <w:rsid w:val="009556E7"/>
    <w:rsid w:val="00960E8C"/>
    <w:rsid w:val="009632B0"/>
    <w:rsid w:val="00965FCA"/>
    <w:rsid w:val="00967832"/>
    <w:rsid w:val="009679C6"/>
    <w:rsid w:val="00970A97"/>
    <w:rsid w:val="00974AB5"/>
    <w:rsid w:val="00976878"/>
    <w:rsid w:val="00982208"/>
    <w:rsid w:val="00985EC5"/>
    <w:rsid w:val="0098601D"/>
    <w:rsid w:val="0098706D"/>
    <w:rsid w:val="009910C0"/>
    <w:rsid w:val="009935FB"/>
    <w:rsid w:val="009943CA"/>
    <w:rsid w:val="0099527A"/>
    <w:rsid w:val="009A0976"/>
    <w:rsid w:val="009A408D"/>
    <w:rsid w:val="009B3B71"/>
    <w:rsid w:val="009B7956"/>
    <w:rsid w:val="009C1F40"/>
    <w:rsid w:val="009C551C"/>
    <w:rsid w:val="009C6BB3"/>
    <w:rsid w:val="009D05A0"/>
    <w:rsid w:val="009D4892"/>
    <w:rsid w:val="009D489D"/>
    <w:rsid w:val="009E1225"/>
    <w:rsid w:val="009F0467"/>
    <w:rsid w:val="009F4956"/>
    <w:rsid w:val="009F4A54"/>
    <w:rsid w:val="009F4BEC"/>
    <w:rsid w:val="00A00D0E"/>
    <w:rsid w:val="00A042C5"/>
    <w:rsid w:val="00A12C63"/>
    <w:rsid w:val="00A17D17"/>
    <w:rsid w:val="00A2046C"/>
    <w:rsid w:val="00A213DC"/>
    <w:rsid w:val="00A22948"/>
    <w:rsid w:val="00A25FD7"/>
    <w:rsid w:val="00A266C4"/>
    <w:rsid w:val="00A43AFF"/>
    <w:rsid w:val="00A47AB7"/>
    <w:rsid w:val="00A521B5"/>
    <w:rsid w:val="00A54328"/>
    <w:rsid w:val="00A56155"/>
    <w:rsid w:val="00A613BE"/>
    <w:rsid w:val="00A63066"/>
    <w:rsid w:val="00A6390F"/>
    <w:rsid w:val="00A73B8C"/>
    <w:rsid w:val="00A7793A"/>
    <w:rsid w:val="00A8486F"/>
    <w:rsid w:val="00A855D8"/>
    <w:rsid w:val="00A941AE"/>
    <w:rsid w:val="00A947CB"/>
    <w:rsid w:val="00A95687"/>
    <w:rsid w:val="00A97D69"/>
    <w:rsid w:val="00A97F05"/>
    <w:rsid w:val="00AA0315"/>
    <w:rsid w:val="00AA1235"/>
    <w:rsid w:val="00AA175F"/>
    <w:rsid w:val="00AA4CC7"/>
    <w:rsid w:val="00AA5E8E"/>
    <w:rsid w:val="00AB2562"/>
    <w:rsid w:val="00AB2848"/>
    <w:rsid w:val="00AB3FD3"/>
    <w:rsid w:val="00AB51CE"/>
    <w:rsid w:val="00AB6CA7"/>
    <w:rsid w:val="00AB702F"/>
    <w:rsid w:val="00AC29ED"/>
    <w:rsid w:val="00AC3185"/>
    <w:rsid w:val="00AC70EB"/>
    <w:rsid w:val="00AD01E4"/>
    <w:rsid w:val="00AD0858"/>
    <w:rsid w:val="00AD1C53"/>
    <w:rsid w:val="00AD4128"/>
    <w:rsid w:val="00AD6743"/>
    <w:rsid w:val="00AE211E"/>
    <w:rsid w:val="00AE43C9"/>
    <w:rsid w:val="00AE7340"/>
    <w:rsid w:val="00AF1BBD"/>
    <w:rsid w:val="00B015E7"/>
    <w:rsid w:val="00B02458"/>
    <w:rsid w:val="00B06349"/>
    <w:rsid w:val="00B10207"/>
    <w:rsid w:val="00B12191"/>
    <w:rsid w:val="00B141E7"/>
    <w:rsid w:val="00B2682D"/>
    <w:rsid w:val="00B26B13"/>
    <w:rsid w:val="00B30842"/>
    <w:rsid w:val="00B30D8F"/>
    <w:rsid w:val="00B31989"/>
    <w:rsid w:val="00B3458B"/>
    <w:rsid w:val="00B351B4"/>
    <w:rsid w:val="00B42376"/>
    <w:rsid w:val="00B42567"/>
    <w:rsid w:val="00B42FF1"/>
    <w:rsid w:val="00B44725"/>
    <w:rsid w:val="00B46BCA"/>
    <w:rsid w:val="00B47ACE"/>
    <w:rsid w:val="00B51C48"/>
    <w:rsid w:val="00B51F1A"/>
    <w:rsid w:val="00B52624"/>
    <w:rsid w:val="00B53AC8"/>
    <w:rsid w:val="00B547F6"/>
    <w:rsid w:val="00B54E8D"/>
    <w:rsid w:val="00B56398"/>
    <w:rsid w:val="00B57D0B"/>
    <w:rsid w:val="00B7075B"/>
    <w:rsid w:val="00B70F36"/>
    <w:rsid w:val="00B83EE1"/>
    <w:rsid w:val="00B85C23"/>
    <w:rsid w:val="00B87806"/>
    <w:rsid w:val="00B87EC9"/>
    <w:rsid w:val="00B941F3"/>
    <w:rsid w:val="00B956C8"/>
    <w:rsid w:val="00BA06B0"/>
    <w:rsid w:val="00BA23F2"/>
    <w:rsid w:val="00BA27D1"/>
    <w:rsid w:val="00BA53CE"/>
    <w:rsid w:val="00BA5842"/>
    <w:rsid w:val="00BB554A"/>
    <w:rsid w:val="00BC0C95"/>
    <w:rsid w:val="00BC125E"/>
    <w:rsid w:val="00BC3354"/>
    <w:rsid w:val="00BC38FD"/>
    <w:rsid w:val="00BC5065"/>
    <w:rsid w:val="00BD2C04"/>
    <w:rsid w:val="00BD4A49"/>
    <w:rsid w:val="00BD542C"/>
    <w:rsid w:val="00BD67A9"/>
    <w:rsid w:val="00BD73AA"/>
    <w:rsid w:val="00BE08BA"/>
    <w:rsid w:val="00BE50DB"/>
    <w:rsid w:val="00BF06A3"/>
    <w:rsid w:val="00BF56DF"/>
    <w:rsid w:val="00BF5BBA"/>
    <w:rsid w:val="00BF729C"/>
    <w:rsid w:val="00C02546"/>
    <w:rsid w:val="00C02635"/>
    <w:rsid w:val="00C034CB"/>
    <w:rsid w:val="00C051A8"/>
    <w:rsid w:val="00C054BC"/>
    <w:rsid w:val="00C05AE4"/>
    <w:rsid w:val="00C1397E"/>
    <w:rsid w:val="00C15E31"/>
    <w:rsid w:val="00C17897"/>
    <w:rsid w:val="00C2238D"/>
    <w:rsid w:val="00C2479B"/>
    <w:rsid w:val="00C3040A"/>
    <w:rsid w:val="00C3289D"/>
    <w:rsid w:val="00C32CB6"/>
    <w:rsid w:val="00C37202"/>
    <w:rsid w:val="00C37867"/>
    <w:rsid w:val="00C409D5"/>
    <w:rsid w:val="00C42860"/>
    <w:rsid w:val="00C433CC"/>
    <w:rsid w:val="00C435C3"/>
    <w:rsid w:val="00C47082"/>
    <w:rsid w:val="00C50850"/>
    <w:rsid w:val="00C54B83"/>
    <w:rsid w:val="00C6234B"/>
    <w:rsid w:val="00C62669"/>
    <w:rsid w:val="00C63EAE"/>
    <w:rsid w:val="00C708E1"/>
    <w:rsid w:val="00C70F66"/>
    <w:rsid w:val="00C71C88"/>
    <w:rsid w:val="00C7544E"/>
    <w:rsid w:val="00C7629F"/>
    <w:rsid w:val="00C76807"/>
    <w:rsid w:val="00C81DD3"/>
    <w:rsid w:val="00C8382A"/>
    <w:rsid w:val="00C8661B"/>
    <w:rsid w:val="00C87795"/>
    <w:rsid w:val="00C90C2E"/>
    <w:rsid w:val="00C90DFD"/>
    <w:rsid w:val="00C91E31"/>
    <w:rsid w:val="00C92018"/>
    <w:rsid w:val="00CA139A"/>
    <w:rsid w:val="00CA2897"/>
    <w:rsid w:val="00CA2899"/>
    <w:rsid w:val="00CA2EBF"/>
    <w:rsid w:val="00CA3A3D"/>
    <w:rsid w:val="00CA4C99"/>
    <w:rsid w:val="00CA77FB"/>
    <w:rsid w:val="00CB0D76"/>
    <w:rsid w:val="00CB379B"/>
    <w:rsid w:val="00CB5DD0"/>
    <w:rsid w:val="00CB6374"/>
    <w:rsid w:val="00CC1099"/>
    <w:rsid w:val="00CC326D"/>
    <w:rsid w:val="00CC51D4"/>
    <w:rsid w:val="00CC65DA"/>
    <w:rsid w:val="00CC68AE"/>
    <w:rsid w:val="00CD05DB"/>
    <w:rsid w:val="00CE3B98"/>
    <w:rsid w:val="00CE4B32"/>
    <w:rsid w:val="00CF05B6"/>
    <w:rsid w:val="00CF08C9"/>
    <w:rsid w:val="00CF18E6"/>
    <w:rsid w:val="00CF21B9"/>
    <w:rsid w:val="00CF537C"/>
    <w:rsid w:val="00CF6BF9"/>
    <w:rsid w:val="00D03800"/>
    <w:rsid w:val="00D0590C"/>
    <w:rsid w:val="00D065D3"/>
    <w:rsid w:val="00D127CF"/>
    <w:rsid w:val="00D14C94"/>
    <w:rsid w:val="00D16140"/>
    <w:rsid w:val="00D309FC"/>
    <w:rsid w:val="00D31E20"/>
    <w:rsid w:val="00D32D32"/>
    <w:rsid w:val="00D33087"/>
    <w:rsid w:val="00D33CDE"/>
    <w:rsid w:val="00D342A6"/>
    <w:rsid w:val="00D34D8B"/>
    <w:rsid w:val="00D35B77"/>
    <w:rsid w:val="00D4016F"/>
    <w:rsid w:val="00D40549"/>
    <w:rsid w:val="00D4202F"/>
    <w:rsid w:val="00D45087"/>
    <w:rsid w:val="00D464BF"/>
    <w:rsid w:val="00D52ADC"/>
    <w:rsid w:val="00D53AA2"/>
    <w:rsid w:val="00D53E26"/>
    <w:rsid w:val="00D61B66"/>
    <w:rsid w:val="00D65975"/>
    <w:rsid w:val="00D71439"/>
    <w:rsid w:val="00D71A70"/>
    <w:rsid w:val="00D769EF"/>
    <w:rsid w:val="00D77050"/>
    <w:rsid w:val="00D77DDC"/>
    <w:rsid w:val="00D84F1D"/>
    <w:rsid w:val="00D85B01"/>
    <w:rsid w:val="00D8622C"/>
    <w:rsid w:val="00D87767"/>
    <w:rsid w:val="00D96056"/>
    <w:rsid w:val="00D96239"/>
    <w:rsid w:val="00D97EDA"/>
    <w:rsid w:val="00DA50E0"/>
    <w:rsid w:val="00DB3489"/>
    <w:rsid w:val="00DB4F37"/>
    <w:rsid w:val="00DB57B3"/>
    <w:rsid w:val="00DC09C9"/>
    <w:rsid w:val="00DC0A49"/>
    <w:rsid w:val="00DC3F1F"/>
    <w:rsid w:val="00DC79FF"/>
    <w:rsid w:val="00DC7CE7"/>
    <w:rsid w:val="00DD284D"/>
    <w:rsid w:val="00DD32AC"/>
    <w:rsid w:val="00DD3626"/>
    <w:rsid w:val="00DD4F0E"/>
    <w:rsid w:val="00DD774B"/>
    <w:rsid w:val="00DE2841"/>
    <w:rsid w:val="00DE5D40"/>
    <w:rsid w:val="00DE7362"/>
    <w:rsid w:val="00DE7E7A"/>
    <w:rsid w:val="00DF3731"/>
    <w:rsid w:val="00DF4700"/>
    <w:rsid w:val="00DF4C9D"/>
    <w:rsid w:val="00DF4FF1"/>
    <w:rsid w:val="00DF67F4"/>
    <w:rsid w:val="00E05E0A"/>
    <w:rsid w:val="00E10F2E"/>
    <w:rsid w:val="00E11A36"/>
    <w:rsid w:val="00E1308B"/>
    <w:rsid w:val="00E1309F"/>
    <w:rsid w:val="00E17148"/>
    <w:rsid w:val="00E2358A"/>
    <w:rsid w:val="00E26972"/>
    <w:rsid w:val="00E27FC5"/>
    <w:rsid w:val="00E32D30"/>
    <w:rsid w:val="00E32D53"/>
    <w:rsid w:val="00E32FF4"/>
    <w:rsid w:val="00E351D6"/>
    <w:rsid w:val="00E35BFD"/>
    <w:rsid w:val="00E36B60"/>
    <w:rsid w:val="00E4004B"/>
    <w:rsid w:val="00E44DDF"/>
    <w:rsid w:val="00E456BB"/>
    <w:rsid w:val="00E534CF"/>
    <w:rsid w:val="00E56844"/>
    <w:rsid w:val="00E56CAD"/>
    <w:rsid w:val="00E57D45"/>
    <w:rsid w:val="00E6025D"/>
    <w:rsid w:val="00E62BCB"/>
    <w:rsid w:val="00E63752"/>
    <w:rsid w:val="00E706DD"/>
    <w:rsid w:val="00E70CC4"/>
    <w:rsid w:val="00E77AB8"/>
    <w:rsid w:val="00E8036F"/>
    <w:rsid w:val="00E81CB4"/>
    <w:rsid w:val="00E8370C"/>
    <w:rsid w:val="00E83C8C"/>
    <w:rsid w:val="00E8585B"/>
    <w:rsid w:val="00E90744"/>
    <w:rsid w:val="00E919BF"/>
    <w:rsid w:val="00E92B42"/>
    <w:rsid w:val="00E9651D"/>
    <w:rsid w:val="00E972CE"/>
    <w:rsid w:val="00E97635"/>
    <w:rsid w:val="00EA1B2C"/>
    <w:rsid w:val="00EA253A"/>
    <w:rsid w:val="00EA3F15"/>
    <w:rsid w:val="00EA72EE"/>
    <w:rsid w:val="00EA7847"/>
    <w:rsid w:val="00EB00AE"/>
    <w:rsid w:val="00EB0537"/>
    <w:rsid w:val="00EC1545"/>
    <w:rsid w:val="00EC1614"/>
    <w:rsid w:val="00EC2A94"/>
    <w:rsid w:val="00EC66B6"/>
    <w:rsid w:val="00ED6726"/>
    <w:rsid w:val="00EE0057"/>
    <w:rsid w:val="00EE0C5F"/>
    <w:rsid w:val="00EE2C68"/>
    <w:rsid w:val="00EE2E6E"/>
    <w:rsid w:val="00EE36C3"/>
    <w:rsid w:val="00EE53A9"/>
    <w:rsid w:val="00EE6322"/>
    <w:rsid w:val="00EF0493"/>
    <w:rsid w:val="00EF3FB9"/>
    <w:rsid w:val="00F00CA3"/>
    <w:rsid w:val="00F02452"/>
    <w:rsid w:val="00F03575"/>
    <w:rsid w:val="00F0759E"/>
    <w:rsid w:val="00F10AE8"/>
    <w:rsid w:val="00F21A68"/>
    <w:rsid w:val="00F2451C"/>
    <w:rsid w:val="00F30081"/>
    <w:rsid w:val="00F30DB4"/>
    <w:rsid w:val="00F32FB9"/>
    <w:rsid w:val="00F35B4F"/>
    <w:rsid w:val="00F40ADE"/>
    <w:rsid w:val="00F41F2B"/>
    <w:rsid w:val="00F432EB"/>
    <w:rsid w:val="00F46625"/>
    <w:rsid w:val="00F50CD1"/>
    <w:rsid w:val="00F5558E"/>
    <w:rsid w:val="00F55620"/>
    <w:rsid w:val="00F57D0B"/>
    <w:rsid w:val="00F61AA8"/>
    <w:rsid w:val="00F713B9"/>
    <w:rsid w:val="00F71951"/>
    <w:rsid w:val="00F73370"/>
    <w:rsid w:val="00F73BFA"/>
    <w:rsid w:val="00F7550A"/>
    <w:rsid w:val="00F76453"/>
    <w:rsid w:val="00F810DC"/>
    <w:rsid w:val="00F821A3"/>
    <w:rsid w:val="00F856FA"/>
    <w:rsid w:val="00F866BB"/>
    <w:rsid w:val="00F87596"/>
    <w:rsid w:val="00F9314A"/>
    <w:rsid w:val="00F9453D"/>
    <w:rsid w:val="00FA60CE"/>
    <w:rsid w:val="00FA6A1C"/>
    <w:rsid w:val="00FB6D03"/>
    <w:rsid w:val="00FC3A6B"/>
    <w:rsid w:val="00FC58EF"/>
    <w:rsid w:val="00FC65D7"/>
    <w:rsid w:val="00FD2829"/>
    <w:rsid w:val="00FD307C"/>
    <w:rsid w:val="00FD33A6"/>
    <w:rsid w:val="00FD33DF"/>
    <w:rsid w:val="00FE39D7"/>
    <w:rsid w:val="00FE3CC2"/>
    <w:rsid w:val="00FE43D1"/>
    <w:rsid w:val="00FE6336"/>
    <w:rsid w:val="00FE6674"/>
    <w:rsid w:val="00FE67B4"/>
    <w:rsid w:val="00FE7A3E"/>
    <w:rsid w:val="00FF0727"/>
    <w:rsid w:val="00FF1545"/>
    <w:rsid w:val="00FF15C5"/>
    <w:rsid w:val="00FF2868"/>
    <w:rsid w:val="00FF2AAE"/>
    <w:rsid w:val="00FF2DB7"/>
    <w:rsid w:val="00FF3B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numPr>
        <w:numId w:val="33"/>
      </w:numPr>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b/>
      <w:bCs/>
    </w:rPr>
  </w:style>
  <w:style w:type="paragraph" w:styleId="Textoindependiente3">
    <w:name w:val="Body Text 3"/>
    <w:basedOn w:val="Normal"/>
    <w:link w:val="Textoindependiente3Car"/>
    <w:semiHidden/>
    <w:rsid w:val="003101DA"/>
    <w:pPr>
      <w:jc w:val="center"/>
      <w:outlineLvl w:val="0"/>
    </w:pPr>
    <w:rPr>
      <w:rFonts w:ascii="Arial" w:hAnsi="Arial"/>
      <w:b/>
      <w:bCs/>
      <w:spacing w:val="-3"/>
    </w:rPr>
  </w:style>
  <w:style w:type="paragraph" w:styleId="Textodeglobo">
    <w:name w:val="Balloon Text"/>
    <w:basedOn w:val="Normal"/>
    <w:link w:val="TextodegloboCar"/>
    <w:uiPriority w:val="99"/>
    <w:semiHidden/>
    <w:unhideWhenUsed/>
    <w:rsid w:val="00725FA4"/>
    <w:rPr>
      <w:rFonts w:ascii="Tahoma" w:hAnsi="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styleId="Epgrafe">
    <w:name w:val="caption"/>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paragraph" w:styleId="Mapadeldocumento">
    <w:name w:val="Document Map"/>
    <w:basedOn w:val="Normal"/>
    <w:link w:val="MapadeldocumentoCar"/>
    <w:uiPriority w:val="99"/>
    <w:semiHidden/>
    <w:unhideWhenUsed/>
    <w:rsid w:val="006433A4"/>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6433A4"/>
    <w:rPr>
      <w:rFonts w:ascii="Tahoma" w:hAnsi="Tahoma" w:cs="Tahoma"/>
      <w:sz w:val="16"/>
      <w:szCs w:val="16"/>
      <w:lang w:val="es-ES" w:eastAsia="es-ES"/>
    </w:rPr>
  </w:style>
  <w:style w:type="character" w:styleId="Refdecomentario">
    <w:name w:val="annotation reference"/>
    <w:basedOn w:val="Fuentedeprrafopredeter"/>
    <w:uiPriority w:val="99"/>
    <w:semiHidden/>
    <w:unhideWhenUsed/>
    <w:rsid w:val="008942EB"/>
    <w:rPr>
      <w:sz w:val="16"/>
      <w:szCs w:val="16"/>
    </w:rPr>
  </w:style>
  <w:style w:type="paragraph" w:styleId="Textocomentario">
    <w:name w:val="annotation text"/>
    <w:basedOn w:val="Normal"/>
    <w:link w:val="TextocomentarioCar"/>
    <w:uiPriority w:val="99"/>
    <w:semiHidden/>
    <w:unhideWhenUsed/>
    <w:rsid w:val="008942EB"/>
    <w:rPr>
      <w:sz w:val="20"/>
      <w:szCs w:val="20"/>
    </w:rPr>
  </w:style>
  <w:style w:type="character" w:customStyle="1" w:styleId="TextocomentarioCar">
    <w:name w:val="Texto comentario Car"/>
    <w:basedOn w:val="Fuentedeprrafopredeter"/>
    <w:link w:val="Textocomentario"/>
    <w:uiPriority w:val="99"/>
    <w:semiHidden/>
    <w:rsid w:val="008942EB"/>
    <w:rPr>
      <w:lang w:val="es-ES" w:eastAsia="es-ES"/>
    </w:rPr>
  </w:style>
  <w:style w:type="paragraph" w:styleId="Asuntodelcomentario">
    <w:name w:val="annotation subject"/>
    <w:basedOn w:val="Textocomentario"/>
    <w:next w:val="Textocomentario"/>
    <w:link w:val="AsuntodelcomentarioCar"/>
    <w:uiPriority w:val="99"/>
    <w:semiHidden/>
    <w:unhideWhenUsed/>
    <w:rsid w:val="008942EB"/>
    <w:rPr>
      <w:b/>
      <w:bCs/>
    </w:rPr>
  </w:style>
  <w:style w:type="character" w:customStyle="1" w:styleId="AsuntodelcomentarioCar">
    <w:name w:val="Asunto del comentario Car"/>
    <w:basedOn w:val="TextocomentarioCar"/>
    <w:link w:val="Asuntodelcomentario"/>
    <w:uiPriority w:val="99"/>
    <w:semiHidden/>
    <w:rsid w:val="008942EB"/>
    <w:rPr>
      <w:b/>
      <w:bCs/>
      <w:lang w:val="es-ES" w:eastAsia="es-ES"/>
    </w:rPr>
  </w:style>
  <w:style w:type="paragraph" w:styleId="Revisin">
    <w:name w:val="Revision"/>
    <w:hidden/>
    <w:uiPriority w:val="99"/>
    <w:semiHidden/>
    <w:rsid w:val="005B29FB"/>
    <w:rPr>
      <w:sz w:val="24"/>
      <w:szCs w:val="24"/>
      <w:lang w:val="es-ES" w:eastAsia="es-ES"/>
    </w:rPr>
  </w:style>
  <w:style w:type="paragraph" w:customStyle="1" w:styleId="xl25">
    <w:name w:val="xl25"/>
    <w:basedOn w:val="Normal"/>
    <w:rsid w:val="00173F57"/>
    <w:pPr>
      <w:suppressAutoHyphens/>
      <w:spacing w:before="280" w:after="280"/>
      <w:ind w:left="0"/>
      <w:jc w:val="both"/>
    </w:pPr>
    <w:rPr>
      <w:rFonts w:ascii="Arial" w:hAnsi="Arial" w:cs="Arial"/>
      <w:sz w:val="16"/>
      <w:szCs w:val="16"/>
      <w:lang w:eastAsia="ar-SA"/>
    </w:rPr>
  </w:style>
  <w:style w:type="paragraph" w:styleId="Sangradetextonormal">
    <w:name w:val="Body Text Indent"/>
    <w:basedOn w:val="Normal"/>
    <w:link w:val="SangradetextonormalCar"/>
    <w:uiPriority w:val="99"/>
    <w:semiHidden/>
    <w:unhideWhenUsed/>
    <w:rsid w:val="00772D44"/>
    <w:pPr>
      <w:spacing w:after="120"/>
      <w:ind w:left="283"/>
    </w:pPr>
  </w:style>
  <w:style w:type="character" w:customStyle="1" w:styleId="SangradetextonormalCar">
    <w:name w:val="Sangría de texto normal Car"/>
    <w:basedOn w:val="Fuentedeprrafopredeter"/>
    <w:link w:val="Sangradetextonormal"/>
    <w:uiPriority w:val="99"/>
    <w:semiHidden/>
    <w:rsid w:val="00772D44"/>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numPr>
        <w:numId w:val="33"/>
      </w:numPr>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b/>
      <w:bCs/>
    </w:rPr>
  </w:style>
  <w:style w:type="paragraph" w:styleId="Textoindependiente3">
    <w:name w:val="Body Text 3"/>
    <w:basedOn w:val="Normal"/>
    <w:link w:val="Textoindependiente3Car"/>
    <w:semiHidden/>
    <w:rsid w:val="003101DA"/>
    <w:pPr>
      <w:jc w:val="center"/>
      <w:outlineLvl w:val="0"/>
    </w:pPr>
    <w:rPr>
      <w:rFonts w:ascii="Arial" w:hAnsi="Arial"/>
      <w:b/>
      <w:bCs/>
      <w:spacing w:val="-3"/>
    </w:rPr>
  </w:style>
  <w:style w:type="paragraph" w:styleId="Textodeglobo">
    <w:name w:val="Balloon Text"/>
    <w:basedOn w:val="Normal"/>
    <w:link w:val="TextodegloboCar"/>
    <w:uiPriority w:val="99"/>
    <w:semiHidden/>
    <w:unhideWhenUsed/>
    <w:rsid w:val="00725FA4"/>
    <w:rPr>
      <w:rFonts w:ascii="Tahoma" w:hAnsi="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styleId="Epgrafe">
    <w:name w:val="caption"/>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paragraph" w:styleId="Mapadeldocumento">
    <w:name w:val="Document Map"/>
    <w:basedOn w:val="Normal"/>
    <w:link w:val="MapadeldocumentoCar"/>
    <w:uiPriority w:val="99"/>
    <w:semiHidden/>
    <w:unhideWhenUsed/>
    <w:rsid w:val="006433A4"/>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6433A4"/>
    <w:rPr>
      <w:rFonts w:ascii="Tahoma" w:hAnsi="Tahoma" w:cs="Tahoma"/>
      <w:sz w:val="16"/>
      <w:szCs w:val="16"/>
      <w:lang w:val="es-ES" w:eastAsia="es-ES"/>
    </w:rPr>
  </w:style>
  <w:style w:type="character" w:styleId="Refdecomentario">
    <w:name w:val="annotation reference"/>
    <w:basedOn w:val="Fuentedeprrafopredeter"/>
    <w:uiPriority w:val="99"/>
    <w:semiHidden/>
    <w:unhideWhenUsed/>
    <w:rsid w:val="008942EB"/>
    <w:rPr>
      <w:sz w:val="16"/>
      <w:szCs w:val="16"/>
    </w:rPr>
  </w:style>
  <w:style w:type="paragraph" w:styleId="Textocomentario">
    <w:name w:val="annotation text"/>
    <w:basedOn w:val="Normal"/>
    <w:link w:val="TextocomentarioCar"/>
    <w:uiPriority w:val="99"/>
    <w:semiHidden/>
    <w:unhideWhenUsed/>
    <w:rsid w:val="008942EB"/>
    <w:rPr>
      <w:sz w:val="20"/>
      <w:szCs w:val="20"/>
    </w:rPr>
  </w:style>
  <w:style w:type="character" w:customStyle="1" w:styleId="TextocomentarioCar">
    <w:name w:val="Texto comentario Car"/>
    <w:basedOn w:val="Fuentedeprrafopredeter"/>
    <w:link w:val="Textocomentario"/>
    <w:uiPriority w:val="99"/>
    <w:semiHidden/>
    <w:rsid w:val="008942EB"/>
    <w:rPr>
      <w:lang w:val="es-ES" w:eastAsia="es-ES"/>
    </w:rPr>
  </w:style>
  <w:style w:type="paragraph" w:styleId="Asuntodelcomentario">
    <w:name w:val="annotation subject"/>
    <w:basedOn w:val="Textocomentario"/>
    <w:next w:val="Textocomentario"/>
    <w:link w:val="AsuntodelcomentarioCar"/>
    <w:uiPriority w:val="99"/>
    <w:semiHidden/>
    <w:unhideWhenUsed/>
    <w:rsid w:val="008942EB"/>
    <w:rPr>
      <w:b/>
      <w:bCs/>
    </w:rPr>
  </w:style>
  <w:style w:type="character" w:customStyle="1" w:styleId="AsuntodelcomentarioCar">
    <w:name w:val="Asunto del comentario Car"/>
    <w:basedOn w:val="TextocomentarioCar"/>
    <w:link w:val="Asuntodelcomentario"/>
    <w:uiPriority w:val="99"/>
    <w:semiHidden/>
    <w:rsid w:val="008942EB"/>
    <w:rPr>
      <w:b/>
      <w:bCs/>
      <w:lang w:val="es-ES" w:eastAsia="es-ES"/>
    </w:rPr>
  </w:style>
  <w:style w:type="paragraph" w:styleId="Revisin">
    <w:name w:val="Revision"/>
    <w:hidden/>
    <w:uiPriority w:val="99"/>
    <w:semiHidden/>
    <w:rsid w:val="005B29FB"/>
    <w:rPr>
      <w:sz w:val="24"/>
      <w:szCs w:val="24"/>
      <w:lang w:val="es-ES" w:eastAsia="es-ES"/>
    </w:rPr>
  </w:style>
  <w:style w:type="paragraph" w:customStyle="1" w:styleId="xl25">
    <w:name w:val="xl25"/>
    <w:basedOn w:val="Normal"/>
    <w:rsid w:val="00173F57"/>
    <w:pPr>
      <w:suppressAutoHyphens/>
      <w:spacing w:before="280" w:after="280"/>
      <w:ind w:left="0"/>
      <w:jc w:val="both"/>
    </w:pPr>
    <w:rPr>
      <w:rFonts w:ascii="Arial" w:hAnsi="Arial" w:cs="Arial"/>
      <w:sz w:val="16"/>
      <w:szCs w:val="16"/>
      <w:lang w:eastAsia="ar-SA"/>
    </w:rPr>
  </w:style>
  <w:style w:type="paragraph" w:styleId="Sangradetextonormal">
    <w:name w:val="Body Text Indent"/>
    <w:basedOn w:val="Normal"/>
    <w:link w:val="SangradetextonormalCar"/>
    <w:uiPriority w:val="99"/>
    <w:semiHidden/>
    <w:unhideWhenUsed/>
    <w:rsid w:val="00772D44"/>
    <w:pPr>
      <w:spacing w:after="120"/>
      <w:ind w:left="283"/>
    </w:pPr>
  </w:style>
  <w:style w:type="character" w:customStyle="1" w:styleId="SangradetextonormalCar">
    <w:name w:val="Sangría de texto normal Car"/>
    <w:basedOn w:val="Fuentedeprrafopredeter"/>
    <w:link w:val="Sangradetextonormal"/>
    <w:uiPriority w:val="99"/>
    <w:semiHidden/>
    <w:rsid w:val="00772D44"/>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498591">
      <w:bodyDiv w:val="1"/>
      <w:marLeft w:val="0"/>
      <w:marRight w:val="0"/>
      <w:marTop w:val="0"/>
      <w:marBottom w:val="0"/>
      <w:divBdr>
        <w:top w:val="none" w:sz="0" w:space="0" w:color="auto"/>
        <w:left w:val="none" w:sz="0" w:space="0" w:color="auto"/>
        <w:bottom w:val="none" w:sz="0" w:space="0" w:color="auto"/>
        <w:right w:val="none" w:sz="0" w:space="0" w:color="auto"/>
      </w:divBdr>
    </w:div>
    <w:div w:id="135418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oleObject" Target="embeddings/oleObject7.bin"/></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29811-21A4-422A-BCBE-123F62491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Template>
  <TotalTime>0</TotalTime>
  <Pages>18</Pages>
  <Words>6314</Words>
  <Characters>32936</Characters>
  <Application>Microsoft Office Word</Application>
  <DocSecurity>0</DocSecurity>
  <Lines>274</Lines>
  <Paragraphs>78</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39172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LSROJAS</dc:creator>
  <cp:lastModifiedBy>Luz Stella Rojas Macias</cp:lastModifiedBy>
  <cp:revision>2</cp:revision>
  <cp:lastPrinted>2011-09-23T22:12:00Z</cp:lastPrinted>
  <dcterms:created xsi:type="dcterms:W3CDTF">2011-10-04T14:16:00Z</dcterms:created>
  <dcterms:modified xsi:type="dcterms:W3CDTF">2011-10-04T14:16:00Z</dcterms:modified>
</cp:coreProperties>
</file>