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C6" w:rsidRPr="008D4E66" w:rsidRDefault="001A79A6" w:rsidP="00C10994">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15pt;margin-top:-57.1pt;width:52.5pt;height:48.75pt;z-index:251657728" fillcolor="#0c9">
            <v:imagedata r:id="rId9" o:title=""/>
          </v:shape>
          <o:OLEObject Type="Embed" ProgID="PBrush" ShapeID="_x0000_s1026" DrawAspect="Content" ObjectID="_1385991425" r:id="rId10"/>
        </w:pict>
      </w:r>
    </w:p>
    <w:p w:rsidR="00625DC6" w:rsidRPr="008D4E66" w:rsidRDefault="00625DC6" w:rsidP="00C10994">
      <w:pPr>
        <w:pStyle w:val="Encabezado"/>
        <w:tabs>
          <w:tab w:val="clear" w:pos="8504"/>
          <w:tab w:val="left" w:pos="0"/>
          <w:tab w:val="right" w:pos="9356"/>
        </w:tabs>
        <w:ind w:left="0"/>
        <w:jc w:val="both"/>
        <w:rPr>
          <w:rFonts w:ascii="Bookman Old Style" w:hAnsi="Bookman Old Style"/>
          <w:szCs w:val="24"/>
        </w:rPr>
      </w:pPr>
    </w:p>
    <w:p w:rsidR="00CA77FB" w:rsidRPr="008D4E66" w:rsidRDefault="00CA77FB" w:rsidP="00C10994">
      <w:pPr>
        <w:ind w:left="0"/>
        <w:jc w:val="center"/>
        <w:rPr>
          <w:rFonts w:ascii="Bookman Old Style" w:hAnsi="Bookman Old Style"/>
          <w:bCs/>
          <w:noProof/>
        </w:rPr>
      </w:pPr>
      <w:r w:rsidRPr="008D4E66">
        <w:rPr>
          <w:rFonts w:ascii="Bookman Old Style" w:hAnsi="Bookman Old Style"/>
          <w:bCs/>
        </w:rPr>
        <w:t>Ministerio de Minas y Energía</w:t>
      </w:r>
    </w:p>
    <w:p w:rsidR="00CA77FB" w:rsidRPr="008D4E66" w:rsidRDefault="00CA77FB" w:rsidP="00C10994">
      <w:pPr>
        <w:ind w:left="0"/>
        <w:jc w:val="center"/>
        <w:rPr>
          <w:rFonts w:ascii="Bookman Old Style" w:hAnsi="Bookman Old Style"/>
          <w:b/>
          <w:bCs/>
        </w:rPr>
      </w:pPr>
    </w:p>
    <w:p w:rsidR="00CA77FB" w:rsidRPr="008D4E66" w:rsidRDefault="00CA77FB" w:rsidP="00C10994">
      <w:pPr>
        <w:ind w:left="0"/>
        <w:jc w:val="center"/>
        <w:rPr>
          <w:rFonts w:ascii="Bookman Old Style" w:hAnsi="Bookman Old Style" w:cs="Arial"/>
          <w:b/>
          <w:spacing w:val="20"/>
        </w:rPr>
      </w:pPr>
      <w:r w:rsidRPr="008D4E66">
        <w:rPr>
          <w:rFonts w:ascii="Bookman Old Style" w:hAnsi="Bookman Old Style" w:cs="Arial"/>
          <w:b/>
          <w:spacing w:val="20"/>
        </w:rPr>
        <w:t>COMISIÓN DE REGULACIÓN DE ENERGÍA Y GAS</w:t>
      </w:r>
    </w:p>
    <w:p w:rsidR="00CA77FB" w:rsidRPr="008D4E66" w:rsidRDefault="00CA77FB" w:rsidP="00C10994">
      <w:pPr>
        <w:ind w:left="0"/>
        <w:jc w:val="center"/>
        <w:rPr>
          <w:rFonts w:ascii="Bookman Old Style" w:hAnsi="Bookman Old Style"/>
        </w:rPr>
      </w:pPr>
    </w:p>
    <w:p w:rsidR="00CA77FB" w:rsidRPr="008D4E66" w:rsidRDefault="00CA77FB" w:rsidP="00C10994">
      <w:pPr>
        <w:ind w:left="0"/>
        <w:jc w:val="center"/>
        <w:rPr>
          <w:rFonts w:ascii="Bookman Old Style" w:hAnsi="Bookman Old Style"/>
        </w:rPr>
      </w:pPr>
    </w:p>
    <w:p w:rsidR="00CA77FB" w:rsidRPr="008D4E66" w:rsidRDefault="00CA77FB" w:rsidP="00C10994">
      <w:pPr>
        <w:ind w:left="0"/>
        <w:jc w:val="center"/>
        <w:rPr>
          <w:rFonts w:ascii="Bookman Old Style" w:hAnsi="Bookman Old Style"/>
          <w:b/>
        </w:rPr>
      </w:pPr>
      <w:r w:rsidRPr="008D4E66">
        <w:rPr>
          <w:rFonts w:ascii="Bookman Old Style" w:hAnsi="Bookman Old Style"/>
          <w:b/>
        </w:rPr>
        <w:t xml:space="preserve">RESOLUCIÓN No. </w:t>
      </w:r>
      <w:r w:rsidR="00795BFB" w:rsidRPr="008D4E66">
        <w:rPr>
          <w:rFonts w:ascii="Bookman Old Style" w:hAnsi="Bookman Old Style"/>
          <w:b/>
        </w:rPr>
        <w:t xml:space="preserve">                  </w:t>
      </w:r>
      <w:r w:rsidRPr="008D4E66">
        <w:rPr>
          <w:rFonts w:ascii="Bookman Old Style" w:hAnsi="Bookman Old Style"/>
          <w:b/>
        </w:rPr>
        <w:t xml:space="preserve">DE </w:t>
      </w:r>
      <w:r w:rsidR="00A24790" w:rsidRPr="008D4E66">
        <w:rPr>
          <w:rFonts w:ascii="Bookman Old Style" w:hAnsi="Bookman Old Style"/>
          <w:b/>
        </w:rPr>
        <w:t>2011</w:t>
      </w:r>
    </w:p>
    <w:p w:rsidR="00CA77FB" w:rsidRPr="008D4E66" w:rsidRDefault="00CA77FB" w:rsidP="00C10994">
      <w:pPr>
        <w:tabs>
          <w:tab w:val="left" w:pos="0"/>
          <w:tab w:val="right" w:pos="9356"/>
        </w:tabs>
        <w:ind w:left="0"/>
        <w:jc w:val="center"/>
        <w:rPr>
          <w:rFonts w:ascii="Bookman Old Style" w:hAnsi="Bookman Old Style" w:cs="Arial"/>
          <w:b/>
          <w:snapToGrid w:val="0"/>
          <w:color w:val="000000"/>
          <w:lang w:val="es-ES_tradnl"/>
        </w:rPr>
      </w:pPr>
    </w:p>
    <w:p w:rsidR="00CA77FB" w:rsidRPr="008D4E66" w:rsidRDefault="00CA77FB" w:rsidP="00C10994">
      <w:pPr>
        <w:ind w:left="0"/>
        <w:jc w:val="center"/>
        <w:rPr>
          <w:rFonts w:ascii="Bookman Old Style" w:hAnsi="Bookman Old Style"/>
          <w:b/>
        </w:rPr>
      </w:pPr>
      <w:r w:rsidRPr="008D4E66">
        <w:rPr>
          <w:rFonts w:ascii="Bookman Old Style" w:hAnsi="Bookman Old Style"/>
          <w:b/>
        </w:rPr>
        <w:t>(                                  )</w:t>
      </w:r>
    </w:p>
    <w:p w:rsidR="00CA77FB" w:rsidRPr="008D4E66" w:rsidRDefault="00CA77FB" w:rsidP="00C10994">
      <w:pPr>
        <w:tabs>
          <w:tab w:val="left" w:pos="0"/>
          <w:tab w:val="right" w:pos="9356"/>
        </w:tabs>
        <w:ind w:left="0"/>
        <w:jc w:val="center"/>
        <w:rPr>
          <w:rFonts w:ascii="Bookman Old Style" w:hAnsi="Bookman Old Style"/>
          <w:lang w:val="es-ES_tradnl"/>
        </w:rPr>
      </w:pPr>
    </w:p>
    <w:p w:rsidR="00B351B4" w:rsidRDefault="00B351B4" w:rsidP="00C10994">
      <w:pPr>
        <w:ind w:left="0"/>
        <w:rPr>
          <w:rFonts w:ascii="Bookman Old Style" w:hAnsi="Bookman Old Style"/>
          <w:bCs/>
          <w:lang w:val="es-CO"/>
        </w:rPr>
      </w:pPr>
      <w:bookmarkStart w:id="0" w:name="_GoBack"/>
      <w:bookmarkEnd w:id="0"/>
    </w:p>
    <w:p w:rsidR="007472F8" w:rsidRDefault="007472F8" w:rsidP="00C10994">
      <w:pPr>
        <w:ind w:left="0"/>
        <w:rPr>
          <w:rFonts w:ascii="Bookman Old Style" w:hAnsi="Bookman Old Style"/>
          <w:bCs/>
          <w:lang w:val="es-CO"/>
        </w:rPr>
      </w:pPr>
    </w:p>
    <w:p w:rsidR="00DF1CE9" w:rsidRPr="008D4E66" w:rsidRDefault="00DF1CE9" w:rsidP="00C10994">
      <w:pPr>
        <w:ind w:left="0"/>
        <w:rPr>
          <w:rFonts w:ascii="Bookman Old Style" w:hAnsi="Bookman Old Style"/>
          <w:bCs/>
          <w:lang w:val="es-CO"/>
        </w:rPr>
      </w:pPr>
    </w:p>
    <w:p w:rsidR="00C20249" w:rsidRPr="008D4E66" w:rsidRDefault="00C20249" w:rsidP="003B1A40">
      <w:pPr>
        <w:pStyle w:val="Textodebloque"/>
        <w:spacing w:after="0"/>
        <w:ind w:left="0" w:right="51"/>
        <w:jc w:val="center"/>
        <w:rPr>
          <w:rFonts w:ascii="Bookman Old Style" w:hAnsi="Bookman Old Style" w:cs="Arial"/>
          <w:szCs w:val="24"/>
        </w:rPr>
      </w:pPr>
      <w:r w:rsidRPr="008D4E66">
        <w:rPr>
          <w:rFonts w:ascii="Bookman Old Style" w:hAnsi="Bookman Old Style" w:cs="Arial"/>
          <w:szCs w:val="24"/>
        </w:rPr>
        <w:t xml:space="preserve">Por la cual se modifican algunas disposiciones en materia de garantías </w:t>
      </w:r>
      <w:r w:rsidR="000040E8" w:rsidRPr="008D4E66">
        <w:rPr>
          <w:rFonts w:ascii="Bookman Old Style" w:hAnsi="Bookman Old Style" w:cs="Arial"/>
          <w:szCs w:val="24"/>
        </w:rPr>
        <w:t xml:space="preserve">y pagos anticipados </w:t>
      </w:r>
      <w:r w:rsidRPr="008D4E66">
        <w:rPr>
          <w:rFonts w:ascii="Bookman Old Style" w:hAnsi="Bookman Old Style" w:cs="Arial"/>
          <w:szCs w:val="24"/>
        </w:rPr>
        <w:t>de los agentes participantes en el Mercado de Energía</w:t>
      </w:r>
      <w:r w:rsidR="00261653" w:rsidRPr="008D4E66">
        <w:rPr>
          <w:rFonts w:ascii="Bookman Old Style" w:hAnsi="Bookman Old Style" w:cs="Arial"/>
          <w:szCs w:val="24"/>
        </w:rPr>
        <w:t xml:space="preserve"> Mayorista</w:t>
      </w:r>
    </w:p>
    <w:p w:rsidR="00C20249" w:rsidRPr="008D4E66" w:rsidRDefault="00C20249" w:rsidP="004B2466">
      <w:pPr>
        <w:ind w:right="788"/>
        <w:rPr>
          <w:rFonts w:ascii="Bookman Old Style" w:hAnsi="Bookman Old Style" w:cs="Arial"/>
        </w:rPr>
      </w:pPr>
    </w:p>
    <w:p w:rsidR="00C20249" w:rsidRPr="008D4E66" w:rsidRDefault="00C20249" w:rsidP="009A3947">
      <w:pPr>
        <w:ind w:right="788"/>
        <w:rPr>
          <w:rFonts w:ascii="Bookman Old Style" w:hAnsi="Bookman Old Style" w:cs="Arial"/>
        </w:rPr>
      </w:pPr>
    </w:p>
    <w:p w:rsidR="00C20249" w:rsidRPr="008D4E66" w:rsidRDefault="00C20249" w:rsidP="009A3947">
      <w:pPr>
        <w:pStyle w:val="Ttulo7"/>
        <w:spacing w:before="0" w:after="0"/>
        <w:jc w:val="center"/>
        <w:rPr>
          <w:rFonts w:ascii="Bookman Old Style" w:hAnsi="Bookman Old Style" w:cs="Arial"/>
          <w:b/>
          <w:bCs/>
        </w:rPr>
      </w:pPr>
      <w:r w:rsidRPr="008D4E66">
        <w:rPr>
          <w:rFonts w:ascii="Bookman Old Style" w:hAnsi="Bookman Old Style" w:cs="Arial"/>
          <w:b/>
          <w:bCs/>
        </w:rPr>
        <w:t>LA COMISIÓN DE REGULACIÓN DE ENERGÍA Y GAS</w:t>
      </w:r>
    </w:p>
    <w:p w:rsidR="00C20249" w:rsidRPr="008D4E66" w:rsidRDefault="00C20249" w:rsidP="009A3947">
      <w:pPr>
        <w:ind w:right="788"/>
        <w:rPr>
          <w:rFonts w:ascii="Bookman Old Style" w:hAnsi="Bookman Old Style" w:cs="Arial"/>
          <w:b/>
        </w:rPr>
      </w:pPr>
    </w:p>
    <w:p w:rsidR="00C20249" w:rsidRPr="008D4E66" w:rsidRDefault="00C20249" w:rsidP="009A3947">
      <w:pPr>
        <w:ind w:right="788"/>
        <w:rPr>
          <w:rFonts w:ascii="Bookman Old Style" w:hAnsi="Bookman Old Style" w:cs="Arial"/>
          <w:b/>
        </w:rPr>
      </w:pPr>
    </w:p>
    <w:p w:rsidR="00C20249" w:rsidRPr="008D4E66" w:rsidRDefault="00C20249" w:rsidP="003B1A40">
      <w:pPr>
        <w:tabs>
          <w:tab w:val="left" w:pos="8789"/>
        </w:tabs>
        <w:ind w:left="0" w:right="49"/>
        <w:jc w:val="center"/>
        <w:rPr>
          <w:rFonts w:ascii="Bookman Old Style" w:hAnsi="Bookman Old Style" w:cs="Arial"/>
        </w:rPr>
      </w:pPr>
      <w:r w:rsidRPr="008D4E66">
        <w:rPr>
          <w:rFonts w:ascii="Bookman Old Style" w:hAnsi="Bookman Old Style" w:cs="Arial"/>
        </w:rPr>
        <w:t>En ejercicio de sus atribuciones constitucionales y legales, en especial las conferidas por las leyes 142 y 143 de 1994, y en desarrollo de los decretos 1524 y 2253 de 1994</w:t>
      </w:r>
    </w:p>
    <w:p w:rsidR="00C20249" w:rsidRPr="008D4E66" w:rsidRDefault="00C20249" w:rsidP="009A3947">
      <w:pPr>
        <w:rPr>
          <w:rFonts w:ascii="Bookman Old Style" w:hAnsi="Bookman Old Style" w:cs="Arial"/>
        </w:rPr>
      </w:pPr>
    </w:p>
    <w:p w:rsidR="00C20249" w:rsidRPr="008D4E66" w:rsidRDefault="00C20249" w:rsidP="009A3947">
      <w:pPr>
        <w:rPr>
          <w:rFonts w:ascii="Bookman Old Style" w:hAnsi="Bookman Old Style" w:cs="Arial"/>
        </w:rPr>
      </w:pPr>
    </w:p>
    <w:p w:rsidR="00C20249" w:rsidRPr="008D4E66" w:rsidRDefault="00C20249" w:rsidP="003B1A40">
      <w:pPr>
        <w:ind w:left="0"/>
        <w:jc w:val="center"/>
        <w:rPr>
          <w:rFonts w:ascii="Bookman Old Style" w:hAnsi="Bookman Old Style" w:cs="Arial"/>
          <w:b/>
        </w:rPr>
      </w:pPr>
      <w:r w:rsidRPr="008D4E66">
        <w:rPr>
          <w:rFonts w:ascii="Bookman Old Style" w:hAnsi="Bookman Old Style" w:cs="Arial"/>
          <w:b/>
          <w:spacing w:val="80"/>
        </w:rPr>
        <w:t>CONSIDERANDO QUE</w:t>
      </w:r>
      <w:r w:rsidRPr="008D4E66">
        <w:rPr>
          <w:rFonts w:ascii="Bookman Old Style" w:hAnsi="Bookman Old Style" w:cs="Arial"/>
          <w:b/>
        </w:rPr>
        <w:t>:</w:t>
      </w:r>
    </w:p>
    <w:p w:rsidR="00C20249" w:rsidRDefault="00C20249" w:rsidP="009A3947">
      <w:pPr>
        <w:rPr>
          <w:rFonts w:ascii="Bookman Old Style" w:hAnsi="Bookman Old Style" w:cs="Arial"/>
          <w:b/>
        </w:rPr>
      </w:pPr>
    </w:p>
    <w:p w:rsidR="002F4F01" w:rsidRPr="008D4E66" w:rsidRDefault="002F4F01" w:rsidP="009A3947">
      <w:pPr>
        <w:rPr>
          <w:rFonts w:ascii="Bookman Old Style" w:hAnsi="Bookman Old Style" w:cs="Arial"/>
          <w:b/>
        </w:rPr>
      </w:pPr>
    </w:p>
    <w:p w:rsidR="00C20249" w:rsidRPr="008D4E66" w:rsidRDefault="00C20249" w:rsidP="003B1A40">
      <w:pPr>
        <w:ind w:left="0"/>
        <w:jc w:val="both"/>
        <w:rPr>
          <w:rFonts w:ascii="Bookman Old Style" w:hAnsi="Bookman Old Style" w:cs="Arial"/>
        </w:rPr>
      </w:pPr>
      <w:r w:rsidRPr="008D4E66">
        <w:rPr>
          <w:rFonts w:ascii="Bookman Old Style" w:hAnsi="Bookman Old Style" w:cs="Arial"/>
        </w:rPr>
        <w:t xml:space="preserve">El artículo 333 de la Constitución Política </w:t>
      </w:r>
      <w:r w:rsidR="000040E8" w:rsidRPr="008D4E66">
        <w:rPr>
          <w:rFonts w:ascii="Bookman Old Style" w:hAnsi="Bookman Old Style" w:cs="Arial"/>
        </w:rPr>
        <w:t xml:space="preserve">de Colombia </w:t>
      </w:r>
      <w:r w:rsidRPr="008D4E66">
        <w:rPr>
          <w:rFonts w:ascii="Bookman Old Style" w:hAnsi="Bookman Old Style" w:cs="Arial"/>
        </w:rPr>
        <w:t>señala que la actividad económica y la iniciativa privada son libres dentro de los límites del bien común, que la libre competencia económica es un derecho de todos que supone responsabilidades y que la ley delimitará el alcance de la libertad económica.</w:t>
      </w:r>
    </w:p>
    <w:p w:rsidR="00C20249" w:rsidRPr="008D4E66" w:rsidRDefault="00C20249" w:rsidP="003B1A40">
      <w:pPr>
        <w:ind w:left="0"/>
        <w:jc w:val="both"/>
        <w:rPr>
          <w:rFonts w:ascii="Bookman Old Style" w:hAnsi="Bookman Old Style" w:cs="Arial"/>
          <w:b/>
        </w:rPr>
      </w:pPr>
    </w:p>
    <w:p w:rsidR="00C20249" w:rsidRPr="008D4E66" w:rsidRDefault="00C20249" w:rsidP="003B1A40">
      <w:pPr>
        <w:ind w:left="0"/>
        <w:jc w:val="both"/>
        <w:rPr>
          <w:rFonts w:ascii="Bookman Old Style" w:hAnsi="Bookman Old Style" w:cs="Arial"/>
          <w:bCs/>
          <w:lang w:val="es-CO"/>
        </w:rPr>
      </w:pPr>
      <w:r w:rsidRPr="008D4E66">
        <w:rPr>
          <w:rFonts w:ascii="Bookman Old Style" w:hAnsi="Bookman Old Style" w:cs="Arial"/>
        </w:rPr>
        <w:t>Según lo previsto en el artículo 334 de la Constitución Política</w:t>
      </w:r>
      <w:r w:rsidR="000040E8" w:rsidRPr="008D4E66">
        <w:rPr>
          <w:rFonts w:ascii="Bookman Old Style" w:hAnsi="Bookman Old Style" w:cs="Arial"/>
        </w:rPr>
        <w:t xml:space="preserve"> de Colombia</w:t>
      </w:r>
      <w:r w:rsidRPr="008D4E66">
        <w:rPr>
          <w:rFonts w:ascii="Bookman Old Style" w:hAnsi="Bookman Old Style" w:cs="Arial"/>
        </w:rPr>
        <w:t>, el Estado intervendrá en los servicios públicos y privados para racionalizar la economía con el fin de conseguir el mejoramiento de la calidad de vida de los habitantes, la distribución equitativa de oportunidades y los beneficios del desarrollo y la preservación de un ambiente sano.</w:t>
      </w:r>
    </w:p>
    <w:p w:rsidR="00C20249" w:rsidRPr="008D4E66" w:rsidRDefault="00C20249" w:rsidP="003B1A40">
      <w:pPr>
        <w:ind w:left="0"/>
        <w:jc w:val="both"/>
        <w:rPr>
          <w:rFonts w:ascii="Bookman Old Style" w:hAnsi="Bookman Old Style" w:cs="Arial"/>
        </w:rPr>
      </w:pPr>
    </w:p>
    <w:p w:rsidR="000040E8" w:rsidRPr="008D4E66" w:rsidRDefault="000040E8" w:rsidP="003B1A40">
      <w:pPr>
        <w:ind w:left="0"/>
        <w:jc w:val="both"/>
        <w:rPr>
          <w:rFonts w:ascii="Bookman Old Style" w:hAnsi="Bookman Old Style" w:cs="Arial"/>
        </w:rPr>
      </w:pPr>
      <w:r w:rsidRPr="008D4E66">
        <w:rPr>
          <w:rFonts w:ascii="Bookman Old Style" w:hAnsi="Bookman Old Style" w:cs="Arial"/>
        </w:rPr>
        <w:t xml:space="preserve">Las leyes 142 y 143 de 1994 otorgan a la Comisión de Regulación de Energía y Gas la facultad de establecer el Reglamento de Operación, el cual incluye los principios, criterios y procedimientos para regular el funcionamiento del </w:t>
      </w:r>
      <w:r w:rsidR="00C750AB" w:rsidRPr="008D4E66">
        <w:rPr>
          <w:rFonts w:ascii="Bookman Old Style" w:hAnsi="Bookman Old Style" w:cs="Arial"/>
        </w:rPr>
        <w:t>mercado de energía mayorista.</w:t>
      </w:r>
    </w:p>
    <w:p w:rsidR="00C20249" w:rsidRPr="008D4E66" w:rsidRDefault="00C20249" w:rsidP="003B1A40">
      <w:pPr>
        <w:ind w:left="0"/>
        <w:jc w:val="both"/>
        <w:rPr>
          <w:rFonts w:ascii="Bookman Old Style" w:hAnsi="Bookman Old Style" w:cs="Arial"/>
        </w:rPr>
      </w:pPr>
    </w:p>
    <w:p w:rsidR="00C20249" w:rsidRPr="008D4E66" w:rsidRDefault="00C20249" w:rsidP="003B1A40">
      <w:pPr>
        <w:pStyle w:val="Textodebloque"/>
        <w:spacing w:after="0"/>
        <w:ind w:left="0" w:right="0"/>
        <w:rPr>
          <w:rFonts w:ascii="Bookman Old Style" w:hAnsi="Bookman Old Style" w:cs="Arial"/>
          <w:szCs w:val="24"/>
        </w:rPr>
      </w:pPr>
      <w:r w:rsidRPr="008D4E66">
        <w:rPr>
          <w:rFonts w:ascii="Bookman Old Style" w:hAnsi="Bookman Old Style" w:cs="Arial"/>
          <w:szCs w:val="24"/>
        </w:rPr>
        <w:t xml:space="preserve">La Resolución CREG 024 de 1995, </w:t>
      </w:r>
      <w:r w:rsidRPr="008D4E66">
        <w:rPr>
          <w:rFonts w:ascii="Bookman Old Style" w:hAnsi="Bookman Old Style" w:cs="Arial"/>
          <w:i/>
          <w:iCs/>
          <w:szCs w:val="24"/>
        </w:rPr>
        <w:t>“por la cual se reglamentan los aspectos comerciales del mercado mayorista de energía en el sistema interconectado nacional, que hacen parte del Reglamento de Operación”</w:t>
      </w:r>
      <w:r w:rsidRPr="008D4E66">
        <w:rPr>
          <w:rFonts w:ascii="Bookman Old Style" w:hAnsi="Bookman Old Style" w:cs="Arial"/>
          <w:szCs w:val="24"/>
        </w:rPr>
        <w:t xml:space="preserve">, en el artículo 22, establece la obligatoriedad para los agentes que participan en el </w:t>
      </w:r>
      <w:r w:rsidR="00C750AB" w:rsidRPr="008D4E66">
        <w:rPr>
          <w:rFonts w:ascii="Bookman Old Style" w:hAnsi="Bookman Old Style" w:cs="Arial"/>
          <w:szCs w:val="24"/>
        </w:rPr>
        <w:t xml:space="preserve">mercado de energía mayorista </w:t>
      </w:r>
      <w:r w:rsidRPr="008D4E66">
        <w:rPr>
          <w:rFonts w:ascii="Bookman Old Style" w:hAnsi="Bookman Old Style" w:cs="Arial"/>
          <w:szCs w:val="24"/>
        </w:rPr>
        <w:t>de otorgar garantías a favor del Administrador del Sistema de Intercambios Comerciales.</w:t>
      </w:r>
    </w:p>
    <w:p w:rsidR="00C20249" w:rsidRPr="008D4E66" w:rsidRDefault="00C20249" w:rsidP="003B1A40">
      <w:pPr>
        <w:pStyle w:val="Textodebloque"/>
        <w:spacing w:after="0"/>
        <w:ind w:left="0" w:right="0"/>
        <w:rPr>
          <w:rFonts w:ascii="Bookman Old Style" w:hAnsi="Bookman Old Style" w:cs="Arial"/>
          <w:szCs w:val="24"/>
        </w:rPr>
      </w:pPr>
      <w:r w:rsidRPr="008D4E66">
        <w:rPr>
          <w:rFonts w:ascii="Bookman Old Style" w:hAnsi="Bookman Old Style" w:cs="Arial"/>
          <w:szCs w:val="24"/>
        </w:rPr>
        <w:lastRenderedPageBreak/>
        <w:t xml:space="preserve">Con la expedición de la Resolución CREG 019 de 2006, modificada mediante las </w:t>
      </w:r>
      <w:r w:rsidR="00D10A0B" w:rsidRPr="008D4E66">
        <w:rPr>
          <w:rFonts w:ascii="Bookman Old Style" w:hAnsi="Bookman Old Style" w:cs="Arial"/>
          <w:szCs w:val="24"/>
        </w:rPr>
        <w:t xml:space="preserve">resoluciones </w:t>
      </w:r>
      <w:r w:rsidRPr="008D4E66">
        <w:rPr>
          <w:rFonts w:ascii="Bookman Old Style" w:hAnsi="Bookman Old Style" w:cs="Arial"/>
          <w:szCs w:val="24"/>
        </w:rPr>
        <w:t xml:space="preserve">CREG 026 y 042 de 2006, se modificaron algunas disposiciones en materia de garantías y pagos anticipados de los agentes participantes en el </w:t>
      </w:r>
      <w:r w:rsidR="00D10A0B" w:rsidRPr="008D4E66">
        <w:rPr>
          <w:rFonts w:ascii="Bookman Old Style" w:hAnsi="Bookman Old Style" w:cs="Arial"/>
          <w:szCs w:val="24"/>
        </w:rPr>
        <w:t>mercado de energía mayorista</w:t>
      </w:r>
      <w:r w:rsidR="00261653" w:rsidRPr="008D4E66">
        <w:rPr>
          <w:rFonts w:ascii="Bookman Old Style" w:hAnsi="Bookman Old Style" w:cs="Arial"/>
          <w:szCs w:val="24"/>
        </w:rPr>
        <w:t xml:space="preserve"> </w:t>
      </w:r>
      <w:r w:rsidRPr="008D4E66">
        <w:rPr>
          <w:rFonts w:ascii="Bookman Old Style" w:hAnsi="Bookman Old Style" w:cs="Arial"/>
          <w:szCs w:val="24"/>
        </w:rPr>
        <w:t>y se adoptó el Reglamento de Mecanismos de Cubrimiento para las Transacciones en el Mercado de Energía</w:t>
      </w:r>
      <w:r w:rsidR="00261653" w:rsidRPr="008D4E66">
        <w:rPr>
          <w:rFonts w:ascii="Bookman Old Style" w:hAnsi="Bookman Old Style" w:cs="Arial"/>
          <w:szCs w:val="24"/>
        </w:rPr>
        <w:t xml:space="preserve"> Mayorista</w:t>
      </w:r>
      <w:r w:rsidRPr="008D4E66">
        <w:rPr>
          <w:rFonts w:ascii="Bookman Old Style" w:hAnsi="Bookman Old Style" w:cs="Arial"/>
          <w:szCs w:val="24"/>
        </w:rPr>
        <w:t>.</w:t>
      </w:r>
    </w:p>
    <w:p w:rsidR="00C20249" w:rsidRPr="008D4E66" w:rsidRDefault="00C20249" w:rsidP="003B1A40">
      <w:pPr>
        <w:pStyle w:val="Textodebloque"/>
        <w:spacing w:after="0"/>
        <w:ind w:left="0" w:right="0"/>
        <w:rPr>
          <w:rFonts w:ascii="Bookman Old Style" w:hAnsi="Bookman Old Style" w:cs="Arial"/>
          <w:szCs w:val="24"/>
        </w:rPr>
      </w:pPr>
    </w:p>
    <w:p w:rsidR="00C20249" w:rsidRPr="008D4E66" w:rsidRDefault="00C20249" w:rsidP="003B1A40">
      <w:pPr>
        <w:pStyle w:val="Textodebloque"/>
        <w:spacing w:after="0"/>
        <w:ind w:left="0" w:right="0"/>
        <w:rPr>
          <w:rFonts w:ascii="Bookman Old Style" w:hAnsi="Bookman Old Style" w:cs="Arial"/>
          <w:szCs w:val="24"/>
        </w:rPr>
      </w:pPr>
      <w:r w:rsidRPr="008D4E66">
        <w:rPr>
          <w:rFonts w:ascii="Bookman Old Style" w:hAnsi="Bookman Old Style" w:cs="Arial"/>
          <w:szCs w:val="24"/>
        </w:rPr>
        <w:t xml:space="preserve">Mediante </w:t>
      </w:r>
      <w:r w:rsidR="002F4F01">
        <w:rPr>
          <w:rFonts w:ascii="Bookman Old Style" w:hAnsi="Bookman Old Style" w:cs="Arial"/>
          <w:szCs w:val="24"/>
        </w:rPr>
        <w:t xml:space="preserve">la </w:t>
      </w:r>
      <w:r w:rsidRPr="008D4E66">
        <w:rPr>
          <w:rFonts w:ascii="Bookman Old Style" w:hAnsi="Bookman Old Style" w:cs="Arial"/>
          <w:szCs w:val="24"/>
        </w:rPr>
        <w:t xml:space="preserve">Resolución CREG 087 de 2006 se modificó el Reglamento de Mecanismos de Cubrimiento para las Transacciones en el Mercado </w:t>
      </w:r>
      <w:r w:rsidR="001C4C90" w:rsidRPr="008D4E66">
        <w:rPr>
          <w:rFonts w:ascii="Bookman Old Style" w:hAnsi="Bookman Old Style" w:cs="Arial"/>
          <w:szCs w:val="24"/>
        </w:rPr>
        <w:t>de Energía</w:t>
      </w:r>
      <w:r w:rsidR="00261653" w:rsidRPr="008D4E66">
        <w:rPr>
          <w:rFonts w:ascii="Bookman Old Style" w:hAnsi="Bookman Old Style" w:cs="Arial"/>
          <w:szCs w:val="24"/>
        </w:rPr>
        <w:t xml:space="preserve"> Mayorista</w:t>
      </w:r>
      <w:r w:rsidRPr="008D4E66">
        <w:rPr>
          <w:rFonts w:ascii="Bookman Old Style" w:hAnsi="Bookman Old Style" w:cs="Arial"/>
          <w:szCs w:val="24"/>
        </w:rPr>
        <w:t>.</w:t>
      </w:r>
    </w:p>
    <w:p w:rsidR="00C20249" w:rsidRPr="008D4E66" w:rsidRDefault="00C20249" w:rsidP="003B1A40">
      <w:pPr>
        <w:pStyle w:val="Textodebloque"/>
        <w:spacing w:after="0"/>
        <w:ind w:left="0" w:right="0"/>
        <w:rPr>
          <w:rFonts w:ascii="Bookman Old Style" w:hAnsi="Bookman Old Style" w:cs="Arial"/>
          <w:szCs w:val="24"/>
        </w:rPr>
      </w:pPr>
    </w:p>
    <w:p w:rsidR="00C20249" w:rsidRPr="008D4E66" w:rsidRDefault="00C20249" w:rsidP="003B1A40">
      <w:pPr>
        <w:pStyle w:val="Textodebloque"/>
        <w:spacing w:after="0"/>
        <w:ind w:left="0" w:right="0"/>
        <w:rPr>
          <w:rFonts w:ascii="Bookman Old Style" w:hAnsi="Bookman Old Style" w:cs="Arial"/>
          <w:szCs w:val="24"/>
        </w:rPr>
      </w:pPr>
      <w:r w:rsidRPr="008D4E66">
        <w:rPr>
          <w:rFonts w:ascii="Bookman Old Style" w:hAnsi="Bookman Old Style" w:cs="Arial"/>
          <w:szCs w:val="24"/>
        </w:rPr>
        <w:t xml:space="preserve">Posteriormente, mediante la Resolución CREG 013 de 2010, se modificó el mencionado reglamento en lo referente a los mecanismos de ajuste semanal y se introdujeron cambios al registro de fronteras y contratos, con el fin de que los valores utilizados en el cálculo de las garantías correspondieran a una mejor aproximación a la situación real de despacho. </w:t>
      </w:r>
    </w:p>
    <w:p w:rsidR="00C20249" w:rsidRPr="008D4E66" w:rsidRDefault="00C20249" w:rsidP="003B1A40">
      <w:pPr>
        <w:pStyle w:val="Textodebloque"/>
        <w:spacing w:after="0"/>
        <w:ind w:left="0" w:right="0"/>
        <w:rPr>
          <w:rFonts w:ascii="Bookman Old Style" w:hAnsi="Bookman Old Style" w:cs="Arial"/>
          <w:szCs w:val="24"/>
        </w:rPr>
      </w:pPr>
    </w:p>
    <w:p w:rsidR="00C20249" w:rsidRPr="008D4E66" w:rsidRDefault="005C7051" w:rsidP="003B1A40">
      <w:pPr>
        <w:pStyle w:val="Textodebloque"/>
        <w:spacing w:after="0"/>
        <w:ind w:left="0" w:right="-1"/>
        <w:rPr>
          <w:rFonts w:ascii="Bookman Old Style" w:hAnsi="Bookman Old Style" w:cs="Arial"/>
          <w:szCs w:val="24"/>
          <w:lang w:val="es-ES"/>
        </w:rPr>
      </w:pPr>
      <w:r w:rsidRPr="008D4E66">
        <w:rPr>
          <w:rFonts w:ascii="Bookman Old Style" w:hAnsi="Bookman Old Style" w:cs="Arial"/>
          <w:szCs w:val="24"/>
        </w:rPr>
        <w:t xml:space="preserve">Mediante la Resolución CREG 144 de 2010 se </w:t>
      </w:r>
      <w:r w:rsidR="00D10A0B">
        <w:rPr>
          <w:rFonts w:ascii="Bookman Old Style" w:hAnsi="Bookman Old Style" w:cs="Arial"/>
          <w:szCs w:val="24"/>
        </w:rPr>
        <w:t xml:space="preserve">sometió a consulta de los interesados </w:t>
      </w:r>
      <w:r w:rsidRPr="008D4E66">
        <w:rPr>
          <w:rFonts w:ascii="Bookman Old Style" w:hAnsi="Bookman Old Style" w:cs="Arial"/>
          <w:szCs w:val="24"/>
        </w:rPr>
        <w:t xml:space="preserve">el proyecto de Resolución por el cual se proponía </w:t>
      </w:r>
      <w:r w:rsidRPr="008D4E66">
        <w:rPr>
          <w:rFonts w:ascii="Bookman Old Style" w:hAnsi="Bookman Old Style" w:cs="Arial"/>
          <w:szCs w:val="24"/>
          <w:lang w:val="es-ES"/>
        </w:rPr>
        <w:t>modificar “algunas disposiciones en materia de garantías y pagos anticipados de los agentes participantes en el Mercado Mayorista de Energía</w:t>
      </w:r>
      <w:r w:rsidR="00A24790" w:rsidRPr="008D4E66">
        <w:rPr>
          <w:rFonts w:ascii="Bookman Old Style" w:hAnsi="Bookman Old Style" w:cs="Arial"/>
          <w:szCs w:val="24"/>
          <w:lang w:val="es-ES"/>
        </w:rPr>
        <w:t xml:space="preserve">”. </w:t>
      </w:r>
    </w:p>
    <w:p w:rsidR="00A24790" w:rsidRDefault="00A24790" w:rsidP="003B1A40">
      <w:pPr>
        <w:pStyle w:val="Textodebloque"/>
        <w:spacing w:after="0"/>
        <w:ind w:left="0" w:right="-1"/>
        <w:rPr>
          <w:rFonts w:ascii="Bookman Old Style" w:hAnsi="Bookman Old Style" w:cs="Arial"/>
          <w:szCs w:val="24"/>
          <w:lang w:val="es-ES"/>
        </w:rPr>
      </w:pPr>
    </w:p>
    <w:p w:rsidR="003B3781" w:rsidRDefault="003B3781" w:rsidP="003B3781">
      <w:pPr>
        <w:pStyle w:val="Textodebloque"/>
        <w:ind w:left="0" w:right="51"/>
        <w:rPr>
          <w:rFonts w:ascii="Bookman Old Style" w:hAnsi="Bookman Old Style"/>
          <w:color w:val="000000"/>
          <w:szCs w:val="24"/>
        </w:rPr>
      </w:pPr>
      <w:r>
        <w:rPr>
          <w:rFonts w:ascii="Bookman Old Style" w:hAnsi="Bookman Old Style"/>
          <w:color w:val="000000"/>
          <w:szCs w:val="24"/>
        </w:rPr>
        <w:t>Así mismo</w:t>
      </w:r>
      <w:r w:rsidR="00D10A0B">
        <w:rPr>
          <w:rFonts w:ascii="Bookman Old Style" w:hAnsi="Bookman Old Style"/>
          <w:color w:val="000000"/>
          <w:szCs w:val="24"/>
        </w:rPr>
        <w:t>,</w:t>
      </w:r>
      <w:r>
        <w:rPr>
          <w:rFonts w:ascii="Bookman Old Style" w:hAnsi="Bookman Old Style"/>
          <w:color w:val="000000"/>
          <w:szCs w:val="24"/>
        </w:rPr>
        <w:t xml:space="preserve"> mediante las </w:t>
      </w:r>
      <w:r w:rsidR="00D10A0B">
        <w:rPr>
          <w:rFonts w:ascii="Bookman Old Style" w:hAnsi="Bookman Old Style"/>
          <w:color w:val="000000"/>
          <w:szCs w:val="24"/>
        </w:rPr>
        <w:t xml:space="preserve">resoluciones CREG </w:t>
      </w:r>
      <w:r>
        <w:rPr>
          <w:rFonts w:ascii="Bookman Old Style" w:hAnsi="Bookman Old Style"/>
          <w:color w:val="000000"/>
          <w:szCs w:val="24"/>
        </w:rPr>
        <w:t xml:space="preserve">143 y 145 de 2010 se publicaron para comentarios las propuestas de regulación para adoptar un Reglamento de Comercialización y un reglamento de mecanismos de cubrimiento para el pago de los cargos por uso de STR y </w:t>
      </w:r>
      <w:r w:rsidR="008878B1">
        <w:rPr>
          <w:rFonts w:ascii="Bookman Old Style" w:hAnsi="Bookman Old Style"/>
          <w:color w:val="000000"/>
          <w:szCs w:val="24"/>
        </w:rPr>
        <w:t xml:space="preserve">de </w:t>
      </w:r>
      <w:r>
        <w:rPr>
          <w:rFonts w:ascii="Bookman Old Style" w:hAnsi="Bookman Old Style"/>
          <w:color w:val="000000"/>
          <w:szCs w:val="24"/>
        </w:rPr>
        <w:t>SDL.</w:t>
      </w:r>
    </w:p>
    <w:p w:rsidR="003B3781" w:rsidRDefault="003B3781" w:rsidP="003B3781">
      <w:pPr>
        <w:pStyle w:val="Textodebloque"/>
        <w:ind w:left="0" w:right="51"/>
        <w:rPr>
          <w:rFonts w:ascii="Bookman Old Style" w:hAnsi="Bookman Old Style" w:cs="Arial"/>
          <w:szCs w:val="24"/>
        </w:rPr>
      </w:pPr>
      <w:r>
        <w:rPr>
          <w:rFonts w:ascii="Bookman Old Style" w:hAnsi="Bookman Old Style" w:cs="Arial"/>
          <w:szCs w:val="24"/>
        </w:rPr>
        <w:t xml:space="preserve">El </w:t>
      </w:r>
      <w:r w:rsidRPr="00F901BE">
        <w:rPr>
          <w:rFonts w:ascii="Bookman Old Style" w:hAnsi="Bookman Old Style" w:cs="Arial"/>
          <w:szCs w:val="24"/>
        </w:rPr>
        <w:t xml:space="preserve">Documento CREG </w:t>
      </w:r>
      <w:r>
        <w:rPr>
          <w:rFonts w:ascii="Bookman Old Style" w:hAnsi="Bookman Old Style" w:cs="Arial"/>
          <w:szCs w:val="24"/>
        </w:rPr>
        <w:t xml:space="preserve">117 </w:t>
      </w:r>
      <w:r w:rsidRPr="00F901BE">
        <w:rPr>
          <w:rFonts w:ascii="Bookman Old Style" w:hAnsi="Bookman Old Style" w:cs="Arial"/>
          <w:szCs w:val="24"/>
        </w:rPr>
        <w:t>de 201</w:t>
      </w:r>
      <w:r>
        <w:rPr>
          <w:rFonts w:ascii="Bookman Old Style" w:hAnsi="Bookman Old Style" w:cs="Arial"/>
          <w:szCs w:val="24"/>
        </w:rPr>
        <w:t>0</w:t>
      </w:r>
      <w:r w:rsidRPr="00F901BE">
        <w:rPr>
          <w:rFonts w:ascii="Bookman Old Style" w:hAnsi="Bookman Old Style" w:cs="Arial"/>
          <w:szCs w:val="24"/>
        </w:rPr>
        <w:t xml:space="preserve"> </w:t>
      </w:r>
      <w:r>
        <w:rPr>
          <w:rFonts w:ascii="Bookman Old Style" w:hAnsi="Bookman Old Style" w:cs="Arial"/>
          <w:szCs w:val="24"/>
        </w:rPr>
        <w:t>contiene</w:t>
      </w:r>
      <w:r w:rsidRPr="00F901BE">
        <w:rPr>
          <w:rFonts w:ascii="Bookman Old Style" w:hAnsi="Bookman Old Style" w:cs="Arial"/>
          <w:szCs w:val="24"/>
        </w:rPr>
        <w:t xml:space="preserve"> los análisis </w:t>
      </w:r>
      <w:r>
        <w:rPr>
          <w:rFonts w:ascii="Bookman Old Style" w:hAnsi="Bookman Old Style" w:cs="Arial"/>
          <w:szCs w:val="24"/>
        </w:rPr>
        <w:t>y fundamentos de las propuestas contenidas en las Resoluci</w:t>
      </w:r>
      <w:r w:rsidR="008878B1">
        <w:rPr>
          <w:rFonts w:ascii="Bookman Old Style" w:hAnsi="Bookman Old Style" w:cs="Arial"/>
          <w:szCs w:val="24"/>
        </w:rPr>
        <w:t>ones CREG 143, 144 y 145 de 2010</w:t>
      </w:r>
      <w:r>
        <w:rPr>
          <w:rFonts w:ascii="Bookman Old Style" w:hAnsi="Bookman Old Style" w:cs="Arial"/>
          <w:szCs w:val="24"/>
        </w:rPr>
        <w:t>.</w:t>
      </w:r>
    </w:p>
    <w:p w:rsidR="003B3781" w:rsidRPr="00E031D3" w:rsidRDefault="003B3781" w:rsidP="003B3781">
      <w:pPr>
        <w:pStyle w:val="Textodebloque"/>
        <w:ind w:left="0" w:right="51"/>
        <w:rPr>
          <w:rFonts w:ascii="Bookman Old Style" w:hAnsi="Bookman Old Style"/>
          <w:color w:val="000000"/>
          <w:szCs w:val="24"/>
        </w:rPr>
      </w:pPr>
      <w:r w:rsidRPr="008D4E66">
        <w:rPr>
          <w:rFonts w:ascii="Bookman Old Style" w:hAnsi="Bookman Old Style" w:cs="Arial"/>
          <w:szCs w:val="24"/>
          <w:lang w:val="es-ES"/>
        </w:rPr>
        <w:t xml:space="preserve">Se recibieron comentarios de las siguientes </w:t>
      </w:r>
      <w:r>
        <w:rPr>
          <w:rFonts w:ascii="Bookman Old Style" w:hAnsi="Bookman Old Style" w:cs="Arial"/>
          <w:szCs w:val="24"/>
          <w:lang w:val="es-ES"/>
        </w:rPr>
        <w:t xml:space="preserve">empresas </w:t>
      </w:r>
      <w:r w:rsidR="004769C6">
        <w:rPr>
          <w:rFonts w:ascii="Bookman Old Style" w:hAnsi="Bookman Old Style" w:cs="Arial"/>
          <w:szCs w:val="24"/>
          <w:lang w:val="es-ES"/>
        </w:rPr>
        <w:t xml:space="preserve">y personas </w:t>
      </w:r>
      <w:r>
        <w:rPr>
          <w:rFonts w:ascii="Bookman Old Style" w:hAnsi="Bookman Old Style" w:cs="Arial"/>
          <w:szCs w:val="24"/>
          <w:lang w:val="es-ES"/>
        </w:rPr>
        <w:t>a la propuesta contenida en la Resolución CREG 144 de 2010</w:t>
      </w:r>
      <w:r w:rsidRPr="008D4E66">
        <w:rPr>
          <w:rFonts w:ascii="Bookman Old Style" w:hAnsi="Bookman Old Style" w:cs="Arial"/>
          <w:szCs w:val="24"/>
          <w:lang w:val="es-ES"/>
        </w:rPr>
        <w:t xml:space="preserve">: EPSA, </w:t>
      </w:r>
      <w:proofErr w:type="spellStart"/>
      <w:r w:rsidRPr="008D4E66">
        <w:rPr>
          <w:rFonts w:ascii="Bookman Old Style" w:hAnsi="Bookman Old Style" w:cs="Arial"/>
          <w:szCs w:val="24"/>
          <w:lang w:val="es-ES"/>
        </w:rPr>
        <w:t>Emcali</w:t>
      </w:r>
      <w:proofErr w:type="spellEnd"/>
      <w:r w:rsidRPr="008D4E66">
        <w:rPr>
          <w:rFonts w:ascii="Bookman Old Style" w:hAnsi="Bookman Old Style" w:cs="Arial"/>
          <w:szCs w:val="24"/>
          <w:lang w:val="es-ES"/>
        </w:rPr>
        <w:t xml:space="preserve">, </w:t>
      </w:r>
      <w:proofErr w:type="spellStart"/>
      <w:r w:rsidRPr="008D4E66">
        <w:rPr>
          <w:rFonts w:ascii="Bookman Old Style" w:hAnsi="Bookman Old Style" w:cs="Arial"/>
          <w:szCs w:val="24"/>
          <w:lang w:val="es-ES"/>
        </w:rPr>
        <w:t>Enermont</w:t>
      </w:r>
      <w:proofErr w:type="spellEnd"/>
      <w:r w:rsidRPr="008D4E66">
        <w:rPr>
          <w:rFonts w:ascii="Bookman Old Style" w:hAnsi="Bookman Old Style" w:cs="Arial"/>
          <w:szCs w:val="24"/>
          <w:lang w:val="es-ES"/>
        </w:rPr>
        <w:t xml:space="preserve">, </w:t>
      </w:r>
      <w:proofErr w:type="spellStart"/>
      <w:r w:rsidRPr="008D4E66">
        <w:rPr>
          <w:rFonts w:ascii="Bookman Old Style" w:hAnsi="Bookman Old Style" w:cs="Arial"/>
          <w:szCs w:val="24"/>
          <w:lang w:val="es-ES"/>
        </w:rPr>
        <w:t>Vatia</w:t>
      </w:r>
      <w:proofErr w:type="spellEnd"/>
      <w:r w:rsidRPr="008D4E66">
        <w:rPr>
          <w:rFonts w:ascii="Bookman Old Style" w:hAnsi="Bookman Old Style" w:cs="Arial"/>
          <w:szCs w:val="24"/>
          <w:lang w:val="es-ES"/>
        </w:rPr>
        <w:t xml:space="preserve">, </w:t>
      </w:r>
      <w:proofErr w:type="spellStart"/>
      <w:r w:rsidRPr="008D4E66">
        <w:rPr>
          <w:rFonts w:ascii="Bookman Old Style" w:hAnsi="Bookman Old Style" w:cs="Arial"/>
          <w:szCs w:val="24"/>
          <w:lang w:val="es-ES"/>
        </w:rPr>
        <w:t>Codensa</w:t>
      </w:r>
      <w:proofErr w:type="spellEnd"/>
      <w:r w:rsidRPr="008D4E66">
        <w:rPr>
          <w:rFonts w:ascii="Bookman Old Style" w:hAnsi="Bookman Old Style" w:cs="Arial"/>
          <w:szCs w:val="24"/>
          <w:lang w:val="es-ES"/>
        </w:rPr>
        <w:t xml:space="preserve">, </w:t>
      </w:r>
      <w:proofErr w:type="spellStart"/>
      <w:r w:rsidRPr="008D4E66">
        <w:rPr>
          <w:rFonts w:ascii="Bookman Old Style" w:hAnsi="Bookman Old Style" w:cs="Arial"/>
          <w:szCs w:val="24"/>
          <w:lang w:val="es-ES"/>
        </w:rPr>
        <w:t>Asocodis</w:t>
      </w:r>
      <w:proofErr w:type="spellEnd"/>
      <w:r w:rsidRPr="008D4E66">
        <w:rPr>
          <w:rFonts w:ascii="Bookman Old Style" w:hAnsi="Bookman Old Style" w:cs="Arial"/>
          <w:szCs w:val="24"/>
          <w:lang w:val="es-ES"/>
        </w:rPr>
        <w:t xml:space="preserve">, EDEQ, </w:t>
      </w:r>
      <w:proofErr w:type="spellStart"/>
      <w:r w:rsidRPr="008D4E66">
        <w:rPr>
          <w:rFonts w:ascii="Bookman Old Style" w:hAnsi="Bookman Old Style" w:cs="Arial"/>
          <w:szCs w:val="24"/>
          <w:lang w:val="es-ES"/>
        </w:rPr>
        <w:t>Enertotal</w:t>
      </w:r>
      <w:proofErr w:type="spellEnd"/>
      <w:r w:rsidRPr="008D4E66">
        <w:rPr>
          <w:rFonts w:ascii="Bookman Old Style" w:hAnsi="Bookman Old Style" w:cs="Arial"/>
          <w:szCs w:val="24"/>
          <w:lang w:val="es-ES"/>
        </w:rPr>
        <w:t xml:space="preserve">, XM, CAC, </w:t>
      </w:r>
      <w:proofErr w:type="spellStart"/>
      <w:r w:rsidRPr="008D4E66">
        <w:rPr>
          <w:rFonts w:ascii="Bookman Old Style" w:hAnsi="Bookman Old Style" w:cs="Arial"/>
          <w:szCs w:val="24"/>
          <w:lang w:val="es-ES"/>
        </w:rPr>
        <w:t>Emgesa</w:t>
      </w:r>
      <w:proofErr w:type="spellEnd"/>
      <w:r w:rsidRPr="008D4E66">
        <w:rPr>
          <w:rFonts w:ascii="Bookman Old Style" w:hAnsi="Bookman Old Style" w:cs="Arial"/>
          <w:szCs w:val="24"/>
          <w:lang w:val="es-ES"/>
        </w:rPr>
        <w:t xml:space="preserve">, Ingenio Providencia e </w:t>
      </w:r>
      <w:proofErr w:type="spellStart"/>
      <w:r w:rsidRPr="008D4E66">
        <w:rPr>
          <w:rFonts w:ascii="Bookman Old Style" w:hAnsi="Bookman Old Style" w:cs="Arial"/>
          <w:szCs w:val="24"/>
          <w:lang w:val="es-ES"/>
        </w:rPr>
        <w:t>Incauca</w:t>
      </w:r>
      <w:proofErr w:type="spellEnd"/>
      <w:r w:rsidRPr="008D4E66">
        <w:rPr>
          <w:rFonts w:ascii="Bookman Old Style" w:hAnsi="Bookman Old Style" w:cs="Arial"/>
          <w:szCs w:val="24"/>
          <w:lang w:val="es-ES"/>
        </w:rPr>
        <w:t>.</w:t>
      </w:r>
    </w:p>
    <w:p w:rsidR="004236D5" w:rsidRDefault="004236D5" w:rsidP="004236D5">
      <w:pPr>
        <w:pStyle w:val="Textodebloque"/>
        <w:spacing w:after="0"/>
        <w:ind w:left="0" w:right="51"/>
        <w:rPr>
          <w:rFonts w:ascii="Bookman Old Style" w:hAnsi="Bookman Old Style" w:cs="Arial"/>
          <w:szCs w:val="24"/>
        </w:rPr>
      </w:pPr>
      <w:r>
        <w:rPr>
          <w:rFonts w:ascii="Bookman Old Style" w:hAnsi="Bookman Old Style" w:cs="Arial"/>
          <w:szCs w:val="24"/>
        </w:rPr>
        <w:t xml:space="preserve">Los análisis de los comentarios presentados a la propuesta de </w:t>
      </w:r>
      <w:r w:rsidRPr="004236D5">
        <w:rPr>
          <w:rFonts w:ascii="Bookman Old Style" w:hAnsi="Bookman Old Style" w:cs="Arial"/>
          <w:szCs w:val="24"/>
        </w:rPr>
        <w:t xml:space="preserve">modificación de  algunas disposiciones en materia de garantías y pagos anticipados de los agentes participantes en el </w:t>
      </w:r>
      <w:r w:rsidR="008878B1" w:rsidRPr="004236D5">
        <w:rPr>
          <w:rFonts w:ascii="Bookman Old Style" w:hAnsi="Bookman Old Style" w:cs="Arial"/>
          <w:szCs w:val="24"/>
        </w:rPr>
        <w:t xml:space="preserve">mercado de energía mayorista </w:t>
      </w:r>
      <w:r>
        <w:rPr>
          <w:rFonts w:ascii="Bookman Old Style" w:hAnsi="Bookman Old Style" w:cs="Arial"/>
          <w:szCs w:val="24"/>
        </w:rPr>
        <w:t xml:space="preserve">contenida en la Resolución CREG 144 de 2010 se encuentran en el </w:t>
      </w:r>
      <w:r w:rsidRPr="00F901BE">
        <w:rPr>
          <w:rFonts w:ascii="Bookman Old Style" w:hAnsi="Bookman Old Style" w:cs="Arial"/>
          <w:szCs w:val="24"/>
        </w:rPr>
        <w:t xml:space="preserve">Documento CREG </w:t>
      </w:r>
      <w:r>
        <w:rPr>
          <w:rFonts w:ascii="Bookman Old Style" w:hAnsi="Bookman Old Style" w:cs="Arial"/>
          <w:szCs w:val="24"/>
        </w:rPr>
        <w:t xml:space="preserve">125 </w:t>
      </w:r>
      <w:r w:rsidRPr="00F901BE">
        <w:rPr>
          <w:rFonts w:ascii="Bookman Old Style" w:hAnsi="Bookman Old Style" w:cs="Arial"/>
          <w:szCs w:val="24"/>
        </w:rPr>
        <w:t>de 201</w:t>
      </w:r>
      <w:r>
        <w:rPr>
          <w:rFonts w:ascii="Bookman Old Style" w:hAnsi="Bookman Old Style" w:cs="Arial"/>
          <w:szCs w:val="24"/>
        </w:rPr>
        <w:t>1</w:t>
      </w:r>
      <w:r w:rsidRPr="00F901BE">
        <w:rPr>
          <w:rFonts w:ascii="Bookman Old Style" w:hAnsi="Bookman Old Style" w:cs="Arial"/>
          <w:szCs w:val="24"/>
        </w:rPr>
        <w:t>.</w:t>
      </w:r>
    </w:p>
    <w:p w:rsidR="004236D5" w:rsidRDefault="004236D5" w:rsidP="004236D5">
      <w:pPr>
        <w:pStyle w:val="Textodebloque"/>
        <w:spacing w:after="0"/>
        <w:ind w:left="0" w:right="51"/>
        <w:rPr>
          <w:rFonts w:ascii="Bookman Old Style" w:hAnsi="Bookman Old Style" w:cs="Arial"/>
          <w:szCs w:val="24"/>
        </w:rPr>
      </w:pPr>
    </w:p>
    <w:p w:rsidR="004236D5" w:rsidRDefault="003B3781" w:rsidP="003B3781">
      <w:pPr>
        <w:pStyle w:val="Textodebloque"/>
        <w:spacing w:after="0"/>
        <w:ind w:left="0" w:right="51"/>
        <w:rPr>
          <w:rFonts w:ascii="Bookman Old Style" w:hAnsi="Bookman Old Style"/>
          <w:color w:val="000000"/>
          <w:szCs w:val="24"/>
        </w:rPr>
      </w:pPr>
      <w:r w:rsidRPr="006C1618">
        <w:rPr>
          <w:rFonts w:ascii="Bookman Old Style" w:hAnsi="Bookman Old Style"/>
          <w:color w:val="000000"/>
          <w:szCs w:val="24"/>
        </w:rPr>
        <w:t>En cumplimiento de lo establecido en la Ley 1340 de 2009 y el Decreto 2897 de 2010 la Comisión informó a la Superintendencia de Industria y Comercio sobre el proyecto de resolución. Mediante comunicación E-2011-00</w:t>
      </w:r>
      <w:r w:rsidR="004236D5">
        <w:rPr>
          <w:rFonts w:ascii="Bookman Old Style" w:hAnsi="Bookman Old Style"/>
          <w:color w:val="000000"/>
          <w:szCs w:val="24"/>
        </w:rPr>
        <w:t>5172</w:t>
      </w:r>
      <w:r w:rsidRPr="006C1618">
        <w:rPr>
          <w:rFonts w:ascii="Bookman Old Style" w:hAnsi="Bookman Old Style"/>
          <w:color w:val="000000"/>
          <w:szCs w:val="24"/>
        </w:rPr>
        <w:t xml:space="preserve"> la Superintendencia </w:t>
      </w:r>
      <w:r w:rsidR="008878B1">
        <w:rPr>
          <w:rFonts w:ascii="Bookman Old Style" w:hAnsi="Bookman Old Style"/>
          <w:color w:val="000000"/>
          <w:szCs w:val="24"/>
        </w:rPr>
        <w:t>emitió su concepto sobre la materia.</w:t>
      </w:r>
    </w:p>
    <w:p w:rsidR="003B3781" w:rsidRPr="00187865" w:rsidRDefault="003B3781" w:rsidP="003B3781">
      <w:pPr>
        <w:pStyle w:val="Textodebloque"/>
        <w:spacing w:after="0"/>
        <w:ind w:left="0" w:right="51"/>
        <w:rPr>
          <w:rFonts w:ascii="Bookman Old Style" w:hAnsi="Bookman Old Style" w:cs="Arial"/>
          <w:szCs w:val="24"/>
        </w:rPr>
      </w:pPr>
    </w:p>
    <w:p w:rsidR="00097E14" w:rsidRDefault="00097E14" w:rsidP="003B3781">
      <w:pPr>
        <w:pStyle w:val="Textodebloque"/>
        <w:spacing w:after="0"/>
        <w:ind w:left="0" w:right="51"/>
        <w:rPr>
          <w:rFonts w:ascii="Bookman Old Style" w:hAnsi="Bookman Old Style" w:cs="Arial"/>
          <w:szCs w:val="24"/>
        </w:rPr>
      </w:pPr>
      <w:r w:rsidRPr="00187865">
        <w:rPr>
          <w:rFonts w:ascii="Bookman Old Style" w:hAnsi="Bookman Old Style" w:cs="Arial"/>
          <w:szCs w:val="24"/>
        </w:rPr>
        <w:t>La CREG</w:t>
      </w:r>
      <w:r w:rsidR="0075146E">
        <w:rPr>
          <w:rFonts w:ascii="Bookman Old Style" w:hAnsi="Bookman Old Style" w:cs="Arial"/>
          <w:szCs w:val="24"/>
        </w:rPr>
        <w:t>,</w:t>
      </w:r>
      <w:r w:rsidRPr="00187865">
        <w:rPr>
          <w:rFonts w:ascii="Bookman Old Style" w:hAnsi="Bookman Old Style" w:cs="Arial"/>
          <w:szCs w:val="24"/>
        </w:rPr>
        <w:t xml:space="preserve"> mediante comunicación S-2011-005025</w:t>
      </w:r>
      <w:r w:rsidR="0075146E">
        <w:rPr>
          <w:rFonts w:ascii="Bookman Old Style" w:hAnsi="Bookman Old Style" w:cs="Arial"/>
          <w:szCs w:val="24"/>
        </w:rPr>
        <w:t>,</w:t>
      </w:r>
      <w:r w:rsidRPr="00187865">
        <w:rPr>
          <w:rFonts w:ascii="Bookman Old Style" w:hAnsi="Bookman Old Style" w:cs="Arial"/>
          <w:szCs w:val="24"/>
        </w:rPr>
        <w:t xml:space="preserve"> envió a la Superintendencia de Industria y Comercio aclaraciones respecto a la interpretación de los proyectos regulatorios </w:t>
      </w:r>
      <w:r w:rsidR="00CC5C8B" w:rsidRPr="00187865">
        <w:rPr>
          <w:rFonts w:ascii="Bookman Old Style" w:hAnsi="Bookman Old Style" w:cs="Arial"/>
          <w:i/>
          <w:szCs w:val="24"/>
        </w:rPr>
        <w:t xml:space="preserve">“Por la cual se establece el Reglamento de Comercialización del servicio público de energía eléctrica, como parte del Reglamento de Operación”, “Por la cual se modifican algunas disposiciones en materia de garantías y pagos anticipados de los agentes participantes en el Mercado de Energía Mayorista” y </w:t>
      </w:r>
      <w:r w:rsidR="00CC5C8B" w:rsidRPr="00187865">
        <w:rPr>
          <w:rFonts w:ascii="Bookman Old Style" w:hAnsi="Bookman Old Style" w:cs="Arial"/>
          <w:i/>
          <w:szCs w:val="24"/>
        </w:rPr>
        <w:lastRenderedPageBreak/>
        <w:t>“Por la cual se adopta el Reglamento de Mecanismos de Cubrimiento para el pago de los Cargos por Uso del Sistema de Transmisión Regional y del Sistema de Distribución Local”.</w:t>
      </w:r>
      <w:r w:rsidR="00CC5C8B">
        <w:rPr>
          <w:rFonts w:ascii="Bookman Old Style" w:hAnsi="Bookman Old Style" w:cs="Arial"/>
          <w:i/>
          <w:szCs w:val="24"/>
        </w:rPr>
        <w:t xml:space="preserve"> </w:t>
      </w:r>
    </w:p>
    <w:p w:rsidR="00097E14" w:rsidRDefault="00097E14" w:rsidP="003B3781">
      <w:pPr>
        <w:pStyle w:val="Textodebloque"/>
        <w:spacing w:after="0"/>
        <w:ind w:left="0" w:right="51"/>
        <w:rPr>
          <w:rFonts w:ascii="Bookman Old Style" w:hAnsi="Bookman Old Style" w:cs="Arial"/>
          <w:szCs w:val="24"/>
        </w:rPr>
      </w:pPr>
    </w:p>
    <w:p w:rsidR="003B3781" w:rsidRDefault="003B3781" w:rsidP="003B3781">
      <w:pPr>
        <w:pStyle w:val="Textodebloque"/>
        <w:spacing w:after="0"/>
        <w:ind w:left="0" w:right="51"/>
        <w:rPr>
          <w:rFonts w:ascii="Bookman Old Style" w:hAnsi="Bookman Old Style" w:cs="Arial"/>
          <w:szCs w:val="24"/>
        </w:rPr>
      </w:pPr>
      <w:r>
        <w:rPr>
          <w:rFonts w:ascii="Bookman Old Style" w:hAnsi="Bookman Old Style" w:cs="Arial"/>
          <w:szCs w:val="24"/>
        </w:rPr>
        <w:t xml:space="preserve">En sesión CREG </w:t>
      </w:r>
      <w:r w:rsidR="004236D5">
        <w:rPr>
          <w:rFonts w:ascii="Bookman Old Style" w:hAnsi="Bookman Old Style" w:cs="Arial"/>
          <w:szCs w:val="24"/>
        </w:rPr>
        <w:t>505 de noviembre 17</w:t>
      </w:r>
      <w:r>
        <w:rPr>
          <w:rFonts w:ascii="Bookman Old Style" w:hAnsi="Bookman Old Style" w:cs="Arial"/>
          <w:szCs w:val="24"/>
        </w:rPr>
        <w:t xml:space="preserve"> de 2011 la Comisión acordó adoptar las siguientes disposiciones.</w:t>
      </w:r>
    </w:p>
    <w:p w:rsidR="00C20249" w:rsidRPr="00915128" w:rsidRDefault="00C20249" w:rsidP="003B1A40">
      <w:pPr>
        <w:pStyle w:val="Encabezado"/>
        <w:tabs>
          <w:tab w:val="left" w:pos="-720"/>
        </w:tabs>
        <w:suppressAutoHyphens/>
        <w:ind w:left="0"/>
        <w:rPr>
          <w:rFonts w:ascii="Bookman Old Style" w:hAnsi="Bookman Old Style" w:cs="Arial"/>
          <w:szCs w:val="24"/>
          <w:lang w:val="es-ES_tradnl"/>
        </w:rPr>
      </w:pPr>
    </w:p>
    <w:p w:rsidR="009C2B70" w:rsidRPr="008D4E66" w:rsidRDefault="009C2B70" w:rsidP="003B1A40">
      <w:pPr>
        <w:pStyle w:val="Encabezado"/>
        <w:tabs>
          <w:tab w:val="left" w:pos="-720"/>
        </w:tabs>
        <w:suppressAutoHyphens/>
        <w:ind w:left="0"/>
        <w:rPr>
          <w:rFonts w:ascii="Bookman Old Style" w:hAnsi="Bookman Old Style" w:cs="Arial"/>
          <w:szCs w:val="24"/>
        </w:rPr>
      </w:pPr>
    </w:p>
    <w:p w:rsidR="00C20249" w:rsidRPr="008D4E66" w:rsidRDefault="00C20249" w:rsidP="003B1A40">
      <w:pPr>
        <w:keepNext/>
        <w:ind w:left="0"/>
        <w:jc w:val="center"/>
        <w:rPr>
          <w:rFonts w:ascii="Bookman Old Style" w:hAnsi="Bookman Old Style" w:cs="Arial"/>
        </w:rPr>
      </w:pPr>
      <w:r w:rsidRPr="008D4E66">
        <w:rPr>
          <w:rFonts w:ascii="Bookman Old Style" w:hAnsi="Bookman Old Style" w:cs="Arial"/>
          <w:b/>
          <w:spacing w:val="80"/>
        </w:rPr>
        <w:t>RESUELVE</w:t>
      </w:r>
      <w:r w:rsidRPr="008D4E66">
        <w:rPr>
          <w:rFonts w:ascii="Bookman Old Style" w:hAnsi="Bookman Old Style" w:cs="Arial"/>
        </w:rPr>
        <w:t>:</w:t>
      </w:r>
    </w:p>
    <w:p w:rsidR="007B3DE3" w:rsidRDefault="007B3DE3" w:rsidP="003B1A40">
      <w:pPr>
        <w:keepNext/>
        <w:tabs>
          <w:tab w:val="left" w:pos="-720"/>
        </w:tabs>
        <w:suppressAutoHyphens/>
        <w:ind w:left="0"/>
        <w:rPr>
          <w:rFonts w:ascii="Bookman Old Style" w:hAnsi="Bookman Old Style" w:cs="Arial"/>
          <w:b/>
          <w:spacing w:val="-3"/>
        </w:rPr>
      </w:pPr>
    </w:p>
    <w:p w:rsidR="00782D7B" w:rsidRPr="008D4E66" w:rsidRDefault="00782D7B" w:rsidP="003B1A40">
      <w:pPr>
        <w:pStyle w:val="Encabezado"/>
        <w:ind w:left="0"/>
        <w:rPr>
          <w:rFonts w:ascii="Bookman Old Style" w:hAnsi="Bookman Old Style" w:cs="Arial"/>
          <w:szCs w:val="24"/>
        </w:rPr>
      </w:pPr>
    </w:p>
    <w:p w:rsidR="00782D7B" w:rsidRPr="00782D7B" w:rsidRDefault="00782D7B" w:rsidP="00782D7B">
      <w:pPr>
        <w:numPr>
          <w:ilvl w:val="0"/>
          <w:numId w:val="7"/>
        </w:numPr>
        <w:tabs>
          <w:tab w:val="num" w:pos="1440"/>
          <w:tab w:val="left" w:pos="1701"/>
        </w:tabs>
        <w:ind w:left="0"/>
        <w:jc w:val="both"/>
        <w:rPr>
          <w:rFonts w:ascii="Bookman Old Style" w:hAnsi="Bookman Old Style" w:cs="Arial"/>
          <w:b/>
          <w:bCs/>
        </w:rPr>
      </w:pPr>
      <w:r w:rsidRPr="00782D7B">
        <w:rPr>
          <w:rFonts w:ascii="Bookman Old Style" w:hAnsi="Bookman Old Style"/>
          <w:b/>
          <w:lang w:val="es-ES_tradnl"/>
        </w:rPr>
        <w:t>Definiciones.</w:t>
      </w:r>
      <w:r w:rsidRPr="00782D7B">
        <w:rPr>
          <w:rFonts w:ascii="Bookman Old Style" w:hAnsi="Bookman Old Style"/>
          <w:lang w:val="es-ES_tradnl"/>
        </w:rPr>
        <w:t xml:space="preserve"> Para efectos de la presente Resolución se tendrán en cuenta, además de las definiciones contenidas en la</w:t>
      </w:r>
      <w:r w:rsidR="0075146E">
        <w:rPr>
          <w:rFonts w:ascii="Bookman Old Style" w:hAnsi="Bookman Old Style"/>
          <w:lang w:val="es-ES_tradnl"/>
        </w:rPr>
        <w:t>s</w:t>
      </w:r>
      <w:r w:rsidRPr="00782D7B">
        <w:rPr>
          <w:rFonts w:ascii="Bookman Old Style" w:hAnsi="Bookman Old Style"/>
          <w:lang w:val="es-ES_tradnl"/>
        </w:rPr>
        <w:t xml:space="preserve"> </w:t>
      </w:r>
      <w:r w:rsidR="0075146E" w:rsidRPr="00782D7B">
        <w:rPr>
          <w:rFonts w:ascii="Bookman Old Style" w:hAnsi="Bookman Old Style"/>
          <w:lang w:val="es-ES_tradnl"/>
        </w:rPr>
        <w:t xml:space="preserve">leyes </w:t>
      </w:r>
      <w:r w:rsidRPr="00782D7B">
        <w:rPr>
          <w:rFonts w:ascii="Bookman Old Style" w:hAnsi="Bookman Old Style"/>
          <w:lang w:val="es-ES_tradnl"/>
        </w:rPr>
        <w:t>142 y 143 de 1994 y en resoluciones vigentes que tratan los aspectos relativos al mercado de energía mayorista, la siguiente:</w:t>
      </w:r>
    </w:p>
    <w:p w:rsidR="00782D7B" w:rsidRPr="00782D7B" w:rsidRDefault="00782D7B" w:rsidP="00782D7B">
      <w:pPr>
        <w:keepNext/>
        <w:tabs>
          <w:tab w:val="left" w:pos="-720"/>
        </w:tabs>
        <w:suppressAutoHyphens/>
        <w:ind w:left="0"/>
        <w:rPr>
          <w:rFonts w:ascii="Bookman Old Style" w:hAnsi="Bookman Old Style" w:cs="Arial"/>
          <w:b/>
          <w:spacing w:val="-3"/>
          <w:lang w:val="es-ES_tradnl"/>
        </w:rPr>
      </w:pPr>
    </w:p>
    <w:p w:rsidR="00782D7B" w:rsidRPr="00782D7B" w:rsidRDefault="00782D7B" w:rsidP="00782D7B">
      <w:pPr>
        <w:tabs>
          <w:tab w:val="right" w:pos="2160"/>
        </w:tabs>
        <w:ind w:left="0"/>
        <w:jc w:val="both"/>
        <w:rPr>
          <w:rFonts w:ascii="Bookman Old Style" w:hAnsi="Bookman Old Style" w:cs="Arial"/>
          <w:lang w:eastAsia="es-CO"/>
        </w:rPr>
      </w:pPr>
      <w:r w:rsidRPr="00782D7B">
        <w:rPr>
          <w:rFonts w:ascii="Bookman Old Style" w:hAnsi="Bookman Old Style" w:cs="Arial"/>
          <w:b/>
          <w:lang w:eastAsia="es-CO"/>
        </w:rPr>
        <w:t>Prestador de Última Instancia:</w:t>
      </w:r>
      <w:r w:rsidRPr="00782D7B">
        <w:rPr>
          <w:rFonts w:ascii="Bookman Old Style" w:hAnsi="Bookman Old Style" w:cs="Arial"/>
          <w:lang w:eastAsia="es-CO"/>
        </w:rPr>
        <w:t xml:space="preserve"> agente seleccionado para realizar la actividad de comercialización de energía eléctrica cuando el prestador que ha sido escogido por un usuario no puede prestar el servicio por las causas definidas en la regulación.</w:t>
      </w:r>
    </w:p>
    <w:p w:rsidR="00FA73F0" w:rsidRDefault="00FA73F0" w:rsidP="00D0354E">
      <w:pPr>
        <w:keepNext/>
        <w:tabs>
          <w:tab w:val="left" w:pos="-720"/>
        </w:tabs>
        <w:suppressAutoHyphens/>
        <w:ind w:left="142"/>
        <w:rPr>
          <w:rFonts w:ascii="Bookman Old Style" w:hAnsi="Bookman Old Style" w:cs="Arial"/>
          <w:b/>
          <w:spacing w:val="-3"/>
        </w:rPr>
      </w:pPr>
    </w:p>
    <w:p w:rsidR="00C20249" w:rsidRPr="008D4E66" w:rsidRDefault="00C20249" w:rsidP="0041145E">
      <w:pPr>
        <w:numPr>
          <w:ilvl w:val="0"/>
          <w:numId w:val="7"/>
        </w:numPr>
        <w:tabs>
          <w:tab w:val="num" w:pos="1440"/>
          <w:tab w:val="left" w:pos="1701"/>
        </w:tabs>
        <w:ind w:left="0"/>
        <w:jc w:val="both"/>
        <w:rPr>
          <w:rFonts w:ascii="Bookman Old Style" w:hAnsi="Bookman Old Style" w:cs="Arial"/>
          <w:b/>
          <w:bCs/>
        </w:rPr>
      </w:pPr>
      <w:r w:rsidRPr="008D4E66">
        <w:rPr>
          <w:rFonts w:ascii="Bookman Old Style" w:hAnsi="Bookman Old Style" w:cs="Arial"/>
          <w:b/>
          <w:bCs/>
        </w:rPr>
        <w:t xml:space="preserve">Modificación del artículo 9 de la Resolución CREG 019 de 2006. </w:t>
      </w:r>
      <w:r w:rsidRPr="008D4E66">
        <w:rPr>
          <w:rFonts w:ascii="Bookman Old Style" w:hAnsi="Bookman Old Style" w:cs="Arial"/>
          <w:bCs/>
        </w:rPr>
        <w:t xml:space="preserve">El artículo 9 de la Resolución CREG 019 de 2006 quedará así:  </w:t>
      </w:r>
    </w:p>
    <w:p w:rsidR="00C20249" w:rsidRPr="008D4E66" w:rsidRDefault="00C20249" w:rsidP="0041145E">
      <w:pPr>
        <w:tabs>
          <w:tab w:val="left" w:pos="1701"/>
        </w:tabs>
        <w:ind w:left="0"/>
        <w:jc w:val="both"/>
        <w:rPr>
          <w:rFonts w:ascii="Bookman Old Style" w:hAnsi="Bookman Old Style" w:cs="Arial"/>
          <w:b/>
          <w:bCs/>
        </w:rPr>
      </w:pPr>
    </w:p>
    <w:p w:rsidR="00047416" w:rsidRPr="008D4E66" w:rsidRDefault="00C20249" w:rsidP="009A3947">
      <w:pPr>
        <w:jc w:val="both"/>
        <w:rPr>
          <w:rFonts w:ascii="Bookman Old Style" w:hAnsi="Bookman Old Style" w:cs="Arial"/>
          <w:b/>
          <w:bCs/>
          <w:i/>
        </w:rPr>
      </w:pPr>
      <w:r w:rsidRPr="008D4E66">
        <w:rPr>
          <w:rFonts w:ascii="Bookman Old Style" w:hAnsi="Bookman Old Style" w:cs="Arial"/>
          <w:bCs/>
          <w:i/>
        </w:rPr>
        <w:t>“</w:t>
      </w:r>
      <w:r w:rsidRPr="008D4E66">
        <w:rPr>
          <w:rFonts w:ascii="Bookman Old Style" w:hAnsi="Bookman Old Style" w:cs="Arial"/>
          <w:b/>
          <w:bCs/>
          <w:i/>
        </w:rPr>
        <w:t xml:space="preserve">Artículo 9. </w:t>
      </w:r>
      <w:r w:rsidR="00877BC6" w:rsidRPr="008D4E66">
        <w:rPr>
          <w:rFonts w:ascii="Bookman Old Style" w:hAnsi="Bookman Old Style" w:cs="Arial"/>
          <w:b/>
          <w:bCs/>
          <w:i/>
        </w:rPr>
        <w:t xml:space="preserve">Incumplimiento en el cubrimiento de las transacciones. </w:t>
      </w:r>
      <w:r w:rsidR="00047416" w:rsidRPr="008D4E66">
        <w:rPr>
          <w:rFonts w:ascii="Bookman Old Style" w:hAnsi="Bookman Old Style" w:cs="Arial"/>
          <w:bCs/>
          <w:i/>
        </w:rPr>
        <w:t>El incumplimiento en el cubrimiento de las transacciones a través de los mecanismos de que trata la presente Resolución, o en los ajustes a que haya lugar para las garantías o los demás mecanismos de cubrimiento, dará lugar al retiro del agente del mercado conforme a lo establecido en el artículo 16 del Reglamento de Comercialización del Servicio Público de Energía Eléctrica. Habrá incumplimiento del agente cuando no haya obtenido la aprobación del Administrador del Sistema de Intercambios Comerciales de los mecanismos de cubrimiento o de sus ajustes en los plazos que se establecen en el artículo 15 y en el artículo 18 del Reglamento de Mecanismos de Cubrimiento para las Transacciones en el Mercado de Energía Mayorista.</w:t>
      </w:r>
    </w:p>
    <w:p w:rsidR="00877BC6" w:rsidRPr="008D4E66" w:rsidRDefault="00877BC6" w:rsidP="009A3947">
      <w:pPr>
        <w:jc w:val="both"/>
        <w:rPr>
          <w:rFonts w:ascii="Bookman Old Style" w:hAnsi="Bookman Old Style" w:cs="Arial"/>
          <w:bCs/>
          <w:i/>
        </w:rPr>
      </w:pPr>
    </w:p>
    <w:p w:rsidR="00C20249" w:rsidRPr="008D4E66" w:rsidRDefault="00C20249" w:rsidP="009A3947">
      <w:pPr>
        <w:jc w:val="both"/>
        <w:rPr>
          <w:rFonts w:ascii="Bookman Old Style" w:hAnsi="Bookman Old Style" w:cs="Arial"/>
          <w:bCs/>
        </w:rPr>
      </w:pPr>
      <w:r w:rsidRPr="008D4E66">
        <w:rPr>
          <w:rFonts w:ascii="Bookman Old Style" w:hAnsi="Bookman Old Style" w:cs="Arial"/>
          <w:b/>
          <w:bCs/>
          <w:i/>
        </w:rPr>
        <w:t xml:space="preserve">Parágrafo. </w:t>
      </w:r>
      <w:r w:rsidR="00E20A6C" w:rsidRPr="008D4E66">
        <w:rPr>
          <w:rFonts w:ascii="Bookman Old Style" w:hAnsi="Bookman Old Style" w:cs="Arial"/>
          <w:bCs/>
          <w:i/>
        </w:rPr>
        <w:t xml:space="preserve">Hasta tanto se haya adoptado e implementado la regulación aplicable al </w:t>
      </w:r>
      <w:r w:rsidR="0039090F" w:rsidRPr="008D4E66">
        <w:rPr>
          <w:rFonts w:ascii="Bookman Old Style" w:hAnsi="Bookman Old Style" w:cs="Arial"/>
          <w:bCs/>
          <w:i/>
        </w:rPr>
        <w:t>Prestador de Última Instancia</w:t>
      </w:r>
      <w:r w:rsidR="00BE3816" w:rsidRPr="008D4E66">
        <w:rPr>
          <w:rFonts w:ascii="Bookman Old Style" w:hAnsi="Bookman Old Style" w:cs="Arial"/>
          <w:bCs/>
          <w:i/>
        </w:rPr>
        <w:t>,</w:t>
      </w:r>
      <w:r w:rsidR="00E20A6C" w:rsidRPr="008D4E66">
        <w:rPr>
          <w:rFonts w:ascii="Bookman Old Style" w:hAnsi="Bookman Old Style" w:cs="Arial"/>
          <w:bCs/>
          <w:i/>
        </w:rPr>
        <w:t xml:space="preserve"> </w:t>
      </w:r>
      <w:r w:rsidR="00BE3816" w:rsidRPr="008D4E66">
        <w:rPr>
          <w:rFonts w:ascii="Bookman Old Style" w:hAnsi="Bookman Old Style" w:cs="Arial"/>
          <w:bCs/>
          <w:i/>
        </w:rPr>
        <w:t>e</w:t>
      </w:r>
      <w:r w:rsidRPr="008D4E66">
        <w:rPr>
          <w:rFonts w:ascii="Bookman Old Style" w:hAnsi="Bookman Old Style" w:cs="Arial"/>
          <w:bCs/>
          <w:i/>
        </w:rPr>
        <w:t xml:space="preserve">l incumplimiento de que trata este artículo por parte </w:t>
      </w:r>
      <w:r w:rsidR="00DB2E37" w:rsidRPr="008D4E66">
        <w:rPr>
          <w:rFonts w:ascii="Bookman Old Style" w:hAnsi="Bookman Old Style" w:cs="Arial"/>
          <w:bCs/>
          <w:i/>
        </w:rPr>
        <w:t xml:space="preserve">de </w:t>
      </w:r>
      <w:r w:rsidR="0075146E" w:rsidRPr="008D4E66">
        <w:rPr>
          <w:rFonts w:ascii="Bookman Old Style" w:hAnsi="Bookman Old Style" w:cs="Arial"/>
          <w:bCs/>
          <w:i/>
        </w:rPr>
        <w:t xml:space="preserve">Agentes </w:t>
      </w:r>
      <w:r w:rsidRPr="008D4E66">
        <w:rPr>
          <w:rFonts w:ascii="Bookman Old Style" w:hAnsi="Bookman Old Style" w:cs="Arial"/>
          <w:bCs/>
          <w:i/>
        </w:rPr>
        <w:t xml:space="preserve">que realicen en forma conjunta las actividades de comercialización y distribución </w:t>
      </w:r>
      <w:r w:rsidR="00DB2E37" w:rsidRPr="008D4E66">
        <w:rPr>
          <w:rFonts w:ascii="Bookman Old Style" w:hAnsi="Bookman Old Style" w:cs="Arial"/>
          <w:bCs/>
          <w:i/>
        </w:rPr>
        <w:t xml:space="preserve">no dará lugar a la aplicación del procedimiento de retiro a estos </w:t>
      </w:r>
      <w:r w:rsidR="0075146E" w:rsidRPr="008D4E66">
        <w:rPr>
          <w:rFonts w:ascii="Bookman Old Style" w:hAnsi="Bookman Old Style" w:cs="Arial"/>
          <w:bCs/>
          <w:i/>
        </w:rPr>
        <w:t>Agentes</w:t>
      </w:r>
      <w:r w:rsidR="00DB2E37" w:rsidRPr="008D4E66">
        <w:rPr>
          <w:rFonts w:ascii="Bookman Old Style" w:hAnsi="Bookman Old Style" w:cs="Arial"/>
          <w:bCs/>
          <w:i/>
        </w:rPr>
        <w:t xml:space="preserve">. Tal incumplimiento </w:t>
      </w:r>
      <w:r w:rsidRPr="008D4E66">
        <w:rPr>
          <w:rFonts w:ascii="Bookman Old Style" w:hAnsi="Bookman Old Style" w:cs="Arial"/>
          <w:bCs/>
          <w:i/>
        </w:rPr>
        <w:t>dará lugar a la aplicación del procedimiento de limitación de suministro de acuerdo con lo establecido en la Resolución CREG 116 de 1998 y demás que la modifiquen o sustituyan.”</w:t>
      </w:r>
    </w:p>
    <w:p w:rsidR="00504567" w:rsidRPr="008D4E66" w:rsidRDefault="00504567" w:rsidP="009A3947">
      <w:pPr>
        <w:ind w:left="0"/>
        <w:jc w:val="both"/>
        <w:rPr>
          <w:rFonts w:ascii="Bookman Old Style" w:hAnsi="Bookman Old Style" w:cs="Arial"/>
          <w:b/>
          <w:bCs/>
          <w:i/>
        </w:rPr>
      </w:pPr>
    </w:p>
    <w:p w:rsidR="00BE3816" w:rsidRPr="008D4E66" w:rsidRDefault="00BE3816" w:rsidP="0041145E">
      <w:pPr>
        <w:numPr>
          <w:ilvl w:val="0"/>
          <w:numId w:val="7"/>
        </w:numPr>
        <w:tabs>
          <w:tab w:val="num" w:pos="1440"/>
          <w:tab w:val="left" w:pos="1701"/>
        </w:tabs>
        <w:ind w:left="0"/>
        <w:jc w:val="both"/>
        <w:rPr>
          <w:rFonts w:ascii="Bookman Old Style" w:hAnsi="Bookman Old Style" w:cs="Arial"/>
          <w:b/>
          <w:bCs/>
        </w:rPr>
      </w:pPr>
      <w:r w:rsidRPr="008D4E66">
        <w:rPr>
          <w:rFonts w:ascii="Bookman Old Style" w:hAnsi="Bookman Old Style" w:cs="Arial"/>
          <w:b/>
          <w:bCs/>
        </w:rPr>
        <w:t xml:space="preserve">Modificación del artículo 16 de la Resolución CREG 019 de 2006. </w:t>
      </w:r>
      <w:r w:rsidRPr="008D4E66">
        <w:rPr>
          <w:rFonts w:ascii="Bookman Old Style" w:hAnsi="Bookman Old Style" w:cs="Arial"/>
          <w:bCs/>
        </w:rPr>
        <w:t>El artículo 16 de la Resolución CREG 019 de 2006 quedará así:</w:t>
      </w:r>
    </w:p>
    <w:p w:rsidR="00BE3816" w:rsidRPr="008D4E66" w:rsidRDefault="00BE3816" w:rsidP="009A3947">
      <w:pPr>
        <w:rPr>
          <w:rFonts w:ascii="Bookman Old Style" w:hAnsi="Bookman Old Style" w:cs="Arial"/>
        </w:rPr>
      </w:pPr>
    </w:p>
    <w:p w:rsidR="00BE3816" w:rsidRPr="008D4E66" w:rsidRDefault="00BE3816" w:rsidP="009A3947">
      <w:pPr>
        <w:jc w:val="both"/>
        <w:rPr>
          <w:rFonts w:ascii="Bookman Old Style" w:hAnsi="Bookman Old Style" w:cs="Arial"/>
          <w:bCs/>
          <w:i/>
        </w:rPr>
      </w:pPr>
      <w:r w:rsidRPr="008D4E66">
        <w:rPr>
          <w:rFonts w:ascii="Bookman Old Style" w:hAnsi="Bookman Old Style" w:cs="Arial"/>
          <w:bCs/>
          <w:i/>
        </w:rPr>
        <w:t>“</w:t>
      </w:r>
      <w:r w:rsidRPr="008D4E66">
        <w:rPr>
          <w:rFonts w:ascii="Bookman Old Style" w:hAnsi="Bookman Old Style" w:cs="Arial"/>
          <w:b/>
          <w:bCs/>
          <w:i/>
        </w:rPr>
        <w:t>Artículo 16. Otorgamiento de Pagarés.</w:t>
      </w:r>
      <w:r w:rsidRPr="008D4E66">
        <w:rPr>
          <w:rFonts w:ascii="Bookman Old Style" w:hAnsi="Bookman Old Style" w:cs="Arial"/>
          <w:bCs/>
          <w:i/>
        </w:rPr>
        <w:t xml:space="preserve"> El agente que quiera registrarse en el Mercado de Energía </w:t>
      </w:r>
      <w:r w:rsidR="00261653" w:rsidRPr="008D4E66">
        <w:rPr>
          <w:rFonts w:ascii="Bookman Old Style" w:hAnsi="Bookman Old Style" w:cs="Arial"/>
          <w:bCs/>
          <w:i/>
        </w:rPr>
        <w:t xml:space="preserve">Mayorista </w:t>
      </w:r>
      <w:r w:rsidRPr="008D4E66">
        <w:rPr>
          <w:rFonts w:ascii="Bookman Old Style" w:hAnsi="Bookman Old Style" w:cs="Arial"/>
          <w:bCs/>
          <w:i/>
        </w:rPr>
        <w:t xml:space="preserve">deberá hacer entrega de cuatro </w:t>
      </w:r>
      <w:r w:rsidRPr="008D4E66">
        <w:rPr>
          <w:rFonts w:ascii="Bookman Old Style" w:hAnsi="Bookman Old Style" w:cs="Arial"/>
          <w:bCs/>
          <w:i/>
        </w:rPr>
        <w:lastRenderedPageBreak/>
        <w:t xml:space="preserve">pagarés en blanco, debidamente firmados por el representante legal, autorizado para el efecto, con sus respectivas cartas de instrucciones, todo de acuerdo con lo definido por el Administrador del Sistema de Intercambios Comerciales. Éste podrá diligenciar los pagarés en cualquier tiempo, mientras el agente se encuentre inscrito en el </w:t>
      </w:r>
      <w:r w:rsidR="00261653" w:rsidRPr="008D4E66">
        <w:rPr>
          <w:rFonts w:ascii="Bookman Old Style" w:hAnsi="Bookman Old Style" w:cs="Arial"/>
          <w:bCs/>
          <w:i/>
        </w:rPr>
        <w:t>Mercado de Energía Mayorista</w:t>
      </w:r>
      <w:r w:rsidRPr="008D4E66">
        <w:rPr>
          <w:rFonts w:ascii="Bookman Old Style" w:hAnsi="Bookman Old Style" w:cs="Arial"/>
          <w:bCs/>
          <w:i/>
        </w:rPr>
        <w:t>, cuando con l</w:t>
      </w:r>
      <w:r w:rsidR="00CE217C" w:rsidRPr="008D4E66">
        <w:rPr>
          <w:rFonts w:ascii="Bookman Old Style" w:hAnsi="Bookman Old Style" w:cs="Arial"/>
          <w:bCs/>
          <w:i/>
        </w:rPr>
        <w:t>o</w:t>
      </w:r>
      <w:r w:rsidRPr="008D4E66">
        <w:rPr>
          <w:rFonts w:ascii="Bookman Old Style" w:hAnsi="Bookman Old Style" w:cs="Arial"/>
          <w:bCs/>
          <w:i/>
        </w:rPr>
        <w:t xml:space="preserve">s </w:t>
      </w:r>
      <w:r w:rsidR="00CE217C" w:rsidRPr="008D4E66">
        <w:rPr>
          <w:rFonts w:ascii="Bookman Old Style" w:hAnsi="Bookman Old Style" w:cs="Arial"/>
          <w:bCs/>
          <w:i/>
        </w:rPr>
        <w:t>mecanismos entregado</w:t>
      </w:r>
      <w:r w:rsidRPr="008D4E66">
        <w:rPr>
          <w:rFonts w:ascii="Bookman Old Style" w:hAnsi="Bookman Old Style" w:cs="Arial"/>
          <w:bCs/>
          <w:i/>
        </w:rPr>
        <w:t>s no se logre cubrir el total de las obligaciones pendientes de pago.</w:t>
      </w:r>
    </w:p>
    <w:p w:rsidR="00BE3816" w:rsidRPr="008D4E66" w:rsidRDefault="00BE3816" w:rsidP="009A3947">
      <w:pPr>
        <w:jc w:val="both"/>
        <w:rPr>
          <w:rFonts w:ascii="Bookman Old Style" w:hAnsi="Bookman Old Style" w:cs="Arial"/>
          <w:bCs/>
          <w:i/>
        </w:rPr>
      </w:pPr>
    </w:p>
    <w:p w:rsidR="00BE3816" w:rsidRPr="008D4E66" w:rsidRDefault="00BE3816" w:rsidP="009A3947">
      <w:pPr>
        <w:jc w:val="both"/>
        <w:rPr>
          <w:rFonts w:ascii="Bookman Old Style" w:hAnsi="Bookman Old Style" w:cs="Arial"/>
          <w:bCs/>
          <w:i/>
        </w:rPr>
      </w:pPr>
      <w:r w:rsidRPr="008D4E66">
        <w:rPr>
          <w:rFonts w:ascii="Bookman Old Style" w:hAnsi="Bookman Old Style" w:cs="Arial"/>
          <w:bCs/>
          <w:i/>
        </w:rPr>
        <w:t>El representante legal deberá demostrar que está debidamente autorizado para firmar los pagarés y las cartas de instrucciones de que trata este artículo</w:t>
      </w:r>
      <w:r w:rsidR="00230361" w:rsidRPr="008D4E66">
        <w:rPr>
          <w:rFonts w:ascii="Bookman Old Style" w:hAnsi="Bookman Old Style" w:cs="Arial"/>
          <w:bCs/>
          <w:i/>
        </w:rPr>
        <w:t xml:space="preserve">. Para </w:t>
      </w:r>
      <w:r w:rsidR="00CE217C" w:rsidRPr="008D4E66">
        <w:rPr>
          <w:rFonts w:ascii="Bookman Old Style" w:hAnsi="Bookman Old Style" w:cs="Arial"/>
          <w:bCs/>
          <w:i/>
        </w:rPr>
        <w:t>el efecto deberá anexar</w:t>
      </w:r>
      <w:r w:rsidR="00230361" w:rsidRPr="008D4E66">
        <w:rPr>
          <w:rFonts w:ascii="Bookman Old Style" w:hAnsi="Bookman Old Style" w:cs="Arial"/>
          <w:bCs/>
          <w:i/>
        </w:rPr>
        <w:t xml:space="preserve"> copia del documento que, de acuerdo con la normatividad vigente, </w:t>
      </w:r>
      <w:r w:rsidR="006B327F" w:rsidRPr="008D4E66">
        <w:rPr>
          <w:rFonts w:ascii="Bookman Old Style" w:hAnsi="Bookman Old Style" w:cs="Arial"/>
          <w:bCs/>
          <w:i/>
        </w:rPr>
        <w:t>acredite</w:t>
      </w:r>
      <w:r w:rsidR="00230361" w:rsidRPr="008D4E66">
        <w:rPr>
          <w:rFonts w:ascii="Bookman Old Style" w:hAnsi="Bookman Old Style" w:cs="Arial"/>
          <w:bCs/>
          <w:i/>
        </w:rPr>
        <w:t xml:space="preserve"> la representación legal</w:t>
      </w:r>
      <w:r w:rsidR="00CE217C" w:rsidRPr="008D4E66">
        <w:rPr>
          <w:rFonts w:ascii="Bookman Old Style" w:hAnsi="Bookman Old Style" w:cs="Arial"/>
          <w:bCs/>
          <w:i/>
        </w:rPr>
        <w:t>.</w:t>
      </w:r>
    </w:p>
    <w:p w:rsidR="00BE3816" w:rsidRPr="008D4E66" w:rsidRDefault="00BE3816" w:rsidP="009A3947">
      <w:pPr>
        <w:jc w:val="both"/>
        <w:rPr>
          <w:rFonts w:ascii="Bookman Old Style" w:hAnsi="Bookman Old Style" w:cs="Arial"/>
          <w:bCs/>
          <w:i/>
        </w:rPr>
      </w:pPr>
    </w:p>
    <w:p w:rsidR="008C32C2" w:rsidRPr="008D4E66" w:rsidRDefault="00BE3816" w:rsidP="009A3947">
      <w:pPr>
        <w:jc w:val="both"/>
        <w:rPr>
          <w:rFonts w:ascii="Bookman Old Style" w:hAnsi="Bookman Old Style" w:cs="Arial"/>
          <w:bCs/>
          <w:i/>
        </w:rPr>
      </w:pPr>
      <w:r w:rsidRPr="008D4E66">
        <w:rPr>
          <w:rFonts w:ascii="Bookman Old Style" w:hAnsi="Bookman Old Style" w:cs="Arial"/>
          <w:bCs/>
          <w:i/>
        </w:rPr>
        <w:t xml:space="preserve">Los agentes deberán reponer o renovar los pagarés cada vez que se requiera el uso de uno o varios de los que hayan otorgado, </w:t>
      </w:r>
      <w:r w:rsidR="0048127E" w:rsidRPr="008D4E66">
        <w:rPr>
          <w:rFonts w:ascii="Bookman Old Style" w:hAnsi="Bookman Old Style" w:cs="Arial"/>
          <w:bCs/>
          <w:i/>
        </w:rPr>
        <w:t xml:space="preserve">o cuando estos documentos </w:t>
      </w:r>
      <w:r w:rsidR="00014364" w:rsidRPr="008D4E66">
        <w:rPr>
          <w:rFonts w:ascii="Bookman Old Style" w:hAnsi="Bookman Old Style" w:cs="Arial"/>
          <w:bCs/>
          <w:i/>
        </w:rPr>
        <w:t>sean</w:t>
      </w:r>
      <w:r w:rsidR="0048127E" w:rsidRPr="008D4E66">
        <w:rPr>
          <w:rFonts w:ascii="Bookman Old Style" w:hAnsi="Bookman Old Style" w:cs="Arial"/>
          <w:bCs/>
          <w:i/>
        </w:rPr>
        <w:t xml:space="preserve"> obsoletos, </w:t>
      </w:r>
      <w:r w:rsidRPr="008D4E66">
        <w:rPr>
          <w:rFonts w:ascii="Bookman Old Style" w:hAnsi="Bookman Old Style" w:cs="Arial"/>
          <w:bCs/>
          <w:i/>
        </w:rPr>
        <w:t xml:space="preserve">dentro de los quince (15) días </w:t>
      </w:r>
      <w:proofErr w:type="gramStart"/>
      <w:r w:rsidRPr="008D4E66">
        <w:rPr>
          <w:rFonts w:ascii="Bookman Old Style" w:hAnsi="Bookman Old Style" w:cs="Arial"/>
          <w:bCs/>
          <w:i/>
        </w:rPr>
        <w:t>calendario siguientes</w:t>
      </w:r>
      <w:proofErr w:type="gramEnd"/>
      <w:r w:rsidRPr="008D4E66">
        <w:rPr>
          <w:rFonts w:ascii="Bookman Old Style" w:hAnsi="Bookman Old Style" w:cs="Arial"/>
          <w:bCs/>
          <w:i/>
        </w:rPr>
        <w:t xml:space="preserve"> a la fecha en la cual el Administrador del Sistema de Intercambios Comerciales así lo comunique al agente respectivo. El incumplimiento de lo aquí dispuesto </w:t>
      </w:r>
      <w:r w:rsidR="00CE217C" w:rsidRPr="008D4E66">
        <w:rPr>
          <w:rFonts w:ascii="Bookman Old Style" w:hAnsi="Bookman Old Style" w:cs="Arial"/>
          <w:bCs/>
          <w:i/>
        </w:rPr>
        <w:t>dará lugar al retiro del agente del Mercado de Energía</w:t>
      </w:r>
      <w:r w:rsidR="008C32C2" w:rsidRPr="008D4E66">
        <w:rPr>
          <w:rFonts w:ascii="Bookman Old Style" w:hAnsi="Bookman Old Style" w:cs="Arial"/>
          <w:bCs/>
          <w:i/>
        </w:rPr>
        <w:t xml:space="preserve"> </w:t>
      </w:r>
      <w:r w:rsidR="00261653" w:rsidRPr="008D4E66">
        <w:rPr>
          <w:rFonts w:ascii="Bookman Old Style" w:hAnsi="Bookman Old Style" w:cs="Arial"/>
          <w:bCs/>
          <w:i/>
        </w:rPr>
        <w:t xml:space="preserve">Mayorista </w:t>
      </w:r>
      <w:r w:rsidR="008C32C2" w:rsidRPr="008D4E66">
        <w:rPr>
          <w:rFonts w:ascii="Bookman Old Style" w:hAnsi="Bookman Old Style" w:cs="Arial"/>
          <w:bCs/>
          <w:i/>
        </w:rPr>
        <w:t xml:space="preserve">conforme a lo establecido en </w:t>
      </w:r>
      <w:r w:rsidR="00261653" w:rsidRPr="008D4E66">
        <w:rPr>
          <w:rFonts w:ascii="Bookman Old Style" w:hAnsi="Bookman Old Style" w:cs="Arial"/>
          <w:bCs/>
          <w:i/>
        </w:rPr>
        <w:t>el artículo 16 del Reglamento de Comercialización del Servicio Público de Energía Eléctrica</w:t>
      </w:r>
      <w:r w:rsidR="008C32C2" w:rsidRPr="008D4E66">
        <w:rPr>
          <w:rFonts w:ascii="Bookman Old Style" w:hAnsi="Bookman Old Style" w:cs="Arial"/>
          <w:bCs/>
          <w:i/>
        </w:rPr>
        <w:t>.</w:t>
      </w:r>
    </w:p>
    <w:p w:rsidR="008C32C2" w:rsidRPr="008D4E66" w:rsidRDefault="008C32C2" w:rsidP="009A3947">
      <w:pPr>
        <w:jc w:val="both"/>
        <w:rPr>
          <w:rFonts w:ascii="Bookman Old Style" w:hAnsi="Bookman Old Style" w:cs="Arial"/>
          <w:bCs/>
          <w:i/>
        </w:rPr>
      </w:pPr>
    </w:p>
    <w:p w:rsidR="00DB2E37" w:rsidRPr="008D4E66" w:rsidRDefault="008C32C2" w:rsidP="009A3947">
      <w:pPr>
        <w:jc w:val="both"/>
        <w:rPr>
          <w:rFonts w:ascii="Bookman Old Style" w:hAnsi="Bookman Old Style" w:cs="Arial"/>
          <w:bCs/>
        </w:rPr>
      </w:pPr>
      <w:r w:rsidRPr="008D4E66">
        <w:rPr>
          <w:rFonts w:ascii="Bookman Old Style" w:hAnsi="Bookman Old Style" w:cs="Arial"/>
          <w:b/>
          <w:bCs/>
          <w:i/>
        </w:rPr>
        <w:t xml:space="preserve">Parágrafo. </w:t>
      </w:r>
      <w:r w:rsidR="00DB2E37" w:rsidRPr="008D4E66">
        <w:rPr>
          <w:rFonts w:ascii="Bookman Old Style" w:hAnsi="Bookman Old Style" w:cs="Arial"/>
          <w:bCs/>
          <w:i/>
        </w:rPr>
        <w:t xml:space="preserve">Hasta tanto se haya adoptado e implementado la regulación aplicable al Prestador de Última Instancia, el incumplimiento de que trata este artículo por parte de </w:t>
      </w:r>
      <w:r w:rsidR="0075146E" w:rsidRPr="008D4E66">
        <w:rPr>
          <w:rFonts w:ascii="Bookman Old Style" w:hAnsi="Bookman Old Style" w:cs="Arial"/>
          <w:bCs/>
          <w:i/>
        </w:rPr>
        <w:t xml:space="preserve">Agentes </w:t>
      </w:r>
      <w:r w:rsidR="00DB2E37" w:rsidRPr="008D4E66">
        <w:rPr>
          <w:rFonts w:ascii="Bookman Old Style" w:hAnsi="Bookman Old Style" w:cs="Arial"/>
          <w:bCs/>
          <w:i/>
        </w:rPr>
        <w:t xml:space="preserve">que realicen en forma conjunta las actividades de comercialización y distribución no dará lugar a la aplicación del procedimiento de retiro a estos </w:t>
      </w:r>
      <w:r w:rsidR="0075146E" w:rsidRPr="008D4E66">
        <w:rPr>
          <w:rFonts w:ascii="Bookman Old Style" w:hAnsi="Bookman Old Style" w:cs="Arial"/>
          <w:bCs/>
          <w:i/>
        </w:rPr>
        <w:t>Agentes</w:t>
      </w:r>
      <w:r w:rsidR="00DB2E37" w:rsidRPr="008D4E66">
        <w:rPr>
          <w:rFonts w:ascii="Bookman Old Style" w:hAnsi="Bookman Old Style" w:cs="Arial"/>
          <w:bCs/>
          <w:i/>
        </w:rPr>
        <w:t>. Tal incumplimiento dará lugar a la aplicación del procedimiento de limitación de suministro de acuerdo con lo establecido en la Resolución CREG 116 de 1998 y demás que la modifiquen o sustituyan.”</w:t>
      </w:r>
    </w:p>
    <w:p w:rsidR="00757DCA" w:rsidRPr="008D4E66" w:rsidRDefault="00757DCA" w:rsidP="00757DCA">
      <w:pPr>
        <w:tabs>
          <w:tab w:val="left" w:pos="1701"/>
        </w:tabs>
        <w:ind w:left="142"/>
        <w:jc w:val="both"/>
        <w:rPr>
          <w:rFonts w:ascii="Bookman Old Style" w:hAnsi="Bookman Old Style" w:cs="Arial"/>
          <w:b/>
          <w:bCs/>
        </w:rPr>
      </w:pPr>
    </w:p>
    <w:p w:rsidR="00757DCA" w:rsidRPr="008D4E66" w:rsidRDefault="00757DCA" w:rsidP="0041145E">
      <w:pPr>
        <w:numPr>
          <w:ilvl w:val="0"/>
          <w:numId w:val="7"/>
        </w:numPr>
        <w:tabs>
          <w:tab w:val="num" w:pos="1440"/>
          <w:tab w:val="left" w:pos="1701"/>
        </w:tabs>
        <w:ind w:left="0"/>
        <w:jc w:val="both"/>
        <w:rPr>
          <w:rFonts w:ascii="Bookman Old Style" w:hAnsi="Bookman Old Style" w:cs="Arial"/>
          <w:b/>
          <w:bCs/>
        </w:rPr>
      </w:pPr>
      <w:r w:rsidRPr="008D4E66">
        <w:rPr>
          <w:rFonts w:ascii="Bookman Old Style" w:hAnsi="Bookman Old Style" w:cs="Arial"/>
          <w:b/>
          <w:bCs/>
        </w:rPr>
        <w:t xml:space="preserve">Modificación del artículo </w:t>
      </w:r>
      <w:r w:rsidR="00E43E33">
        <w:rPr>
          <w:rFonts w:ascii="Bookman Old Style" w:hAnsi="Bookman Old Style" w:cs="Arial"/>
          <w:b/>
          <w:bCs/>
        </w:rPr>
        <w:t>2</w:t>
      </w:r>
      <w:r w:rsidRPr="008D4E66">
        <w:rPr>
          <w:rFonts w:ascii="Bookman Old Style" w:hAnsi="Bookman Old Style" w:cs="Arial"/>
          <w:b/>
          <w:bCs/>
        </w:rPr>
        <w:t xml:space="preserve"> del Anexo de la Resolución CREG 019 de 2006. </w:t>
      </w:r>
      <w:r w:rsidRPr="008D4E66">
        <w:rPr>
          <w:rFonts w:ascii="Bookman Old Style" w:hAnsi="Bookman Old Style" w:cs="Arial"/>
          <w:bCs/>
        </w:rPr>
        <w:t xml:space="preserve">El artículo </w:t>
      </w:r>
      <w:r w:rsidR="00E43E33">
        <w:rPr>
          <w:rFonts w:ascii="Bookman Old Style" w:hAnsi="Bookman Old Style" w:cs="Arial"/>
          <w:bCs/>
        </w:rPr>
        <w:t>2</w:t>
      </w:r>
      <w:r w:rsidRPr="008D4E66">
        <w:rPr>
          <w:rFonts w:ascii="Bookman Old Style" w:hAnsi="Bookman Old Style" w:cs="Arial"/>
          <w:bCs/>
        </w:rPr>
        <w:t xml:space="preserve"> del Anexo de la Resolución CREG 019 de 2006 quedará así:</w:t>
      </w:r>
    </w:p>
    <w:p w:rsidR="00757DCA" w:rsidRPr="007472F8" w:rsidRDefault="00757DCA" w:rsidP="00757DCA">
      <w:pPr>
        <w:tabs>
          <w:tab w:val="left" w:pos="1701"/>
        </w:tabs>
        <w:ind w:left="142"/>
        <w:jc w:val="both"/>
        <w:rPr>
          <w:rFonts w:ascii="Bookman Old Style" w:hAnsi="Bookman Old Style" w:cs="Arial"/>
          <w:b/>
          <w:bCs/>
          <w:sz w:val="32"/>
        </w:rPr>
      </w:pPr>
    </w:p>
    <w:p w:rsidR="00E43E33" w:rsidRDefault="00757DCA" w:rsidP="006B216F">
      <w:pPr>
        <w:tabs>
          <w:tab w:val="left" w:pos="1701"/>
        </w:tabs>
        <w:jc w:val="both"/>
        <w:rPr>
          <w:rFonts w:ascii="Bookman Old Style" w:hAnsi="Bookman Old Style" w:cs="Arial"/>
          <w:i/>
          <w:lang w:val="es-ES_tradnl"/>
        </w:rPr>
      </w:pPr>
      <w:r w:rsidRPr="008D4E66">
        <w:rPr>
          <w:rFonts w:ascii="Bookman Old Style" w:hAnsi="Bookman Old Style" w:cs="Arial"/>
          <w:i/>
          <w:lang w:val="es-ES_tradnl"/>
        </w:rPr>
        <w:t>“</w:t>
      </w:r>
      <w:r w:rsidRPr="008D4E66">
        <w:rPr>
          <w:rFonts w:ascii="Bookman Old Style" w:hAnsi="Bookman Old Style" w:cs="Arial"/>
          <w:b/>
          <w:i/>
          <w:lang w:val="es-ES_tradnl"/>
        </w:rPr>
        <w:t xml:space="preserve">ARTÍCULO </w:t>
      </w:r>
      <w:r w:rsidR="00E43E33">
        <w:rPr>
          <w:rFonts w:ascii="Bookman Old Style" w:hAnsi="Bookman Old Style" w:cs="Arial"/>
          <w:b/>
          <w:i/>
          <w:lang w:val="es-ES_tradnl"/>
        </w:rPr>
        <w:t>2</w:t>
      </w:r>
      <w:r w:rsidRPr="008D4E66">
        <w:rPr>
          <w:rFonts w:ascii="Bookman Old Style" w:hAnsi="Bookman Old Style" w:cs="Arial"/>
          <w:b/>
          <w:i/>
          <w:lang w:val="es-ES_tradnl"/>
        </w:rPr>
        <w:t xml:space="preserve">. </w:t>
      </w:r>
      <w:r w:rsidR="00E43E33">
        <w:rPr>
          <w:rFonts w:ascii="Bookman Old Style" w:hAnsi="Bookman Old Style" w:cs="Arial"/>
          <w:b/>
          <w:i/>
          <w:lang w:val="es-ES_tradnl"/>
        </w:rPr>
        <w:t>CRITERIOS PARA ADMITIR LAS GARANTÍAS O LOS MECANISMOS ALTERNATIVOS</w:t>
      </w:r>
      <w:r w:rsidRPr="008D4E66">
        <w:rPr>
          <w:rFonts w:ascii="Bookman Old Style" w:hAnsi="Bookman Old Style" w:cs="Arial"/>
          <w:b/>
          <w:i/>
          <w:lang w:val="es-ES_tradnl"/>
        </w:rPr>
        <w:t>.</w:t>
      </w:r>
      <w:r w:rsidRPr="008D4E66">
        <w:rPr>
          <w:rFonts w:ascii="Bookman Old Style" w:hAnsi="Bookman Old Style" w:cs="Arial"/>
          <w:i/>
          <w:lang w:val="es-ES_tradnl"/>
        </w:rPr>
        <w:t xml:space="preserve"> </w:t>
      </w:r>
      <w:r w:rsidR="00E43E33">
        <w:rPr>
          <w:rFonts w:ascii="Bookman Old Style" w:hAnsi="Bookman Old Style" w:cs="Arial"/>
          <w:i/>
          <w:lang w:val="es-ES_tradnl"/>
        </w:rPr>
        <w:t>Las Garantías o los Mecanismos Alternativos, según su naturaleza, deberán cumplir los requisitos establecidos en la ley civil, comercial y financiera aplicable. Ade</w:t>
      </w:r>
      <w:r w:rsidR="00745B83">
        <w:rPr>
          <w:rFonts w:ascii="Bookman Old Style" w:hAnsi="Bookman Old Style" w:cs="Arial"/>
          <w:i/>
          <w:lang w:val="es-ES_tradnl"/>
        </w:rPr>
        <w:t>más</w:t>
      </w:r>
      <w:r w:rsidR="00A63714">
        <w:rPr>
          <w:rFonts w:ascii="Bookman Old Style" w:hAnsi="Bookman Old Style" w:cs="Arial"/>
          <w:i/>
          <w:lang w:val="es-ES_tradnl"/>
        </w:rPr>
        <w:t>,</w:t>
      </w:r>
      <w:r w:rsidR="00745B83">
        <w:rPr>
          <w:rFonts w:ascii="Bookman Old Style" w:hAnsi="Bookman Old Style" w:cs="Arial"/>
          <w:i/>
          <w:lang w:val="es-ES_tradnl"/>
        </w:rPr>
        <w:t xml:space="preserve"> deberán cumplir las siguientes condiciones:</w:t>
      </w:r>
    </w:p>
    <w:p w:rsidR="00DA6FBD" w:rsidRDefault="00DA6FBD" w:rsidP="006B216F">
      <w:pPr>
        <w:tabs>
          <w:tab w:val="left" w:pos="1701"/>
        </w:tabs>
        <w:ind w:left="708"/>
        <w:jc w:val="both"/>
        <w:rPr>
          <w:rFonts w:ascii="Bookman Old Style" w:hAnsi="Bookman Old Style" w:cs="Arial"/>
          <w:i/>
          <w:lang w:val="es-ES_tradnl"/>
        </w:rPr>
      </w:pPr>
    </w:p>
    <w:p w:rsidR="00BD16A7" w:rsidRDefault="00BD16A7" w:rsidP="006B216F">
      <w:pPr>
        <w:tabs>
          <w:tab w:val="left" w:pos="1701"/>
        </w:tabs>
        <w:ind w:left="1134" w:hanging="567"/>
        <w:jc w:val="both"/>
        <w:rPr>
          <w:rFonts w:ascii="Bookman Old Style" w:hAnsi="Bookman Old Style" w:cs="Arial"/>
          <w:i/>
          <w:lang w:val="es-ES_tradnl"/>
        </w:rPr>
      </w:pPr>
      <w:r>
        <w:rPr>
          <w:rFonts w:ascii="Bookman Old Style" w:hAnsi="Bookman Old Style" w:cs="Arial"/>
          <w:i/>
          <w:lang w:val="es-ES_tradnl"/>
        </w:rPr>
        <w:t>a.</w:t>
      </w:r>
      <w:r>
        <w:rPr>
          <w:rFonts w:ascii="Bookman Old Style" w:hAnsi="Bookman Old Style" w:cs="Arial"/>
          <w:i/>
          <w:lang w:val="es-ES_tradnl"/>
        </w:rPr>
        <w:tab/>
        <w:t>Que cubran por todo concepto el estimado de la liquidación mensual realizada por el ASIC y el LAC.</w:t>
      </w:r>
    </w:p>
    <w:p w:rsidR="00FA0101" w:rsidRDefault="00FA0101" w:rsidP="006B216F">
      <w:pPr>
        <w:tabs>
          <w:tab w:val="left" w:pos="1701"/>
        </w:tabs>
        <w:ind w:left="1134" w:hanging="567"/>
        <w:jc w:val="both"/>
        <w:rPr>
          <w:rFonts w:ascii="Bookman Old Style" w:hAnsi="Bookman Old Style" w:cs="Arial"/>
          <w:i/>
          <w:lang w:val="es-ES_tradnl"/>
        </w:rPr>
      </w:pPr>
    </w:p>
    <w:p w:rsidR="00BD16A7" w:rsidRDefault="00BD16A7" w:rsidP="006B216F">
      <w:pPr>
        <w:tabs>
          <w:tab w:val="left" w:pos="1701"/>
        </w:tabs>
        <w:ind w:left="1134" w:hanging="567"/>
        <w:jc w:val="both"/>
        <w:rPr>
          <w:rFonts w:ascii="Bookman Old Style" w:hAnsi="Bookman Old Style" w:cs="Arial"/>
          <w:i/>
          <w:lang w:val="es-ES_tradnl"/>
        </w:rPr>
      </w:pPr>
      <w:r>
        <w:rPr>
          <w:rFonts w:ascii="Bookman Old Style" w:hAnsi="Bookman Old Style" w:cs="Arial"/>
          <w:i/>
          <w:lang w:val="es-ES_tradnl"/>
        </w:rPr>
        <w:t>b.</w:t>
      </w:r>
      <w:r>
        <w:rPr>
          <w:rFonts w:ascii="Bookman Old Style" w:hAnsi="Bookman Old Style" w:cs="Arial"/>
          <w:i/>
          <w:lang w:val="es-ES_tradnl"/>
        </w:rPr>
        <w:tab/>
        <w:t>Que otorgue</w:t>
      </w:r>
      <w:r w:rsidR="006B216F">
        <w:rPr>
          <w:rFonts w:ascii="Bookman Old Style" w:hAnsi="Bookman Old Style" w:cs="Arial"/>
          <w:i/>
          <w:lang w:val="es-ES_tradnl"/>
        </w:rPr>
        <w:t>n</w:t>
      </w:r>
      <w:r>
        <w:rPr>
          <w:rFonts w:ascii="Bookman Old Style" w:hAnsi="Bookman Old Style" w:cs="Arial"/>
          <w:i/>
          <w:lang w:val="es-ES_tradnl"/>
        </w:rPr>
        <w:t xml:space="preserve"> al ASIC y </w:t>
      </w:r>
      <w:r w:rsidR="006B216F">
        <w:rPr>
          <w:rFonts w:ascii="Bookman Old Style" w:hAnsi="Bookman Old Style" w:cs="Arial"/>
          <w:i/>
          <w:lang w:val="es-ES_tradnl"/>
        </w:rPr>
        <w:t xml:space="preserve">al </w:t>
      </w:r>
      <w:r>
        <w:rPr>
          <w:rFonts w:ascii="Bookman Old Style" w:hAnsi="Bookman Old Style" w:cs="Arial"/>
          <w:i/>
          <w:lang w:val="es-ES_tradnl"/>
        </w:rPr>
        <w:t xml:space="preserve">LAC la preferencia para obtener </w:t>
      </w:r>
      <w:r w:rsidR="00902D65">
        <w:rPr>
          <w:rFonts w:ascii="Bookman Old Style" w:hAnsi="Bookman Old Style" w:cs="Arial"/>
          <w:i/>
          <w:lang w:val="es-ES_tradnl"/>
        </w:rPr>
        <w:t xml:space="preserve">incondicionalmente </w:t>
      </w:r>
      <w:r>
        <w:rPr>
          <w:rFonts w:ascii="Bookman Old Style" w:hAnsi="Bookman Old Style" w:cs="Arial"/>
          <w:i/>
          <w:lang w:val="es-ES_tradnl"/>
        </w:rPr>
        <w:t>de manera inmediata el pago de la obligación garantizada.</w:t>
      </w:r>
    </w:p>
    <w:p w:rsidR="00FA0101" w:rsidRDefault="00FA0101" w:rsidP="006B216F">
      <w:pPr>
        <w:tabs>
          <w:tab w:val="left" w:pos="1701"/>
        </w:tabs>
        <w:ind w:left="1134" w:hanging="567"/>
        <w:jc w:val="both"/>
        <w:rPr>
          <w:rFonts w:ascii="Bookman Old Style" w:hAnsi="Bookman Old Style" w:cs="Arial"/>
          <w:i/>
          <w:lang w:val="es-ES_tradnl"/>
        </w:rPr>
      </w:pPr>
    </w:p>
    <w:p w:rsidR="00BD16A7" w:rsidRDefault="00BD16A7" w:rsidP="006B216F">
      <w:pPr>
        <w:tabs>
          <w:tab w:val="left" w:pos="1701"/>
        </w:tabs>
        <w:ind w:left="1134" w:hanging="567"/>
        <w:jc w:val="both"/>
        <w:rPr>
          <w:rFonts w:ascii="Bookman Old Style" w:hAnsi="Bookman Old Style" w:cs="Arial"/>
          <w:i/>
          <w:lang w:val="es-ES_tradnl"/>
        </w:rPr>
      </w:pPr>
      <w:r>
        <w:rPr>
          <w:rFonts w:ascii="Bookman Old Style" w:hAnsi="Bookman Old Style" w:cs="Arial"/>
          <w:i/>
          <w:lang w:val="es-ES_tradnl"/>
        </w:rPr>
        <w:lastRenderedPageBreak/>
        <w:t>c.</w:t>
      </w:r>
      <w:r>
        <w:rPr>
          <w:rFonts w:ascii="Bookman Old Style" w:hAnsi="Bookman Old Style" w:cs="Arial"/>
          <w:i/>
          <w:lang w:val="es-ES_tradnl"/>
        </w:rPr>
        <w:tab/>
      </w:r>
      <w:r w:rsidR="00DC6A98">
        <w:rPr>
          <w:rFonts w:ascii="Bookman Old Style" w:hAnsi="Bookman Old Style" w:cs="Arial"/>
          <w:i/>
          <w:lang w:val="es-ES_tradnl"/>
        </w:rPr>
        <w:t>Que sean otorgados de manera irrevocable a favor del ASIC, o quien realice sus funciones.</w:t>
      </w:r>
    </w:p>
    <w:p w:rsidR="00FA0101" w:rsidRDefault="00FA0101" w:rsidP="006B216F">
      <w:pPr>
        <w:tabs>
          <w:tab w:val="left" w:pos="1701"/>
        </w:tabs>
        <w:ind w:left="1134" w:hanging="567"/>
        <w:jc w:val="both"/>
        <w:rPr>
          <w:rFonts w:ascii="Bookman Old Style" w:hAnsi="Bookman Old Style" w:cs="Arial"/>
          <w:i/>
          <w:lang w:val="es-ES_tradnl"/>
        </w:rPr>
      </w:pPr>
    </w:p>
    <w:p w:rsidR="00DC6A98" w:rsidRDefault="00DC6A98" w:rsidP="006B216F">
      <w:pPr>
        <w:tabs>
          <w:tab w:val="left" w:pos="1701"/>
        </w:tabs>
        <w:ind w:left="1134" w:hanging="567"/>
        <w:jc w:val="both"/>
        <w:rPr>
          <w:rFonts w:ascii="Bookman Old Style" w:hAnsi="Bookman Old Style" w:cs="Arial"/>
          <w:i/>
          <w:lang w:val="es-ES_tradnl"/>
        </w:rPr>
      </w:pPr>
      <w:r>
        <w:rPr>
          <w:rFonts w:ascii="Bookman Old Style" w:hAnsi="Bookman Old Style" w:cs="Arial"/>
          <w:i/>
          <w:lang w:val="es-ES_tradnl"/>
        </w:rPr>
        <w:t>d.</w:t>
      </w:r>
      <w:r>
        <w:rPr>
          <w:rFonts w:ascii="Bookman Old Style" w:hAnsi="Bookman Old Style" w:cs="Arial"/>
          <w:i/>
          <w:lang w:val="es-ES_tradnl"/>
        </w:rPr>
        <w:tab/>
        <w:t>Que sean líquidos y fácilmente realizables.</w:t>
      </w:r>
    </w:p>
    <w:p w:rsidR="00FA0101" w:rsidRDefault="00FA0101" w:rsidP="006B216F">
      <w:pPr>
        <w:tabs>
          <w:tab w:val="left" w:pos="1701"/>
        </w:tabs>
        <w:ind w:left="1134" w:hanging="567"/>
        <w:jc w:val="both"/>
        <w:rPr>
          <w:rFonts w:ascii="Bookman Old Style" w:hAnsi="Bookman Old Style" w:cs="Arial"/>
          <w:i/>
          <w:lang w:val="es-ES_tradnl"/>
        </w:rPr>
      </w:pPr>
    </w:p>
    <w:p w:rsidR="00DC6A98" w:rsidRDefault="00DC6A98" w:rsidP="006B216F">
      <w:pPr>
        <w:tabs>
          <w:tab w:val="left" w:pos="1701"/>
        </w:tabs>
        <w:ind w:left="1134" w:hanging="567"/>
        <w:jc w:val="both"/>
        <w:rPr>
          <w:rFonts w:ascii="Bookman Old Style" w:hAnsi="Bookman Old Style" w:cs="Arial"/>
          <w:i/>
          <w:lang w:val="es-ES_tradnl"/>
        </w:rPr>
      </w:pPr>
      <w:r>
        <w:rPr>
          <w:rFonts w:ascii="Bookman Old Style" w:hAnsi="Bookman Old Style" w:cs="Arial"/>
          <w:i/>
          <w:lang w:val="es-ES_tradnl"/>
        </w:rPr>
        <w:t>e.</w:t>
      </w:r>
      <w:r>
        <w:rPr>
          <w:rFonts w:ascii="Bookman Old Style" w:hAnsi="Bookman Old Style" w:cs="Arial"/>
          <w:i/>
          <w:lang w:val="es-ES_tradnl"/>
        </w:rPr>
        <w:tab/>
        <w:t>Los Mecanismos Alternativos constituidos deberán tener un valor calculado en moneda legal colombiana.</w:t>
      </w:r>
    </w:p>
    <w:p w:rsidR="00FA0101" w:rsidRDefault="00FA0101" w:rsidP="006B216F">
      <w:pPr>
        <w:tabs>
          <w:tab w:val="left" w:pos="1701"/>
        </w:tabs>
        <w:ind w:left="1134" w:hanging="567"/>
        <w:jc w:val="both"/>
        <w:rPr>
          <w:rFonts w:ascii="Bookman Old Style" w:hAnsi="Bookman Old Style" w:cs="Arial"/>
          <w:i/>
          <w:lang w:val="es-ES_tradnl"/>
        </w:rPr>
      </w:pPr>
    </w:p>
    <w:p w:rsidR="00073ED7" w:rsidRDefault="00DC6A98" w:rsidP="006B216F">
      <w:pPr>
        <w:tabs>
          <w:tab w:val="left" w:pos="1701"/>
        </w:tabs>
        <w:ind w:left="1134" w:hanging="567"/>
        <w:jc w:val="both"/>
        <w:rPr>
          <w:rFonts w:ascii="Bookman Old Style" w:hAnsi="Bookman Old Style"/>
          <w:i/>
        </w:rPr>
      </w:pPr>
      <w:r>
        <w:rPr>
          <w:rFonts w:ascii="Bookman Old Style" w:hAnsi="Bookman Old Style" w:cs="Arial"/>
          <w:i/>
          <w:lang w:val="es-ES_tradnl"/>
        </w:rPr>
        <w:t>f.</w:t>
      </w:r>
      <w:r>
        <w:rPr>
          <w:rFonts w:ascii="Bookman Old Style" w:hAnsi="Bookman Old Style" w:cs="Arial"/>
          <w:i/>
          <w:lang w:val="es-ES_tradnl"/>
        </w:rPr>
        <w:tab/>
      </w:r>
      <w:r w:rsidR="00E43E33" w:rsidRPr="006B216F">
        <w:rPr>
          <w:rFonts w:ascii="Bookman Old Style" w:hAnsi="Bookman Old Style"/>
          <w:i/>
        </w:rPr>
        <w:t xml:space="preserve">Cuando se trate de </w:t>
      </w:r>
      <w:r>
        <w:rPr>
          <w:rFonts w:ascii="Bookman Old Style" w:hAnsi="Bookman Old Style"/>
          <w:i/>
        </w:rPr>
        <w:t>G</w:t>
      </w:r>
      <w:r w:rsidR="00E43E33" w:rsidRPr="006B216F">
        <w:rPr>
          <w:rFonts w:ascii="Bookman Old Style" w:hAnsi="Bookman Old Style"/>
          <w:i/>
        </w:rPr>
        <w:t>arantías otorgadas por una entidad financiera domiciliada en Colombia, ésta deberá contar con una calificación de riesgo crediticio de la deuda de largo plazo de grado de inversión, por parte de una agencia calificadora de riesgos vigilada por la Superintendencia Financiera de Colombia.</w:t>
      </w:r>
    </w:p>
    <w:p w:rsidR="00FA0101" w:rsidRDefault="00FA0101" w:rsidP="006B216F">
      <w:pPr>
        <w:tabs>
          <w:tab w:val="left" w:pos="1701"/>
        </w:tabs>
        <w:ind w:left="1134" w:hanging="567"/>
        <w:jc w:val="both"/>
        <w:rPr>
          <w:rFonts w:ascii="Bookman Old Style" w:hAnsi="Bookman Old Style" w:cs="Arial"/>
          <w:i/>
        </w:rPr>
      </w:pPr>
    </w:p>
    <w:p w:rsidR="00073ED7" w:rsidRDefault="00073ED7" w:rsidP="006B216F">
      <w:pPr>
        <w:tabs>
          <w:tab w:val="left" w:pos="1701"/>
        </w:tabs>
        <w:ind w:left="1134" w:hanging="567"/>
        <w:jc w:val="both"/>
        <w:rPr>
          <w:rFonts w:ascii="Bookman Old Style" w:hAnsi="Bookman Old Style"/>
          <w:i/>
        </w:rPr>
      </w:pPr>
      <w:r>
        <w:rPr>
          <w:rFonts w:ascii="Bookman Old Style" w:hAnsi="Bookman Old Style" w:cs="Arial"/>
          <w:i/>
        </w:rPr>
        <w:t>g.</w:t>
      </w:r>
      <w:r>
        <w:rPr>
          <w:rFonts w:ascii="Bookman Old Style" w:hAnsi="Bookman Old Style"/>
        </w:rPr>
        <w:tab/>
      </w:r>
      <w:r w:rsidR="00E43E33" w:rsidRPr="006B216F">
        <w:rPr>
          <w:rFonts w:ascii="Bookman Old Style" w:hAnsi="Bookman Old Style"/>
          <w:i/>
        </w:rPr>
        <w:t xml:space="preserve">Cuando se trate de garantías otorgadas por una entidad financiera del exterior, ésta deberá estar incluida en el listado de entidades financieras del exterior contenido en el Anexo No. 1 de la Circular Reglamentaria Externa DCIN-83 de 2003 del Banco de la República o en las normas que lo modifiquen o sustituyan, y acreditar una calificación de deuda de largo plazo de Standard &amp; </w:t>
      </w:r>
      <w:proofErr w:type="spellStart"/>
      <w:r w:rsidR="00E43E33" w:rsidRPr="006B216F">
        <w:rPr>
          <w:rFonts w:ascii="Bookman Old Style" w:hAnsi="Bookman Old Style"/>
          <w:i/>
        </w:rPr>
        <w:t>Poor’s</w:t>
      </w:r>
      <w:proofErr w:type="spellEnd"/>
      <w:r w:rsidR="00E43E33" w:rsidRPr="006B216F">
        <w:rPr>
          <w:rFonts w:ascii="Bookman Old Style" w:hAnsi="Bookman Old Style"/>
          <w:i/>
        </w:rPr>
        <w:t xml:space="preserve"> </w:t>
      </w:r>
      <w:proofErr w:type="spellStart"/>
      <w:r w:rsidR="00E43E33" w:rsidRPr="006B216F">
        <w:rPr>
          <w:rFonts w:ascii="Bookman Old Style" w:hAnsi="Bookman Old Style"/>
          <w:i/>
        </w:rPr>
        <w:t>Corporation</w:t>
      </w:r>
      <w:proofErr w:type="spellEnd"/>
      <w:r w:rsidR="00E43E33" w:rsidRPr="006B216F">
        <w:rPr>
          <w:rFonts w:ascii="Bookman Old Style" w:hAnsi="Bookman Old Style"/>
          <w:i/>
        </w:rPr>
        <w:t xml:space="preserve"> o de </w:t>
      </w:r>
      <w:proofErr w:type="spellStart"/>
      <w:r w:rsidR="00E43E33" w:rsidRPr="006B216F">
        <w:rPr>
          <w:rFonts w:ascii="Bookman Old Style" w:hAnsi="Bookman Old Style"/>
          <w:i/>
        </w:rPr>
        <w:t>Moody’s</w:t>
      </w:r>
      <w:proofErr w:type="spellEnd"/>
      <w:r w:rsidR="00E43E33" w:rsidRPr="006B216F">
        <w:rPr>
          <w:rFonts w:ascii="Bookman Old Style" w:hAnsi="Bookman Old Style"/>
          <w:i/>
        </w:rPr>
        <w:t xml:space="preserve"> </w:t>
      </w:r>
      <w:proofErr w:type="spellStart"/>
      <w:r w:rsidR="00E43E33" w:rsidRPr="006B216F">
        <w:rPr>
          <w:rFonts w:ascii="Bookman Old Style" w:hAnsi="Bookman Old Style"/>
          <w:i/>
        </w:rPr>
        <w:t>Investor’s</w:t>
      </w:r>
      <w:proofErr w:type="spellEnd"/>
      <w:r w:rsidR="00E43E33" w:rsidRPr="006B216F">
        <w:rPr>
          <w:rFonts w:ascii="Bookman Old Style" w:hAnsi="Bookman Old Style"/>
          <w:i/>
        </w:rPr>
        <w:t xml:space="preserve"> </w:t>
      </w:r>
      <w:proofErr w:type="spellStart"/>
      <w:r w:rsidR="00E43E33" w:rsidRPr="006B216F">
        <w:rPr>
          <w:rFonts w:ascii="Bookman Old Style" w:hAnsi="Bookman Old Style"/>
          <w:i/>
        </w:rPr>
        <w:t>Services</w:t>
      </w:r>
      <w:proofErr w:type="spellEnd"/>
      <w:r w:rsidR="00E43E33" w:rsidRPr="006B216F">
        <w:rPr>
          <w:rFonts w:ascii="Bookman Old Style" w:hAnsi="Bookman Old Style"/>
          <w:i/>
        </w:rPr>
        <w:t xml:space="preserve"> Inc., de al menos grado de inversión.</w:t>
      </w:r>
    </w:p>
    <w:p w:rsidR="00FA0101" w:rsidRDefault="00FA0101" w:rsidP="006B216F">
      <w:pPr>
        <w:tabs>
          <w:tab w:val="left" w:pos="1701"/>
        </w:tabs>
        <w:ind w:left="1134" w:hanging="567"/>
        <w:jc w:val="both"/>
        <w:rPr>
          <w:rFonts w:ascii="Bookman Old Style" w:hAnsi="Bookman Old Style" w:cs="Arial"/>
          <w:i/>
        </w:rPr>
      </w:pPr>
    </w:p>
    <w:p w:rsidR="00073ED7" w:rsidRDefault="00073ED7" w:rsidP="006B216F">
      <w:pPr>
        <w:tabs>
          <w:tab w:val="left" w:pos="1701"/>
        </w:tabs>
        <w:ind w:left="1134" w:hanging="567"/>
        <w:jc w:val="both"/>
        <w:rPr>
          <w:rFonts w:ascii="Bookman Old Style" w:hAnsi="Bookman Old Style"/>
          <w:i/>
        </w:rPr>
      </w:pPr>
      <w:r>
        <w:rPr>
          <w:rFonts w:ascii="Bookman Old Style" w:hAnsi="Bookman Old Style" w:cs="Arial"/>
          <w:i/>
        </w:rPr>
        <w:t>h.</w:t>
      </w:r>
      <w:r>
        <w:rPr>
          <w:rFonts w:ascii="Bookman Old Style" w:hAnsi="Bookman Old Style"/>
        </w:rPr>
        <w:tab/>
      </w:r>
      <w:r w:rsidR="00E43E33" w:rsidRPr="006B216F">
        <w:rPr>
          <w:rFonts w:ascii="Bookman Old Style" w:hAnsi="Bookman Old Style"/>
          <w:i/>
        </w:rPr>
        <w:t xml:space="preserve">Que el requerimiento de la </w:t>
      </w:r>
      <w:r w:rsidR="00241583">
        <w:rPr>
          <w:rFonts w:ascii="Bookman Old Style" w:hAnsi="Bookman Old Style"/>
          <w:i/>
        </w:rPr>
        <w:t>G</w:t>
      </w:r>
      <w:r w:rsidR="00E43E33" w:rsidRPr="006B216F">
        <w:rPr>
          <w:rFonts w:ascii="Bookman Old Style" w:hAnsi="Bookman Old Style"/>
          <w:i/>
        </w:rPr>
        <w:t>arantía por parte del beneficiario pueda realizarse en la ciudad donde éste se encuentre localizado.</w:t>
      </w:r>
    </w:p>
    <w:p w:rsidR="00FA0101" w:rsidRDefault="00FA0101" w:rsidP="006B216F">
      <w:pPr>
        <w:tabs>
          <w:tab w:val="left" w:pos="1701"/>
        </w:tabs>
        <w:ind w:left="1134" w:hanging="567"/>
        <w:jc w:val="both"/>
        <w:rPr>
          <w:rFonts w:ascii="Bookman Old Style" w:hAnsi="Bookman Old Style" w:cs="Arial"/>
          <w:i/>
        </w:rPr>
      </w:pPr>
    </w:p>
    <w:p w:rsidR="00241583" w:rsidRDefault="00073ED7" w:rsidP="006B216F">
      <w:pPr>
        <w:tabs>
          <w:tab w:val="left" w:pos="1701"/>
        </w:tabs>
        <w:ind w:left="1134" w:hanging="567"/>
        <w:jc w:val="both"/>
        <w:rPr>
          <w:rFonts w:ascii="Bookman Old Style" w:hAnsi="Bookman Old Style"/>
          <w:i/>
        </w:rPr>
      </w:pPr>
      <w:r>
        <w:rPr>
          <w:rFonts w:ascii="Bookman Old Style" w:hAnsi="Bookman Old Style" w:cs="Arial"/>
          <w:i/>
        </w:rPr>
        <w:t>i.</w:t>
      </w:r>
      <w:r>
        <w:rPr>
          <w:rFonts w:ascii="Bookman Old Style" w:hAnsi="Bookman Old Style"/>
        </w:rPr>
        <w:tab/>
      </w:r>
      <w:r w:rsidR="00E43E33" w:rsidRPr="006B216F">
        <w:rPr>
          <w:rFonts w:ascii="Bookman Old Style" w:hAnsi="Bookman Old Style"/>
          <w:i/>
        </w:rPr>
        <w:t>Que la entidad otorgante</w:t>
      </w:r>
      <w:r w:rsidR="00241583">
        <w:rPr>
          <w:rFonts w:ascii="Bookman Old Style" w:hAnsi="Bookman Old Style"/>
          <w:i/>
        </w:rPr>
        <w:t xml:space="preserve"> de la Garantía</w:t>
      </w:r>
      <w:r w:rsidR="00E43E33" w:rsidRPr="006B216F">
        <w:rPr>
          <w:rFonts w:ascii="Bookman Old Style" w:hAnsi="Bookman Old Style"/>
          <w:i/>
        </w:rPr>
        <w:t xml:space="preserve"> pague al primer requerimiento del beneficiario.</w:t>
      </w:r>
    </w:p>
    <w:p w:rsidR="00FA0101" w:rsidRDefault="00FA0101" w:rsidP="006B216F">
      <w:pPr>
        <w:tabs>
          <w:tab w:val="left" w:pos="1701"/>
        </w:tabs>
        <w:ind w:left="1134" w:hanging="567"/>
        <w:jc w:val="both"/>
        <w:rPr>
          <w:rFonts w:ascii="Bookman Old Style" w:hAnsi="Bookman Old Style" w:cs="Arial"/>
          <w:i/>
        </w:rPr>
      </w:pPr>
    </w:p>
    <w:p w:rsidR="00241583" w:rsidRDefault="00241583" w:rsidP="006B216F">
      <w:pPr>
        <w:tabs>
          <w:tab w:val="left" w:pos="1701"/>
        </w:tabs>
        <w:ind w:left="1134" w:hanging="567"/>
        <w:jc w:val="both"/>
        <w:rPr>
          <w:rFonts w:ascii="Bookman Old Style" w:hAnsi="Bookman Old Style"/>
          <w:i/>
        </w:rPr>
      </w:pPr>
      <w:r>
        <w:rPr>
          <w:rFonts w:ascii="Bookman Old Style" w:hAnsi="Bookman Old Style" w:cs="Arial"/>
          <w:i/>
        </w:rPr>
        <w:t>j.</w:t>
      </w:r>
      <w:r>
        <w:rPr>
          <w:rFonts w:ascii="Bookman Old Style" w:hAnsi="Bookman Old Style"/>
        </w:rPr>
        <w:tab/>
      </w:r>
      <w:r w:rsidR="00E43E33" w:rsidRPr="006B216F">
        <w:rPr>
          <w:rFonts w:ascii="Bookman Old Style" w:hAnsi="Bookman Old Style"/>
          <w:i/>
        </w:rPr>
        <w:t xml:space="preserve">Que la entidad otorgante </w:t>
      </w:r>
      <w:r w:rsidRPr="006B216F">
        <w:rPr>
          <w:rFonts w:ascii="Bookman Old Style" w:hAnsi="Bookman Old Style"/>
          <w:i/>
        </w:rPr>
        <w:t xml:space="preserve">de la Garantía </w:t>
      </w:r>
      <w:r w:rsidR="00E43E33" w:rsidRPr="006B216F">
        <w:rPr>
          <w:rFonts w:ascii="Bookman Old Style" w:hAnsi="Bookman Old Style"/>
          <w:i/>
        </w:rPr>
        <w:t>pague dentro de los dos (2) días hábiles siguientes a la fecha en que se realice el primer requerimiento, cuando se trate de una entidad financiera domiciliada en Colombia, o dentro de los quince (15) días calendario siguientes a la fecha en que se realice el primer requerimiento, siempre que se trate de una entidad financiera del exterior.</w:t>
      </w:r>
    </w:p>
    <w:p w:rsidR="007472F8" w:rsidRDefault="007472F8" w:rsidP="006B216F">
      <w:pPr>
        <w:tabs>
          <w:tab w:val="left" w:pos="1701"/>
        </w:tabs>
        <w:ind w:left="1134" w:hanging="567"/>
        <w:jc w:val="both"/>
        <w:rPr>
          <w:rFonts w:ascii="Bookman Old Style" w:hAnsi="Bookman Old Style"/>
          <w:i/>
        </w:rPr>
      </w:pPr>
    </w:p>
    <w:p w:rsidR="00494EC6" w:rsidRDefault="00241583" w:rsidP="006B216F">
      <w:pPr>
        <w:tabs>
          <w:tab w:val="left" w:pos="1701"/>
        </w:tabs>
        <w:ind w:left="1134" w:hanging="567"/>
        <w:jc w:val="both"/>
        <w:rPr>
          <w:rFonts w:ascii="Bookman Old Style" w:hAnsi="Bookman Old Style"/>
          <w:i/>
        </w:rPr>
      </w:pPr>
      <w:r>
        <w:rPr>
          <w:rFonts w:ascii="Bookman Old Style" w:hAnsi="Bookman Old Style" w:cs="Arial"/>
          <w:i/>
        </w:rPr>
        <w:t>k.</w:t>
      </w:r>
      <w:r>
        <w:rPr>
          <w:rFonts w:ascii="Bookman Old Style" w:hAnsi="Bookman Old Style"/>
        </w:rPr>
        <w:tab/>
      </w:r>
      <w:r w:rsidR="00E43E33" w:rsidRPr="006B216F">
        <w:rPr>
          <w:rFonts w:ascii="Bookman Old Style" w:hAnsi="Bookman Old Style"/>
          <w:i/>
        </w:rPr>
        <w:t xml:space="preserve">Que el valor pagado por la entidad otorgante </w:t>
      </w:r>
      <w:r w:rsidRPr="006B216F">
        <w:rPr>
          <w:rFonts w:ascii="Bookman Old Style" w:hAnsi="Bookman Old Style"/>
          <w:i/>
        </w:rPr>
        <w:t xml:space="preserve">de la Garantía </w:t>
      </w:r>
      <w:r w:rsidR="00E43E33" w:rsidRPr="006B216F">
        <w:rPr>
          <w:rFonts w:ascii="Bookman Old Style" w:hAnsi="Bookman Old Style"/>
          <w:i/>
        </w:rPr>
        <w:t xml:space="preserve">sea igual al valor total de la cobertura conforme a lo indicado en el presente Reglamento. Por tanto, el valor pagado debe ser neto, libre de cualquier tipo de deducción, depósito, comisión, encaje, impuesto, tasa, contribución, afectación o retención por parte de la entidad financiera otorgante y/o de las autoridades cambiarias, tributarias o de cualquier otra índole que pueda afectar el valor del desembolso de la </w:t>
      </w:r>
      <w:r w:rsidR="00494EC6">
        <w:rPr>
          <w:rFonts w:ascii="Bookman Old Style" w:hAnsi="Bookman Old Style"/>
          <w:i/>
        </w:rPr>
        <w:t>G</w:t>
      </w:r>
      <w:r w:rsidR="00E43E33" w:rsidRPr="006B216F">
        <w:rPr>
          <w:rFonts w:ascii="Bookman Old Style" w:hAnsi="Bookman Old Style"/>
          <w:i/>
        </w:rPr>
        <w:t>arantí</w:t>
      </w:r>
      <w:r w:rsidRPr="00241583">
        <w:rPr>
          <w:rFonts w:ascii="Bookman Old Style" w:hAnsi="Bookman Old Style"/>
          <w:i/>
        </w:rPr>
        <w:t>a.</w:t>
      </w:r>
    </w:p>
    <w:p w:rsidR="00FA0101" w:rsidRDefault="00FA0101" w:rsidP="006B216F">
      <w:pPr>
        <w:tabs>
          <w:tab w:val="left" w:pos="1701"/>
        </w:tabs>
        <w:ind w:left="1134" w:hanging="567"/>
        <w:jc w:val="both"/>
        <w:rPr>
          <w:rFonts w:ascii="Bookman Old Style" w:hAnsi="Bookman Old Style" w:cs="Arial"/>
          <w:i/>
        </w:rPr>
      </w:pPr>
    </w:p>
    <w:p w:rsidR="00494EC6" w:rsidRDefault="00494EC6" w:rsidP="006B216F">
      <w:pPr>
        <w:tabs>
          <w:tab w:val="left" w:pos="1701"/>
        </w:tabs>
        <w:ind w:left="1134" w:hanging="567"/>
        <w:jc w:val="both"/>
        <w:rPr>
          <w:rFonts w:ascii="Bookman Old Style" w:hAnsi="Bookman Old Style"/>
          <w:i/>
        </w:rPr>
      </w:pPr>
      <w:r>
        <w:rPr>
          <w:rFonts w:ascii="Bookman Old Style" w:hAnsi="Bookman Old Style" w:cs="Arial"/>
          <w:i/>
        </w:rPr>
        <w:t>l.</w:t>
      </w:r>
      <w:r>
        <w:rPr>
          <w:rFonts w:ascii="Bookman Old Style" w:hAnsi="Bookman Old Style"/>
        </w:rPr>
        <w:tab/>
      </w:r>
      <w:r w:rsidR="00E43E33" w:rsidRPr="006B216F">
        <w:rPr>
          <w:rFonts w:ascii="Bookman Old Style" w:hAnsi="Bookman Old Style"/>
          <w:i/>
        </w:rPr>
        <w:t xml:space="preserve">Que la entidad otorgante de la </w:t>
      </w:r>
      <w:r>
        <w:rPr>
          <w:rFonts w:ascii="Bookman Old Style" w:hAnsi="Bookman Old Style"/>
          <w:i/>
        </w:rPr>
        <w:t>G</w:t>
      </w:r>
      <w:r w:rsidR="00E43E33" w:rsidRPr="006B216F">
        <w:rPr>
          <w:rFonts w:ascii="Bookman Old Style" w:hAnsi="Bookman Old Style"/>
          <w:i/>
        </w:rPr>
        <w:t>arantía renuncie a requerimientos judiciales, extrajudiciales o de cualquier otro tipo, para el pago de la obligación garantizada, tanto en Colombia como en el exterior.</w:t>
      </w:r>
    </w:p>
    <w:p w:rsidR="00FA0101" w:rsidRDefault="00FA0101" w:rsidP="006B216F">
      <w:pPr>
        <w:tabs>
          <w:tab w:val="left" w:pos="1701"/>
        </w:tabs>
        <w:ind w:left="1134" w:hanging="567"/>
        <w:jc w:val="both"/>
        <w:rPr>
          <w:rFonts w:ascii="Bookman Old Style" w:hAnsi="Bookman Old Style" w:cs="Arial"/>
          <w:i/>
        </w:rPr>
      </w:pPr>
    </w:p>
    <w:p w:rsidR="00494EC6" w:rsidRDefault="00494EC6" w:rsidP="006B216F">
      <w:pPr>
        <w:tabs>
          <w:tab w:val="left" w:pos="1701"/>
        </w:tabs>
        <w:ind w:left="1134" w:hanging="567"/>
        <w:jc w:val="both"/>
        <w:rPr>
          <w:rFonts w:ascii="Bookman Old Style" w:hAnsi="Bookman Old Style"/>
        </w:rPr>
      </w:pPr>
      <w:r>
        <w:rPr>
          <w:rFonts w:ascii="Bookman Old Style" w:hAnsi="Bookman Old Style" w:cs="Arial"/>
          <w:i/>
        </w:rPr>
        <w:t>m.</w:t>
      </w:r>
      <w:r>
        <w:rPr>
          <w:rFonts w:ascii="Bookman Old Style" w:hAnsi="Bookman Old Style"/>
        </w:rPr>
        <w:tab/>
      </w:r>
      <w:r w:rsidRPr="006B216F">
        <w:rPr>
          <w:rFonts w:ascii="Bookman Old Style" w:hAnsi="Bookman Old Style"/>
          <w:i/>
        </w:rPr>
        <w:t>Cuando se trate de G</w:t>
      </w:r>
      <w:r w:rsidR="00E43E33" w:rsidRPr="006B216F">
        <w:rPr>
          <w:rFonts w:ascii="Bookman Old Style" w:hAnsi="Bookman Old Style"/>
          <w:i/>
        </w:rPr>
        <w:t>arantías expedidas por entidades financieras domiciliad</w:t>
      </w:r>
      <w:r w:rsidRPr="006B216F">
        <w:rPr>
          <w:rFonts w:ascii="Bookman Old Style" w:hAnsi="Bookman Old Style"/>
          <w:i/>
        </w:rPr>
        <w:t>as en Colombia, el valor de la G</w:t>
      </w:r>
      <w:r w:rsidR="00E43E33" w:rsidRPr="006B216F">
        <w:rPr>
          <w:rFonts w:ascii="Bookman Old Style" w:hAnsi="Bookman Old Style"/>
          <w:i/>
        </w:rPr>
        <w:t xml:space="preserve">arantía constituida deberá estar calculado en moneda legal colombiana y ser </w:t>
      </w:r>
      <w:r w:rsidR="0075146E">
        <w:rPr>
          <w:rFonts w:ascii="Bookman Old Style" w:hAnsi="Bookman Old Style"/>
          <w:i/>
        </w:rPr>
        <w:t>exigible de acuerdo con la Ley c</w:t>
      </w:r>
      <w:r w:rsidR="00E43E33" w:rsidRPr="006B216F">
        <w:rPr>
          <w:rFonts w:ascii="Bookman Old Style" w:hAnsi="Bookman Old Style"/>
          <w:i/>
        </w:rPr>
        <w:t>olombiana.</w:t>
      </w:r>
    </w:p>
    <w:p w:rsidR="00E43E33" w:rsidRPr="006B216F" w:rsidRDefault="00494EC6" w:rsidP="006B216F">
      <w:pPr>
        <w:tabs>
          <w:tab w:val="left" w:pos="1701"/>
        </w:tabs>
        <w:ind w:left="1134" w:hanging="567"/>
        <w:jc w:val="both"/>
        <w:rPr>
          <w:rFonts w:ascii="Bookman Old Style" w:hAnsi="Bookman Old Style"/>
          <w:i/>
        </w:rPr>
      </w:pPr>
      <w:r w:rsidRPr="005A430E">
        <w:rPr>
          <w:rFonts w:ascii="Bookman Old Style" w:hAnsi="Bookman Old Style" w:cs="Arial"/>
          <w:i/>
        </w:rPr>
        <w:lastRenderedPageBreak/>
        <w:t>n.</w:t>
      </w:r>
      <w:r w:rsidRPr="006B216F">
        <w:rPr>
          <w:rFonts w:ascii="Bookman Old Style" w:hAnsi="Bookman Old Style"/>
          <w:i/>
        </w:rPr>
        <w:tab/>
      </w:r>
      <w:r w:rsidR="00E43E33" w:rsidRPr="006B216F">
        <w:rPr>
          <w:rFonts w:ascii="Bookman Old Style" w:hAnsi="Bookman Old Style"/>
          <w:i/>
        </w:rPr>
        <w:t xml:space="preserve">Cuando se trate de </w:t>
      </w:r>
      <w:r w:rsidRPr="006B216F">
        <w:rPr>
          <w:rFonts w:ascii="Bookman Old Style" w:hAnsi="Bookman Old Style"/>
          <w:i/>
        </w:rPr>
        <w:t>G</w:t>
      </w:r>
      <w:r w:rsidR="00E43E33" w:rsidRPr="006B216F">
        <w:rPr>
          <w:rFonts w:ascii="Bookman Old Style" w:hAnsi="Bookman Old Style"/>
          <w:i/>
        </w:rPr>
        <w:t xml:space="preserve">arantías expedidas por entidades financieras del exterior, el valor de la </w:t>
      </w:r>
      <w:r w:rsidRPr="006B216F">
        <w:rPr>
          <w:rFonts w:ascii="Bookman Old Style" w:hAnsi="Bookman Old Style"/>
          <w:i/>
        </w:rPr>
        <w:t>G</w:t>
      </w:r>
      <w:r w:rsidR="00E43E33" w:rsidRPr="006B216F">
        <w:rPr>
          <w:rFonts w:ascii="Bookman Old Style" w:hAnsi="Bookman Old Style"/>
          <w:i/>
        </w:rPr>
        <w:t xml:space="preserve">arantía constituida deberá estar calculado en dólares de los Estados Unidos de América, y ser exigible de acuerdo con las Normas RRUU 600 de la Cámara de Comercio Internacional, CCI, (ICC </w:t>
      </w:r>
      <w:proofErr w:type="spellStart"/>
      <w:r w:rsidR="00E43E33" w:rsidRPr="006B216F">
        <w:rPr>
          <w:rFonts w:ascii="Bookman Old Style" w:hAnsi="Bookman Old Style"/>
          <w:i/>
        </w:rPr>
        <w:t>Uniform</w:t>
      </w:r>
      <w:proofErr w:type="spellEnd"/>
      <w:r w:rsidR="00E43E33" w:rsidRPr="006B216F">
        <w:rPr>
          <w:rFonts w:ascii="Bookman Old Style" w:hAnsi="Bookman Old Style"/>
          <w:i/>
        </w:rPr>
        <w:t xml:space="preserve"> </w:t>
      </w:r>
      <w:proofErr w:type="spellStart"/>
      <w:r w:rsidR="00E43E33" w:rsidRPr="006B216F">
        <w:rPr>
          <w:rFonts w:ascii="Bookman Old Style" w:hAnsi="Bookman Old Style"/>
          <w:i/>
        </w:rPr>
        <w:t>Customs</w:t>
      </w:r>
      <w:proofErr w:type="spellEnd"/>
      <w:r w:rsidR="00E43E33" w:rsidRPr="006B216F">
        <w:rPr>
          <w:rFonts w:ascii="Bookman Old Style" w:hAnsi="Bookman Old Style"/>
          <w:i/>
        </w:rPr>
        <w:t xml:space="preserve"> and </w:t>
      </w:r>
      <w:proofErr w:type="spellStart"/>
      <w:r w:rsidR="00E43E33" w:rsidRPr="006B216F">
        <w:rPr>
          <w:rFonts w:ascii="Bookman Old Style" w:hAnsi="Bookman Old Style"/>
          <w:i/>
        </w:rPr>
        <w:t>Practice</w:t>
      </w:r>
      <w:proofErr w:type="spellEnd"/>
      <w:r w:rsidR="00E43E33" w:rsidRPr="006B216F">
        <w:rPr>
          <w:rFonts w:ascii="Bookman Old Style" w:hAnsi="Bookman Old Style"/>
          <w:i/>
        </w:rPr>
        <w:t xml:space="preserve"> </w:t>
      </w:r>
      <w:proofErr w:type="spellStart"/>
      <w:r w:rsidR="00E43E33" w:rsidRPr="006B216F">
        <w:rPr>
          <w:rFonts w:ascii="Bookman Old Style" w:hAnsi="Bookman Old Style"/>
          <w:i/>
        </w:rPr>
        <w:t>for</w:t>
      </w:r>
      <w:proofErr w:type="spellEnd"/>
      <w:r w:rsidR="00E43E33" w:rsidRPr="006B216F">
        <w:rPr>
          <w:rFonts w:ascii="Bookman Old Style" w:hAnsi="Bookman Old Style"/>
          <w:i/>
        </w:rPr>
        <w:t xml:space="preserve"> </w:t>
      </w:r>
      <w:proofErr w:type="spellStart"/>
      <w:r w:rsidR="00E43E33" w:rsidRPr="006B216F">
        <w:rPr>
          <w:rFonts w:ascii="Bookman Old Style" w:hAnsi="Bookman Old Style"/>
          <w:i/>
        </w:rPr>
        <w:t>Documentary</w:t>
      </w:r>
      <w:proofErr w:type="spellEnd"/>
      <w:r w:rsidR="00E43E33" w:rsidRPr="006B216F">
        <w:rPr>
          <w:rFonts w:ascii="Bookman Old Style" w:hAnsi="Bookman Old Style"/>
          <w:i/>
        </w:rPr>
        <w:t xml:space="preserve"> </w:t>
      </w:r>
      <w:proofErr w:type="spellStart"/>
      <w:r w:rsidR="00E43E33" w:rsidRPr="006B216F">
        <w:rPr>
          <w:rFonts w:ascii="Bookman Old Style" w:hAnsi="Bookman Old Style"/>
          <w:i/>
        </w:rPr>
        <w:t>Credits</w:t>
      </w:r>
      <w:proofErr w:type="spellEnd"/>
      <w:r w:rsidR="00E43E33" w:rsidRPr="006B216F">
        <w:rPr>
          <w:rFonts w:ascii="Bookman Old Style" w:hAnsi="Bookman Old Style"/>
          <w:i/>
        </w:rPr>
        <w:t xml:space="preserve"> UCP 600) o aquellas Normas que las modifiquen, adicionan o sustituyan y con las Normas del estado Nueva York de los Estados Unidos de América. Cualquier disputa que pueda surgir en relación con la </w:t>
      </w:r>
      <w:r w:rsidRPr="006B216F">
        <w:rPr>
          <w:rFonts w:ascii="Bookman Old Style" w:hAnsi="Bookman Old Style"/>
          <w:i/>
        </w:rPr>
        <w:t>G</w:t>
      </w:r>
      <w:r w:rsidR="00E43E33" w:rsidRPr="006B216F">
        <w:rPr>
          <w:rFonts w:ascii="Bookman Old Style" w:hAnsi="Bookman Old Style"/>
          <w:i/>
        </w:rPr>
        <w:t xml:space="preserve">arantía entre el beneficiario y el otorgante, será resuelta definitivamente bajo las reglas de Conciliación y Arbitraje de la CCI, por uno o más árbitros designados, de acuerdo con las mencionadas reglas. En todo caso, uno de los árbitros será de nacionalidad </w:t>
      </w:r>
      <w:r w:rsidR="0075146E">
        <w:rPr>
          <w:rFonts w:ascii="Bookman Old Style" w:hAnsi="Bookman Old Style"/>
          <w:i/>
        </w:rPr>
        <w:t>c</w:t>
      </w:r>
      <w:r w:rsidR="00E43E33" w:rsidRPr="006B216F">
        <w:rPr>
          <w:rFonts w:ascii="Bookman Old Style" w:hAnsi="Bookman Old Style"/>
          <w:i/>
        </w:rPr>
        <w:t>olombiana.</w:t>
      </w:r>
    </w:p>
    <w:p w:rsidR="00E43E33" w:rsidRPr="006B216F" w:rsidRDefault="00E43E33" w:rsidP="00E43E33">
      <w:pPr>
        <w:tabs>
          <w:tab w:val="num" w:pos="993"/>
        </w:tabs>
        <w:ind w:left="0"/>
        <w:jc w:val="both"/>
        <w:rPr>
          <w:rFonts w:ascii="Bookman Old Style" w:hAnsi="Bookman Old Style" w:cs="Arial"/>
          <w:i/>
        </w:rPr>
      </w:pPr>
    </w:p>
    <w:p w:rsidR="00E43E33" w:rsidRPr="006B216F" w:rsidRDefault="00E43E33" w:rsidP="006B216F">
      <w:pPr>
        <w:tabs>
          <w:tab w:val="num" w:pos="993"/>
        </w:tabs>
        <w:jc w:val="both"/>
        <w:rPr>
          <w:rFonts w:ascii="Bookman Old Style" w:hAnsi="Bookman Old Style" w:cs="Arial"/>
          <w:i/>
        </w:rPr>
      </w:pPr>
      <w:r w:rsidRPr="006B216F">
        <w:rPr>
          <w:rFonts w:ascii="Bookman Old Style" w:hAnsi="Bookman Old Style" w:cs="Arial"/>
          <w:b/>
          <w:i/>
        </w:rPr>
        <w:t xml:space="preserve">Parágrafo </w:t>
      </w:r>
      <w:r w:rsidR="005A430E" w:rsidRPr="006B216F">
        <w:rPr>
          <w:rFonts w:ascii="Bookman Old Style" w:hAnsi="Bookman Old Style" w:cs="Arial"/>
          <w:b/>
          <w:i/>
        </w:rPr>
        <w:t>1</w:t>
      </w:r>
      <w:r w:rsidRPr="006B216F">
        <w:rPr>
          <w:rFonts w:ascii="Bookman Old Style" w:hAnsi="Bookman Old Style" w:cs="Arial"/>
          <w:b/>
          <w:i/>
        </w:rPr>
        <w:t>:</w:t>
      </w:r>
      <w:r w:rsidRPr="006B216F">
        <w:rPr>
          <w:rFonts w:ascii="Bookman Old Style" w:hAnsi="Bookman Old Style" w:cs="Arial"/>
          <w:i/>
        </w:rPr>
        <w:t xml:space="preserve"> Para efectos de demostrar el cumplimiento de los criterios </w:t>
      </w:r>
      <w:r w:rsidR="00494EC6" w:rsidRPr="006B216F">
        <w:rPr>
          <w:rFonts w:ascii="Bookman Old Style" w:hAnsi="Bookman Old Style" w:cs="Arial"/>
          <w:i/>
        </w:rPr>
        <w:t xml:space="preserve">f y g </w:t>
      </w:r>
      <w:r w:rsidRPr="006B216F">
        <w:rPr>
          <w:rFonts w:ascii="Bookman Old Style" w:hAnsi="Bookman Old Style" w:cs="Arial"/>
          <w:i/>
        </w:rPr>
        <w:t xml:space="preserve">del presente artículo, </w:t>
      </w:r>
      <w:r w:rsidR="005A430E">
        <w:rPr>
          <w:rFonts w:ascii="Bookman Old Style" w:hAnsi="Bookman Old Style" w:cs="Arial"/>
          <w:i/>
        </w:rPr>
        <w:t>el agente que presente la Garantía</w:t>
      </w:r>
      <w:r w:rsidR="005A430E" w:rsidRPr="005A430E">
        <w:rPr>
          <w:rFonts w:ascii="Bookman Old Style" w:hAnsi="Bookman Old Style" w:cs="Arial"/>
          <w:i/>
        </w:rPr>
        <w:t xml:space="preserve"> deberá</w:t>
      </w:r>
      <w:r w:rsidRPr="006B216F">
        <w:rPr>
          <w:rFonts w:ascii="Bookman Old Style" w:hAnsi="Bookman Old Style" w:cs="Arial"/>
          <w:i/>
        </w:rPr>
        <w:t xml:space="preserve"> acreditar ante el </w:t>
      </w:r>
      <w:r w:rsidR="005A430E">
        <w:rPr>
          <w:rFonts w:ascii="Bookman Old Style" w:hAnsi="Bookman Old Style" w:cs="Arial"/>
          <w:i/>
        </w:rPr>
        <w:t>ASIC</w:t>
      </w:r>
      <w:r w:rsidRPr="006B216F">
        <w:rPr>
          <w:rFonts w:ascii="Bookman Old Style" w:hAnsi="Bookman Old Style" w:cs="Arial"/>
          <w:i/>
        </w:rPr>
        <w:t>, al momento de presentaci</w:t>
      </w:r>
      <w:r w:rsidR="00494EC6" w:rsidRPr="006B216F">
        <w:rPr>
          <w:rFonts w:ascii="Bookman Old Style" w:hAnsi="Bookman Old Style" w:cs="Arial"/>
          <w:i/>
        </w:rPr>
        <w:t>ón, ajuste o reposición de las G</w:t>
      </w:r>
      <w:r w:rsidRPr="006B216F">
        <w:rPr>
          <w:rFonts w:ascii="Bookman Old Style" w:hAnsi="Bookman Old Style" w:cs="Arial"/>
          <w:i/>
        </w:rPr>
        <w:t xml:space="preserve">arantías, que la entidad financiera otorgante satisface los requerimientos indicados en estos criterios. </w:t>
      </w:r>
    </w:p>
    <w:p w:rsidR="00E43E33" w:rsidRPr="006B216F" w:rsidRDefault="00E43E33" w:rsidP="006B216F">
      <w:pPr>
        <w:tabs>
          <w:tab w:val="num" w:pos="993"/>
        </w:tabs>
        <w:jc w:val="both"/>
        <w:rPr>
          <w:rFonts w:ascii="Bookman Old Style" w:hAnsi="Bookman Old Style" w:cs="Arial"/>
          <w:i/>
        </w:rPr>
      </w:pPr>
    </w:p>
    <w:p w:rsidR="00E43E33" w:rsidRPr="00887636" w:rsidRDefault="005A430E" w:rsidP="006B216F">
      <w:pPr>
        <w:tabs>
          <w:tab w:val="num" w:pos="993"/>
        </w:tabs>
        <w:jc w:val="both"/>
        <w:rPr>
          <w:rFonts w:ascii="Bookman Old Style" w:hAnsi="Bookman Old Style" w:cs="Arial"/>
        </w:rPr>
      </w:pPr>
      <w:r w:rsidRPr="006B216F">
        <w:rPr>
          <w:rFonts w:ascii="Bookman Old Style" w:hAnsi="Bookman Old Style" w:cs="Arial"/>
          <w:b/>
          <w:i/>
        </w:rPr>
        <w:t>Parágrafo 2</w:t>
      </w:r>
      <w:r w:rsidR="00E43E33" w:rsidRPr="006B216F">
        <w:rPr>
          <w:rFonts w:ascii="Bookman Old Style" w:hAnsi="Bookman Old Style" w:cs="Arial"/>
          <w:i/>
        </w:rPr>
        <w:t xml:space="preserve">. Para la aceptación de una garantía otorgada por una entidad financiera del exterior, el </w:t>
      </w:r>
      <w:r w:rsidR="00FE51C5">
        <w:rPr>
          <w:rFonts w:ascii="Bookman Old Style" w:hAnsi="Bookman Old Style" w:cs="Arial"/>
          <w:i/>
        </w:rPr>
        <w:t>agente que presente la Garantía</w:t>
      </w:r>
      <w:r w:rsidR="00E43E33" w:rsidRPr="006B216F">
        <w:rPr>
          <w:rFonts w:ascii="Bookman Old Style" w:hAnsi="Bookman Old Style" w:cs="Arial"/>
          <w:i/>
        </w:rPr>
        <w:t xml:space="preserve"> deberá adjuntar los formularios debidamente diligenciados y registrados ante el Banco de la República y que, de acuerdo con las </w:t>
      </w:r>
      <w:r w:rsidR="0064060B">
        <w:rPr>
          <w:rFonts w:ascii="Bookman Old Style" w:hAnsi="Bookman Old Style" w:cs="Arial"/>
          <w:i/>
        </w:rPr>
        <w:t>n</w:t>
      </w:r>
      <w:r w:rsidR="00E43E33" w:rsidRPr="006B216F">
        <w:rPr>
          <w:rFonts w:ascii="Bookman Old Style" w:hAnsi="Bookman Old Style" w:cs="Arial"/>
          <w:i/>
        </w:rPr>
        <w:t xml:space="preserve">ormas del mismo, sean necesarios para el cobro de la garantía por parte del </w:t>
      </w:r>
      <w:r w:rsidR="00FE51C5">
        <w:rPr>
          <w:rFonts w:ascii="Bookman Old Style" w:hAnsi="Bookman Old Style" w:cs="Arial"/>
          <w:i/>
        </w:rPr>
        <w:t>ASIC</w:t>
      </w:r>
      <w:r w:rsidR="005D7123">
        <w:rPr>
          <w:rFonts w:ascii="Bookman Old Style" w:hAnsi="Bookman Old Style" w:cs="Arial"/>
          <w:i/>
        </w:rPr>
        <w:t>.</w:t>
      </w:r>
      <w:r w:rsidR="00494EC6" w:rsidRPr="006B216F">
        <w:rPr>
          <w:rFonts w:ascii="Bookman Old Style" w:hAnsi="Bookman Old Style" w:cs="Arial"/>
          <w:i/>
        </w:rPr>
        <w:t>”</w:t>
      </w:r>
    </w:p>
    <w:p w:rsidR="00757DCA" w:rsidRPr="007472F8" w:rsidRDefault="00757DCA" w:rsidP="009A3947">
      <w:pPr>
        <w:tabs>
          <w:tab w:val="left" w:pos="1701"/>
        </w:tabs>
        <w:ind w:left="142"/>
        <w:jc w:val="both"/>
        <w:rPr>
          <w:rFonts w:ascii="Bookman Old Style" w:hAnsi="Bookman Old Style" w:cs="Arial"/>
          <w:b/>
          <w:bCs/>
          <w:sz w:val="32"/>
        </w:rPr>
      </w:pPr>
    </w:p>
    <w:p w:rsidR="009A3947" w:rsidRPr="008D4E66" w:rsidRDefault="009A3947" w:rsidP="0041145E">
      <w:pPr>
        <w:numPr>
          <w:ilvl w:val="0"/>
          <w:numId w:val="7"/>
        </w:numPr>
        <w:tabs>
          <w:tab w:val="num" w:pos="1440"/>
          <w:tab w:val="left" w:pos="1701"/>
        </w:tabs>
        <w:ind w:left="0"/>
        <w:jc w:val="both"/>
        <w:rPr>
          <w:rFonts w:ascii="Bookman Old Style" w:hAnsi="Bookman Old Style" w:cs="Arial"/>
          <w:b/>
          <w:bCs/>
        </w:rPr>
      </w:pPr>
      <w:r w:rsidRPr="008D4E66">
        <w:rPr>
          <w:rFonts w:ascii="Bookman Old Style" w:hAnsi="Bookman Old Style" w:cs="Arial"/>
          <w:b/>
          <w:bCs/>
        </w:rPr>
        <w:t xml:space="preserve">Modificación del artículo </w:t>
      </w:r>
      <w:r w:rsidR="00AC619A" w:rsidRPr="008D4E66">
        <w:rPr>
          <w:rFonts w:ascii="Bookman Old Style" w:hAnsi="Bookman Old Style" w:cs="Arial"/>
          <w:b/>
          <w:bCs/>
        </w:rPr>
        <w:t>3</w:t>
      </w:r>
      <w:r w:rsidRPr="008D4E66">
        <w:rPr>
          <w:rFonts w:ascii="Bookman Old Style" w:hAnsi="Bookman Old Style" w:cs="Arial"/>
          <w:b/>
          <w:bCs/>
        </w:rPr>
        <w:t xml:space="preserve"> del Anexo de la Resolución CREG 019 de 2006. </w:t>
      </w:r>
      <w:r w:rsidR="00AC619A" w:rsidRPr="008D4E66">
        <w:rPr>
          <w:rFonts w:ascii="Bookman Old Style" w:hAnsi="Bookman Old Style" w:cs="Arial"/>
          <w:bCs/>
        </w:rPr>
        <w:t>El artículo 3 del Anexo de la Resolución CREG 019 de 2006 quedará así</w:t>
      </w:r>
      <w:r w:rsidRPr="008D4E66">
        <w:rPr>
          <w:rFonts w:ascii="Bookman Old Style" w:hAnsi="Bookman Old Style" w:cs="Arial"/>
          <w:bCs/>
        </w:rPr>
        <w:t>:</w:t>
      </w:r>
    </w:p>
    <w:p w:rsidR="00AC619A" w:rsidRPr="008D4E66" w:rsidRDefault="00AC619A" w:rsidP="009A3947">
      <w:pPr>
        <w:tabs>
          <w:tab w:val="left" w:pos="1701"/>
        </w:tabs>
        <w:ind w:left="142"/>
        <w:jc w:val="both"/>
        <w:rPr>
          <w:rFonts w:ascii="Bookman Old Style" w:hAnsi="Bookman Old Style" w:cs="Arial"/>
          <w:b/>
          <w:bCs/>
        </w:rPr>
      </w:pPr>
    </w:p>
    <w:p w:rsidR="00AC619A" w:rsidRPr="008D4E66" w:rsidRDefault="00AC619A" w:rsidP="00AC619A">
      <w:pPr>
        <w:jc w:val="both"/>
        <w:rPr>
          <w:rFonts w:ascii="Bookman Old Style" w:hAnsi="Bookman Old Style" w:cs="Arial"/>
          <w:i/>
          <w:lang w:val="es-ES_tradnl"/>
        </w:rPr>
      </w:pPr>
      <w:r w:rsidRPr="008D4E66">
        <w:rPr>
          <w:rFonts w:ascii="Bookman Old Style" w:hAnsi="Bookman Old Style" w:cs="Arial"/>
          <w:i/>
          <w:lang w:val="es-ES_tradnl"/>
        </w:rPr>
        <w:t>“</w:t>
      </w:r>
      <w:r w:rsidRPr="008D4E66">
        <w:rPr>
          <w:rFonts w:ascii="Bookman Old Style" w:hAnsi="Bookman Old Style" w:cs="Arial"/>
          <w:b/>
          <w:i/>
          <w:lang w:val="es-ES_tradnl"/>
        </w:rPr>
        <w:t>ARTÍCULO 3. GARANTÍAS Y MECANISMOS ALTERNATIVOS ADMISIBLES.</w:t>
      </w:r>
      <w:r w:rsidRPr="008D4E66">
        <w:rPr>
          <w:rFonts w:ascii="Bookman Old Style" w:hAnsi="Bookman Old Style" w:cs="Arial"/>
          <w:i/>
          <w:lang w:val="es-ES_tradnl"/>
        </w:rPr>
        <w:t xml:space="preserve"> Serán Garantías admisibles para presentar ante el ASIC, las siguientes:</w:t>
      </w:r>
    </w:p>
    <w:p w:rsidR="00AC619A" w:rsidRDefault="00AC619A" w:rsidP="00AC619A">
      <w:pPr>
        <w:jc w:val="both"/>
        <w:rPr>
          <w:rFonts w:ascii="Bookman Old Style" w:hAnsi="Bookman Old Style" w:cs="Arial"/>
          <w:i/>
          <w:lang w:val="es-ES_tradnl"/>
        </w:rPr>
      </w:pPr>
    </w:p>
    <w:p w:rsidR="0088344A" w:rsidRPr="005D7123" w:rsidRDefault="0088344A" w:rsidP="0088344A">
      <w:pPr>
        <w:numPr>
          <w:ilvl w:val="0"/>
          <w:numId w:val="255"/>
        </w:numPr>
        <w:tabs>
          <w:tab w:val="clear" w:pos="360"/>
          <w:tab w:val="num" w:pos="1134"/>
        </w:tabs>
        <w:suppressAutoHyphens/>
        <w:ind w:left="1134" w:hanging="567"/>
        <w:jc w:val="both"/>
        <w:rPr>
          <w:rFonts w:ascii="Bookman Old Style" w:hAnsi="Bookman Old Style"/>
          <w:i/>
        </w:rPr>
      </w:pPr>
      <w:r w:rsidRPr="005D7123">
        <w:rPr>
          <w:rFonts w:ascii="Bookman Old Style" w:hAnsi="Bookman Old Style"/>
          <w:i/>
        </w:rPr>
        <w:t xml:space="preserve">Instrumentos </w:t>
      </w:r>
      <w:r w:rsidR="00B97E75">
        <w:rPr>
          <w:rFonts w:ascii="Bookman Old Style" w:hAnsi="Bookman Old Style"/>
          <w:i/>
        </w:rPr>
        <w:t>a</w:t>
      </w:r>
      <w:r w:rsidRPr="005D7123">
        <w:rPr>
          <w:rFonts w:ascii="Bookman Old Style" w:hAnsi="Bookman Old Style"/>
          <w:i/>
        </w:rPr>
        <w:t xml:space="preserve">dmisibles para Garantías </w:t>
      </w:r>
      <w:r w:rsidR="00B97E75">
        <w:rPr>
          <w:rFonts w:ascii="Bookman Old Style" w:hAnsi="Bookman Old Style"/>
          <w:i/>
        </w:rPr>
        <w:t>n</w:t>
      </w:r>
      <w:r w:rsidRPr="005D7123">
        <w:rPr>
          <w:rFonts w:ascii="Bookman Old Style" w:hAnsi="Bookman Old Style"/>
          <w:i/>
        </w:rPr>
        <w:t>acionales</w:t>
      </w:r>
    </w:p>
    <w:p w:rsidR="0088344A" w:rsidRPr="005D7123" w:rsidRDefault="0088344A" w:rsidP="0088344A">
      <w:pPr>
        <w:suppressAutoHyphens/>
        <w:ind w:left="1134"/>
        <w:jc w:val="both"/>
        <w:rPr>
          <w:rFonts w:ascii="Bookman Old Style" w:hAnsi="Bookman Old Style"/>
          <w:i/>
        </w:rPr>
      </w:pPr>
    </w:p>
    <w:p w:rsidR="0088344A" w:rsidRPr="005D7123" w:rsidRDefault="0088344A" w:rsidP="005D7123">
      <w:pPr>
        <w:numPr>
          <w:ilvl w:val="0"/>
          <w:numId w:val="256"/>
        </w:numPr>
        <w:tabs>
          <w:tab w:val="left" w:pos="1701"/>
        </w:tabs>
        <w:suppressAutoHyphens/>
        <w:ind w:left="1701" w:hanging="567"/>
        <w:jc w:val="both"/>
        <w:rPr>
          <w:rFonts w:ascii="Bookman Old Style" w:hAnsi="Bookman Old Style"/>
          <w:i/>
        </w:rPr>
      </w:pPr>
      <w:r w:rsidRPr="005D7123">
        <w:rPr>
          <w:rFonts w:ascii="Bookman Old Style" w:hAnsi="Bookman Old Style"/>
          <w:b/>
          <w:i/>
        </w:rPr>
        <w:t>Garantía bancaria:</w:t>
      </w:r>
      <w:r w:rsidRPr="005D7123">
        <w:rPr>
          <w:rFonts w:ascii="Bookman Old Style" w:hAnsi="Bookman Old Style"/>
          <w:i/>
        </w:rPr>
        <w:t xml:space="preserve"> </w:t>
      </w:r>
      <w:r w:rsidR="00047503">
        <w:rPr>
          <w:rFonts w:ascii="Bookman Old Style" w:hAnsi="Bookman Old Style"/>
          <w:i/>
        </w:rPr>
        <w:t>i</w:t>
      </w:r>
      <w:r w:rsidRPr="005D7123">
        <w:rPr>
          <w:rFonts w:ascii="Bookman Old Style" w:hAnsi="Bookman Old Style"/>
          <w:i/>
        </w:rPr>
        <w:t>nstrumento mediante el cual una institución financiera debidamente autorizada por la Superintendencia Financiera de Colombia garantiza de forma incondicional e irrevocable el pago de las obligaciones de un Agente en el Mercado de Energía Mayorista y que sean facturadas y recaudadas por el ASIC y el LAC. La Garantía bancaria será pagadera a la vista y contra el primer requerimiento escrito en el cual el ASIC informe que el Agente garantizado no ha dado cumplimiento a las obligaciones objeto de la Garantía. La forma y perfeccionamiento de esta Garantía se regirá por las normas del Código de Comercio que regulan la materia y por las demás disposiciones aplicables.</w:t>
      </w:r>
    </w:p>
    <w:p w:rsidR="0088344A" w:rsidRPr="005D7123" w:rsidRDefault="0088344A" w:rsidP="005D7123">
      <w:pPr>
        <w:tabs>
          <w:tab w:val="left" w:pos="1701"/>
        </w:tabs>
        <w:suppressAutoHyphens/>
        <w:ind w:left="1701" w:hanging="567"/>
        <w:jc w:val="both"/>
        <w:rPr>
          <w:rFonts w:ascii="Bookman Old Style" w:hAnsi="Bookman Old Style"/>
          <w:i/>
        </w:rPr>
      </w:pPr>
    </w:p>
    <w:p w:rsidR="0088344A" w:rsidRPr="005D7123" w:rsidRDefault="0088344A" w:rsidP="005D7123">
      <w:pPr>
        <w:numPr>
          <w:ilvl w:val="0"/>
          <w:numId w:val="256"/>
        </w:numPr>
        <w:tabs>
          <w:tab w:val="left" w:pos="1701"/>
        </w:tabs>
        <w:suppressAutoHyphens/>
        <w:ind w:left="1701" w:hanging="567"/>
        <w:jc w:val="both"/>
        <w:rPr>
          <w:rFonts w:ascii="Bookman Old Style" w:hAnsi="Bookman Old Style"/>
          <w:i/>
        </w:rPr>
      </w:pPr>
      <w:r w:rsidRPr="005D7123">
        <w:rPr>
          <w:rFonts w:ascii="Bookman Old Style" w:hAnsi="Bookman Old Style"/>
          <w:b/>
          <w:i/>
        </w:rPr>
        <w:lastRenderedPageBreak/>
        <w:t>Aval bancario:</w:t>
      </w:r>
      <w:r w:rsidRPr="005D7123">
        <w:rPr>
          <w:rFonts w:ascii="Bookman Old Style" w:hAnsi="Bookman Old Style"/>
          <w:i/>
        </w:rPr>
        <w:t xml:space="preserve"> </w:t>
      </w:r>
      <w:r w:rsidR="00047503">
        <w:rPr>
          <w:rFonts w:ascii="Bookman Old Style" w:hAnsi="Bookman Old Style"/>
          <w:i/>
        </w:rPr>
        <w:t>i</w:t>
      </w:r>
      <w:r w:rsidRPr="005D7123">
        <w:rPr>
          <w:rFonts w:ascii="Bookman Old Style" w:hAnsi="Bookman Old Style"/>
          <w:i/>
        </w:rPr>
        <w:t>nstrumento mediante el cual una institución financiera debidamente autorizada por la Superintendencia Financiera de Colombia interviene como avalista respecto de un título valor, para garantizar el pago de las obligaciones de un Agente en el Mercado de Energía Mayorista y que sean facturadas y recaudadas por el ASIC y el LAC. La forma y perfeccionamiento de esta garantía se regirá por las normas del Código de Comercio que regulan la materia y por las demás disposiciones aplicables.</w:t>
      </w:r>
    </w:p>
    <w:p w:rsidR="0088344A" w:rsidRPr="005D7123" w:rsidRDefault="0088344A" w:rsidP="005D7123">
      <w:pPr>
        <w:tabs>
          <w:tab w:val="left" w:pos="1701"/>
        </w:tabs>
        <w:suppressAutoHyphens/>
        <w:ind w:left="1701" w:hanging="567"/>
        <w:jc w:val="both"/>
        <w:rPr>
          <w:rFonts w:ascii="Bookman Old Style" w:hAnsi="Bookman Old Style"/>
          <w:i/>
        </w:rPr>
      </w:pPr>
    </w:p>
    <w:p w:rsidR="0088344A" w:rsidRPr="005D7123" w:rsidRDefault="0088344A" w:rsidP="005D7123">
      <w:pPr>
        <w:numPr>
          <w:ilvl w:val="0"/>
          <w:numId w:val="256"/>
        </w:numPr>
        <w:tabs>
          <w:tab w:val="left" w:pos="1701"/>
        </w:tabs>
        <w:suppressAutoHyphens/>
        <w:ind w:left="1701" w:hanging="567"/>
        <w:jc w:val="both"/>
        <w:rPr>
          <w:rFonts w:ascii="Bookman Old Style" w:hAnsi="Bookman Old Style"/>
          <w:i/>
        </w:rPr>
      </w:pPr>
      <w:r w:rsidRPr="005D7123">
        <w:rPr>
          <w:rFonts w:ascii="Bookman Old Style" w:hAnsi="Bookman Old Style"/>
          <w:b/>
          <w:i/>
        </w:rPr>
        <w:t xml:space="preserve">Carta de crédito stand </w:t>
      </w:r>
      <w:proofErr w:type="spellStart"/>
      <w:r w:rsidRPr="005D7123">
        <w:rPr>
          <w:rFonts w:ascii="Bookman Old Style" w:hAnsi="Bookman Old Style"/>
          <w:b/>
          <w:i/>
        </w:rPr>
        <w:t>by</w:t>
      </w:r>
      <w:proofErr w:type="spellEnd"/>
      <w:r w:rsidRPr="005D7123">
        <w:rPr>
          <w:rFonts w:ascii="Bookman Old Style" w:hAnsi="Bookman Old Style"/>
          <w:b/>
          <w:i/>
        </w:rPr>
        <w:t>:</w:t>
      </w:r>
      <w:r w:rsidRPr="005D7123">
        <w:rPr>
          <w:rFonts w:ascii="Bookman Old Style" w:hAnsi="Bookman Old Style"/>
          <w:i/>
        </w:rPr>
        <w:t xml:space="preserve"> </w:t>
      </w:r>
      <w:r w:rsidR="00047503">
        <w:rPr>
          <w:rFonts w:ascii="Bookman Old Style" w:hAnsi="Bookman Old Style"/>
          <w:i/>
        </w:rPr>
        <w:t>c</w:t>
      </w:r>
      <w:r w:rsidRPr="005D7123">
        <w:rPr>
          <w:rFonts w:ascii="Bookman Old Style" w:hAnsi="Bookman Old Style"/>
          <w:i/>
        </w:rPr>
        <w:t xml:space="preserve">rédito documental e irrevocable mediante el cual una institución financiera debidamente autorizada por la Superintendencia Financiera de Colombia se compromete directamente o por intermedio de un banco corresponsal al pago de las obligaciones de un Agente en el Mercado de Energía Mayorista y que sean facturadas y recaudadas por el ASIC y el LAC, contra la previa presentación de la carta de crédito stand </w:t>
      </w:r>
      <w:proofErr w:type="spellStart"/>
      <w:r w:rsidRPr="005D7123">
        <w:rPr>
          <w:rFonts w:ascii="Bookman Old Style" w:hAnsi="Bookman Old Style"/>
          <w:i/>
        </w:rPr>
        <w:t>by</w:t>
      </w:r>
      <w:proofErr w:type="spellEnd"/>
      <w:r w:rsidRPr="005D7123">
        <w:rPr>
          <w:rFonts w:ascii="Bookman Old Style" w:hAnsi="Bookman Old Style"/>
          <w:i/>
        </w:rPr>
        <w:t>. La forma y perfeccionamiento de ésta se regirán por las normas del Código de Comercio que regulan la materia y por las demás disposiciones aplicables.</w:t>
      </w:r>
    </w:p>
    <w:p w:rsidR="0088344A" w:rsidRPr="005D7123" w:rsidRDefault="0088344A" w:rsidP="0088344A">
      <w:pPr>
        <w:suppressAutoHyphens/>
        <w:jc w:val="both"/>
        <w:rPr>
          <w:rFonts w:ascii="Bookman Old Style" w:hAnsi="Bookman Old Style"/>
          <w:i/>
        </w:rPr>
      </w:pPr>
    </w:p>
    <w:p w:rsidR="0088344A" w:rsidRPr="005D7123" w:rsidRDefault="0088344A" w:rsidP="0088344A">
      <w:pPr>
        <w:numPr>
          <w:ilvl w:val="0"/>
          <w:numId w:val="255"/>
        </w:numPr>
        <w:tabs>
          <w:tab w:val="clear" w:pos="360"/>
          <w:tab w:val="num" w:pos="1134"/>
        </w:tabs>
        <w:suppressAutoHyphens/>
        <w:ind w:left="1134" w:hanging="567"/>
        <w:jc w:val="both"/>
        <w:rPr>
          <w:rFonts w:ascii="Bookman Old Style" w:hAnsi="Bookman Old Style"/>
          <w:i/>
        </w:rPr>
      </w:pPr>
      <w:r w:rsidRPr="005D7123">
        <w:rPr>
          <w:rFonts w:ascii="Bookman Old Style" w:hAnsi="Bookman Old Style"/>
          <w:i/>
        </w:rPr>
        <w:t xml:space="preserve">Instrumentos </w:t>
      </w:r>
      <w:r w:rsidR="00B97E75">
        <w:rPr>
          <w:rFonts w:ascii="Bookman Old Style" w:hAnsi="Bookman Old Style"/>
          <w:i/>
        </w:rPr>
        <w:t>a</w:t>
      </w:r>
      <w:r w:rsidRPr="005D7123">
        <w:rPr>
          <w:rFonts w:ascii="Bookman Old Style" w:hAnsi="Bookman Old Style"/>
          <w:i/>
        </w:rPr>
        <w:t xml:space="preserve">dmisibles para Garantías </w:t>
      </w:r>
      <w:r w:rsidR="00B97E75">
        <w:rPr>
          <w:rFonts w:ascii="Bookman Old Style" w:hAnsi="Bookman Old Style"/>
          <w:i/>
        </w:rPr>
        <w:t>i</w:t>
      </w:r>
      <w:r w:rsidRPr="005D7123">
        <w:rPr>
          <w:rFonts w:ascii="Bookman Old Style" w:hAnsi="Bookman Old Style"/>
          <w:i/>
        </w:rPr>
        <w:t>nternacionales</w:t>
      </w:r>
    </w:p>
    <w:p w:rsidR="0088344A" w:rsidRPr="005D7123" w:rsidRDefault="0088344A" w:rsidP="0088344A">
      <w:pPr>
        <w:suppressAutoHyphens/>
        <w:ind w:left="1134"/>
        <w:jc w:val="both"/>
        <w:rPr>
          <w:rFonts w:ascii="Bookman Old Style" w:hAnsi="Bookman Old Style"/>
          <w:i/>
        </w:rPr>
      </w:pPr>
    </w:p>
    <w:p w:rsidR="0088344A" w:rsidRPr="00376AA0" w:rsidRDefault="0088344A" w:rsidP="00B97E75">
      <w:pPr>
        <w:ind w:left="1134"/>
        <w:jc w:val="both"/>
        <w:rPr>
          <w:rFonts w:ascii="Bookman Old Style" w:hAnsi="Bookman Old Style" w:cs="Arial"/>
          <w:i/>
          <w:lang w:val="es-ES_tradnl"/>
        </w:rPr>
      </w:pPr>
      <w:r w:rsidRPr="005D7123">
        <w:rPr>
          <w:rFonts w:ascii="Bookman Old Style" w:hAnsi="Bookman Old Style"/>
          <w:b/>
          <w:i/>
        </w:rPr>
        <w:t xml:space="preserve">Carta de crédito stand </w:t>
      </w:r>
      <w:proofErr w:type="spellStart"/>
      <w:r w:rsidRPr="005D7123">
        <w:rPr>
          <w:rFonts w:ascii="Bookman Old Style" w:hAnsi="Bookman Old Style"/>
          <w:b/>
          <w:i/>
        </w:rPr>
        <w:t>by</w:t>
      </w:r>
      <w:proofErr w:type="spellEnd"/>
      <w:r w:rsidRPr="005D7123">
        <w:rPr>
          <w:rFonts w:ascii="Bookman Old Style" w:hAnsi="Bookman Old Style"/>
          <w:b/>
          <w:i/>
        </w:rPr>
        <w:t>:</w:t>
      </w:r>
      <w:r w:rsidRPr="005D7123">
        <w:rPr>
          <w:rFonts w:ascii="Bookman Old Style" w:hAnsi="Bookman Old Style"/>
          <w:i/>
        </w:rPr>
        <w:t xml:space="preserve"> </w:t>
      </w:r>
      <w:r w:rsidR="00047503">
        <w:rPr>
          <w:rFonts w:ascii="Bookman Old Style" w:hAnsi="Bookman Old Style"/>
          <w:i/>
        </w:rPr>
        <w:t>c</w:t>
      </w:r>
      <w:r w:rsidRPr="005D7123">
        <w:rPr>
          <w:rFonts w:ascii="Bookman Old Style" w:hAnsi="Bookman Old Style"/>
          <w:i/>
        </w:rPr>
        <w:t xml:space="preserve">rédito documental e irrevocable mediante el cual una institución financiera se compromete directamente o por intermedio de un banco corresponsal al pago de las obligaciones de un Agente en el Mercado de Energía Mayorista y que sean facturadas y recaudadas por el ASIC y el LAC, contra la previa presentación de la carta de crédito stand </w:t>
      </w:r>
      <w:proofErr w:type="spellStart"/>
      <w:r w:rsidRPr="005D7123">
        <w:rPr>
          <w:rFonts w:ascii="Bookman Old Style" w:hAnsi="Bookman Old Style"/>
          <w:i/>
        </w:rPr>
        <w:t>by</w:t>
      </w:r>
      <w:proofErr w:type="spellEnd"/>
      <w:r w:rsidRPr="005D7123">
        <w:rPr>
          <w:rFonts w:ascii="Bookman Old Style" w:hAnsi="Bookman Old Style"/>
          <w:i/>
        </w:rPr>
        <w:t>.</w:t>
      </w:r>
    </w:p>
    <w:p w:rsidR="0088344A" w:rsidRPr="00611F02" w:rsidRDefault="0088344A" w:rsidP="00AC619A">
      <w:pPr>
        <w:jc w:val="both"/>
        <w:rPr>
          <w:rFonts w:ascii="Bookman Old Style" w:hAnsi="Bookman Old Style" w:cs="Arial"/>
          <w:i/>
          <w:lang w:val="es-ES_tradnl"/>
        </w:rPr>
      </w:pPr>
    </w:p>
    <w:p w:rsidR="00635277" w:rsidRPr="00B97E75" w:rsidRDefault="00635277" w:rsidP="00635277">
      <w:pPr>
        <w:numPr>
          <w:ilvl w:val="0"/>
          <w:numId w:val="255"/>
        </w:numPr>
        <w:tabs>
          <w:tab w:val="clear" w:pos="360"/>
          <w:tab w:val="num" w:pos="1134"/>
        </w:tabs>
        <w:suppressAutoHyphens/>
        <w:ind w:left="1134" w:hanging="567"/>
        <w:jc w:val="both"/>
        <w:rPr>
          <w:rFonts w:ascii="Bookman Old Style" w:hAnsi="Bookman Old Style"/>
          <w:i/>
        </w:rPr>
      </w:pPr>
      <w:r w:rsidRPr="00B97E75">
        <w:rPr>
          <w:rFonts w:ascii="Bookman Old Style" w:hAnsi="Bookman Old Style"/>
          <w:i/>
        </w:rPr>
        <w:t>Mecanismos Alternativos admisibles</w:t>
      </w:r>
    </w:p>
    <w:p w:rsidR="00635277" w:rsidRPr="00B97E75" w:rsidRDefault="00635277" w:rsidP="00635277">
      <w:pPr>
        <w:suppressAutoHyphens/>
        <w:ind w:left="1134"/>
        <w:jc w:val="both"/>
        <w:rPr>
          <w:rFonts w:ascii="Bookman Old Style" w:hAnsi="Bookman Old Style"/>
          <w:i/>
        </w:rPr>
      </w:pPr>
    </w:p>
    <w:p w:rsidR="00AC619A" w:rsidRPr="00611F02" w:rsidRDefault="00AC619A" w:rsidP="00B97E75">
      <w:pPr>
        <w:ind w:left="1134"/>
        <w:jc w:val="both"/>
        <w:rPr>
          <w:rFonts w:ascii="Bookman Old Style" w:hAnsi="Bookman Old Style" w:cs="Arial"/>
          <w:i/>
          <w:lang w:val="es-ES_tradnl"/>
        </w:rPr>
      </w:pPr>
      <w:r w:rsidRPr="00376AA0">
        <w:rPr>
          <w:rFonts w:ascii="Bookman Old Style" w:hAnsi="Bookman Old Style" w:cs="Arial"/>
          <w:i/>
          <w:lang w:val="es-ES_tradnl"/>
        </w:rPr>
        <w:t>Se aceptará como mecanismos alternativos al otorgamiento de las Garantías indicadas, la Cesión de Derechos de Crédito de transacciones administradas por el ASIC y el LAC, los Prepagos Mensuales y los Prepagos Semanales, como cubrimie</w:t>
      </w:r>
      <w:r w:rsidRPr="00611F02">
        <w:rPr>
          <w:rFonts w:ascii="Bookman Old Style" w:hAnsi="Bookman Old Style" w:cs="Arial"/>
          <w:i/>
          <w:lang w:val="es-ES_tradnl"/>
        </w:rPr>
        <w:t xml:space="preserve">nto de las transacciones en el Mercado de Energía Mayorista. Los Prepagos Mensuales y Semanales serán calculados conforme a lo establecido en el Anexo del presente Reglamento. </w:t>
      </w:r>
    </w:p>
    <w:p w:rsidR="00AC619A" w:rsidRPr="00611F02" w:rsidRDefault="00AC619A" w:rsidP="00B97E75">
      <w:pPr>
        <w:ind w:left="1134"/>
        <w:jc w:val="both"/>
        <w:rPr>
          <w:rFonts w:ascii="Bookman Old Style" w:hAnsi="Bookman Old Style" w:cs="Arial"/>
          <w:i/>
          <w:lang w:val="es-ES_tradnl"/>
        </w:rPr>
      </w:pPr>
    </w:p>
    <w:p w:rsidR="00635277" w:rsidRDefault="00376AA0" w:rsidP="00B97E75">
      <w:pPr>
        <w:numPr>
          <w:ilvl w:val="0"/>
          <w:numId w:val="257"/>
        </w:numPr>
        <w:tabs>
          <w:tab w:val="left" w:pos="1701"/>
        </w:tabs>
        <w:suppressAutoHyphens/>
        <w:ind w:left="1701" w:hanging="567"/>
        <w:jc w:val="both"/>
        <w:rPr>
          <w:rFonts w:ascii="Bookman Old Style" w:hAnsi="Bookman Old Style"/>
          <w:i/>
        </w:rPr>
      </w:pPr>
      <w:r w:rsidRPr="00B97E75">
        <w:rPr>
          <w:rFonts w:ascii="Bookman Old Style" w:hAnsi="Bookman Old Style" w:cs="Arial"/>
          <w:b/>
          <w:i/>
          <w:lang w:val="es-ES_tradnl"/>
        </w:rPr>
        <w:t>Cesión de Derechos de Crédito de transacciones del Mercado de Energía Mayorista administra</w:t>
      </w:r>
      <w:r w:rsidR="00B97E75">
        <w:rPr>
          <w:rFonts w:ascii="Bookman Old Style" w:hAnsi="Bookman Old Style" w:cs="Arial"/>
          <w:b/>
          <w:i/>
          <w:lang w:val="es-ES_tradnl"/>
        </w:rPr>
        <w:t>d</w:t>
      </w:r>
      <w:r w:rsidRPr="00B97E75">
        <w:rPr>
          <w:rFonts w:ascii="Bookman Old Style" w:hAnsi="Bookman Old Style" w:cs="Arial"/>
          <w:b/>
          <w:i/>
          <w:lang w:val="es-ES_tradnl"/>
        </w:rPr>
        <w:t>as por el ASIC y el LAC</w:t>
      </w:r>
      <w:r w:rsidR="00635277" w:rsidRPr="00B97E75">
        <w:rPr>
          <w:rFonts w:ascii="Bookman Old Style" w:hAnsi="Bookman Old Style"/>
          <w:b/>
          <w:i/>
        </w:rPr>
        <w:t>:</w:t>
      </w:r>
      <w:r w:rsidR="00635277" w:rsidRPr="00B97E75">
        <w:rPr>
          <w:rFonts w:ascii="Bookman Old Style" w:hAnsi="Bookman Old Style"/>
          <w:i/>
        </w:rPr>
        <w:t xml:space="preserve"> </w:t>
      </w:r>
      <w:r w:rsidR="00047503">
        <w:rPr>
          <w:rFonts w:ascii="Bookman Old Style" w:hAnsi="Bookman Old Style"/>
          <w:i/>
        </w:rPr>
        <w:t>e</w:t>
      </w:r>
      <w:r>
        <w:rPr>
          <w:rFonts w:ascii="Bookman Old Style" w:hAnsi="Bookman Old Style"/>
          <w:i/>
        </w:rPr>
        <w:t>s una declaración de voluntad mediante la cual un Agente cede sus derechos de crédito existentes, con el fin de pagar anticipadamente sus obligaciones o las de otro Agente de la misma empresa, por un periodo de una mes, en forma irrevocable e incondicional a favor del ASIC.</w:t>
      </w:r>
    </w:p>
    <w:p w:rsidR="00376AA0" w:rsidRDefault="00376AA0" w:rsidP="00B97E75">
      <w:pPr>
        <w:suppressAutoHyphens/>
        <w:ind w:left="1418"/>
        <w:jc w:val="both"/>
        <w:rPr>
          <w:rFonts w:ascii="Bookman Old Style" w:hAnsi="Bookman Old Style" w:cs="Arial"/>
          <w:b/>
          <w:i/>
        </w:rPr>
      </w:pPr>
    </w:p>
    <w:p w:rsidR="00376AA0" w:rsidRDefault="00376AA0" w:rsidP="00B97E75">
      <w:pPr>
        <w:suppressAutoHyphens/>
        <w:ind w:left="1701"/>
        <w:jc w:val="both"/>
        <w:rPr>
          <w:rFonts w:ascii="Bookman Old Style" w:hAnsi="Bookman Old Style" w:cs="Arial"/>
          <w:i/>
        </w:rPr>
      </w:pPr>
      <w:r w:rsidRPr="00B97E75">
        <w:rPr>
          <w:rFonts w:ascii="Bookman Old Style" w:hAnsi="Bookman Old Style" w:cs="Arial"/>
          <w:i/>
        </w:rPr>
        <w:t xml:space="preserve">El </w:t>
      </w:r>
      <w:r w:rsidR="0075146E" w:rsidRPr="00B97E75">
        <w:rPr>
          <w:rFonts w:ascii="Bookman Old Style" w:hAnsi="Bookman Old Style" w:cs="Arial"/>
          <w:i/>
        </w:rPr>
        <w:t xml:space="preserve">monto </w:t>
      </w:r>
      <w:r w:rsidRPr="00B97E75">
        <w:rPr>
          <w:rFonts w:ascii="Bookman Old Style" w:hAnsi="Bookman Old Style" w:cs="Arial"/>
          <w:i/>
        </w:rPr>
        <w:t>de los derechos de crédito</w:t>
      </w:r>
      <w:r>
        <w:rPr>
          <w:rFonts w:ascii="Bookman Old Style" w:hAnsi="Bookman Old Style" w:cs="Arial"/>
          <w:i/>
        </w:rPr>
        <w:t xml:space="preserve"> existentes que puede ceder un Agente es determinado por el ASIC mediante las liquidaciones mensuales efectuadas por el ASIC y el LAC</w:t>
      </w:r>
      <w:r w:rsidR="005F60A6">
        <w:rPr>
          <w:rFonts w:ascii="Bookman Old Style" w:hAnsi="Bookman Old Style" w:cs="Arial"/>
          <w:i/>
        </w:rPr>
        <w:t xml:space="preserve">, entendiéndose por </w:t>
      </w:r>
      <w:r w:rsidR="005F60A6">
        <w:rPr>
          <w:rFonts w:ascii="Bookman Old Style" w:hAnsi="Bookman Old Style" w:cs="Arial"/>
          <w:i/>
        </w:rPr>
        <w:lastRenderedPageBreak/>
        <w:t>liquidaciones mensuales las contenidas en el resumen mensual de la liquidación, o en la facturación mensual.</w:t>
      </w:r>
    </w:p>
    <w:p w:rsidR="005F60A6" w:rsidRDefault="005F60A6" w:rsidP="00B97E75">
      <w:pPr>
        <w:suppressAutoHyphens/>
        <w:ind w:left="1701"/>
        <w:jc w:val="both"/>
        <w:rPr>
          <w:rFonts w:ascii="Bookman Old Style" w:hAnsi="Bookman Old Style" w:cs="Arial"/>
          <w:i/>
        </w:rPr>
      </w:pPr>
    </w:p>
    <w:p w:rsidR="005F60A6" w:rsidRPr="00B97E75" w:rsidRDefault="005F60A6" w:rsidP="00B97E75">
      <w:pPr>
        <w:suppressAutoHyphens/>
        <w:ind w:left="1701"/>
        <w:jc w:val="both"/>
        <w:rPr>
          <w:rFonts w:ascii="Bookman Old Style" w:hAnsi="Bookman Old Style"/>
          <w:i/>
        </w:rPr>
      </w:pPr>
      <w:r>
        <w:rPr>
          <w:rFonts w:ascii="Bookman Old Style" w:hAnsi="Bookman Old Style" w:cs="Arial"/>
          <w:i/>
        </w:rPr>
        <w:t>Para esta modalidad, el ASIC aceptará la cesión de derechos aplicando un descuento por riesgo de recaudo equivalente al 10%. Por lo tanto, el ASIC sólo recibirá cesión de derechos hasta un valor máximo del 90% de los derechos de crédito determinados por el ASIC.</w:t>
      </w:r>
    </w:p>
    <w:p w:rsidR="00635277" w:rsidRPr="00B97E75" w:rsidRDefault="00635277" w:rsidP="00635277">
      <w:pPr>
        <w:suppressAutoHyphens/>
        <w:ind w:left="1418"/>
        <w:jc w:val="both"/>
        <w:rPr>
          <w:rFonts w:ascii="Bookman Old Style" w:hAnsi="Bookman Old Style"/>
          <w:i/>
        </w:rPr>
      </w:pPr>
    </w:p>
    <w:p w:rsidR="00611F02" w:rsidRPr="00611F02" w:rsidRDefault="00611F02" w:rsidP="00B97E75">
      <w:pPr>
        <w:numPr>
          <w:ilvl w:val="0"/>
          <w:numId w:val="257"/>
        </w:numPr>
        <w:tabs>
          <w:tab w:val="left" w:pos="1701"/>
        </w:tabs>
        <w:suppressAutoHyphens/>
        <w:ind w:left="1701" w:hanging="567"/>
        <w:jc w:val="both"/>
        <w:rPr>
          <w:rFonts w:ascii="Bookman Old Style" w:hAnsi="Bookman Old Style"/>
          <w:i/>
        </w:rPr>
      </w:pPr>
      <w:r w:rsidRPr="00611F02">
        <w:rPr>
          <w:rFonts w:ascii="Bookman Old Style" w:hAnsi="Bookman Old Style"/>
          <w:b/>
          <w:i/>
        </w:rPr>
        <w:t xml:space="preserve">Prepagos Mensuales </w:t>
      </w:r>
      <w:r>
        <w:rPr>
          <w:rFonts w:ascii="Bookman Old Style" w:hAnsi="Bookman Old Style"/>
          <w:b/>
          <w:i/>
        </w:rPr>
        <w:t>y</w:t>
      </w:r>
      <w:r w:rsidRPr="00611F02">
        <w:rPr>
          <w:rFonts w:ascii="Bookman Old Style" w:hAnsi="Bookman Old Style"/>
          <w:b/>
          <w:i/>
        </w:rPr>
        <w:t xml:space="preserve"> Semanales</w:t>
      </w:r>
      <w:r w:rsidRPr="00611F02">
        <w:rPr>
          <w:rFonts w:ascii="Bookman Old Style" w:hAnsi="Bookman Old Style"/>
          <w:i/>
        </w:rPr>
        <w:t xml:space="preserve">. </w:t>
      </w:r>
      <w:r w:rsidR="00047503">
        <w:rPr>
          <w:rFonts w:ascii="Bookman Old Style" w:hAnsi="Bookman Old Style"/>
          <w:i/>
        </w:rPr>
        <w:t>s</w:t>
      </w:r>
      <w:r w:rsidRPr="00611F02">
        <w:rPr>
          <w:rFonts w:ascii="Bookman Old Style" w:hAnsi="Bookman Old Style"/>
          <w:i/>
        </w:rPr>
        <w:t xml:space="preserve">umas de dinero pagadas por un Agente del Mercado de Energía Mayorista en las cuentas que para tal efecto señale el ASIC, con el fin de pagar anticipadamente las transacciones del Agente. </w:t>
      </w:r>
      <w:r>
        <w:rPr>
          <w:rFonts w:ascii="Bookman Old Style" w:hAnsi="Bookman Old Style"/>
          <w:i/>
        </w:rPr>
        <w:t>Una vez efectuado el pago anticipado, l</w:t>
      </w:r>
      <w:r w:rsidRPr="00611F02">
        <w:rPr>
          <w:rFonts w:ascii="Bookman Old Style" w:hAnsi="Bookman Old Style"/>
          <w:i/>
        </w:rPr>
        <w:t>os fondos respectivos no son parte del patrimonio del agente que realiza el prepago y por tanto no podrán ser objeto de medidas de naturaleza concursal, de toma de posesión, disolución, liquidación o acuerdos de reestructuración de deudas, que tengan por objeto prohibir, suspender o de cualquier forma limitar los pagos.</w:t>
      </w:r>
    </w:p>
    <w:p w:rsidR="00611F02" w:rsidRPr="00611F02" w:rsidRDefault="00611F02" w:rsidP="00611F02">
      <w:pPr>
        <w:suppressAutoHyphens/>
        <w:ind w:left="1418"/>
        <w:jc w:val="both"/>
        <w:rPr>
          <w:rFonts w:ascii="Bookman Old Style" w:hAnsi="Bookman Old Style"/>
          <w:i/>
        </w:rPr>
      </w:pPr>
    </w:p>
    <w:p w:rsidR="00611F02" w:rsidRPr="00B97E75" w:rsidRDefault="00611F02" w:rsidP="00B97E75">
      <w:pPr>
        <w:suppressAutoHyphens/>
        <w:ind w:left="1701"/>
        <w:jc w:val="both"/>
        <w:rPr>
          <w:rFonts w:ascii="Bookman Old Style" w:hAnsi="Bookman Old Style"/>
          <w:i/>
        </w:rPr>
      </w:pPr>
      <w:r w:rsidRPr="00611F02">
        <w:rPr>
          <w:rFonts w:ascii="Bookman Old Style" w:hAnsi="Bookman Old Style"/>
          <w:i/>
        </w:rPr>
        <w:t>Los prepagos quedan a disposición del ASIC como mandatario de los agentes del Mercado de Energía Mayorista para que efectúe las transferencias respectivas a los agentes beneficiarios, acorde con los procedimientos y plazos establecidos en la normatividad vigente.</w:t>
      </w:r>
    </w:p>
    <w:p w:rsidR="00611F02" w:rsidRDefault="00611F02" w:rsidP="00B97E75">
      <w:pPr>
        <w:jc w:val="both"/>
        <w:rPr>
          <w:rFonts w:ascii="Bookman Old Style" w:hAnsi="Bookman Old Style" w:cs="Arial"/>
          <w:i/>
          <w:lang w:val="es-ES_tradnl"/>
        </w:rPr>
      </w:pPr>
    </w:p>
    <w:p w:rsidR="00611F02" w:rsidRDefault="00611F02" w:rsidP="00B97E75">
      <w:pPr>
        <w:jc w:val="both"/>
        <w:rPr>
          <w:rFonts w:ascii="Bookman Old Style" w:hAnsi="Bookman Old Style" w:cs="Arial"/>
          <w:i/>
          <w:lang w:val="es-ES_tradnl"/>
        </w:rPr>
      </w:pPr>
      <w:r w:rsidRPr="008D4E66">
        <w:rPr>
          <w:rFonts w:ascii="Bookman Old Style" w:hAnsi="Bookman Old Style" w:cs="Arial"/>
          <w:b/>
          <w:i/>
          <w:lang w:val="es-ES_tradnl"/>
        </w:rPr>
        <w:t>Parágrafo 1</w:t>
      </w:r>
      <w:r>
        <w:rPr>
          <w:rFonts w:ascii="Bookman Old Style" w:hAnsi="Bookman Old Style" w:cs="Arial"/>
          <w:b/>
          <w:i/>
          <w:lang w:val="es-ES_tradnl"/>
        </w:rPr>
        <w:t xml:space="preserve">. </w:t>
      </w:r>
      <w:r w:rsidRPr="00B97E75">
        <w:rPr>
          <w:rFonts w:ascii="Bookman Old Style" w:hAnsi="Bookman Old Style" w:cs="Arial"/>
          <w:i/>
          <w:lang w:val="es-ES_tradnl"/>
        </w:rPr>
        <w:t xml:space="preserve">La </w:t>
      </w:r>
      <w:r w:rsidRPr="00611F02">
        <w:rPr>
          <w:rFonts w:ascii="Bookman Old Style" w:hAnsi="Bookman Old Style" w:cs="Arial"/>
          <w:i/>
          <w:lang w:val="es-ES_tradnl"/>
        </w:rPr>
        <w:t xml:space="preserve">Cesión </w:t>
      </w:r>
      <w:r w:rsidRPr="00B97E75">
        <w:rPr>
          <w:rFonts w:ascii="Bookman Old Style" w:hAnsi="Bookman Old Style" w:cs="Arial"/>
          <w:i/>
          <w:lang w:val="es-ES_tradnl"/>
        </w:rPr>
        <w:t xml:space="preserve">de </w:t>
      </w:r>
      <w:r w:rsidRPr="00611F02">
        <w:rPr>
          <w:rFonts w:ascii="Bookman Old Style" w:hAnsi="Bookman Old Style" w:cs="Arial"/>
          <w:i/>
          <w:lang w:val="es-ES_tradnl"/>
        </w:rPr>
        <w:t xml:space="preserve">Derechos </w:t>
      </w:r>
      <w:r w:rsidRPr="00B97E75">
        <w:rPr>
          <w:rFonts w:ascii="Bookman Old Style" w:hAnsi="Bookman Old Style" w:cs="Arial"/>
          <w:i/>
          <w:lang w:val="es-ES_tradnl"/>
        </w:rPr>
        <w:t xml:space="preserve">de </w:t>
      </w:r>
      <w:r w:rsidRPr="00611F02">
        <w:rPr>
          <w:rFonts w:ascii="Bookman Old Style" w:hAnsi="Bookman Old Style" w:cs="Arial"/>
          <w:i/>
          <w:lang w:val="es-ES_tradnl"/>
        </w:rPr>
        <w:t>Crédito</w:t>
      </w:r>
      <w:r>
        <w:rPr>
          <w:rFonts w:ascii="Bookman Old Style" w:hAnsi="Bookman Old Style" w:cs="Arial"/>
          <w:i/>
          <w:lang w:val="es-ES_tradnl"/>
        </w:rPr>
        <w:t xml:space="preserve"> deberá cumplir los siguientes requisitos adicionales:</w:t>
      </w:r>
    </w:p>
    <w:p w:rsidR="00611F02" w:rsidRDefault="00611F02" w:rsidP="00B97E75">
      <w:pPr>
        <w:jc w:val="both"/>
        <w:rPr>
          <w:rFonts w:ascii="Bookman Old Style" w:hAnsi="Bookman Old Style" w:cs="Arial"/>
          <w:i/>
          <w:lang w:val="es-ES_tradnl"/>
        </w:rPr>
      </w:pPr>
    </w:p>
    <w:p w:rsidR="00611F02" w:rsidRPr="00611F02" w:rsidRDefault="00611F02" w:rsidP="00B97E75">
      <w:pPr>
        <w:numPr>
          <w:ilvl w:val="0"/>
          <w:numId w:val="258"/>
        </w:numPr>
        <w:suppressAutoHyphens/>
        <w:jc w:val="both"/>
        <w:rPr>
          <w:rFonts w:ascii="Bookman Old Style" w:hAnsi="Bookman Old Style"/>
          <w:i/>
        </w:rPr>
      </w:pPr>
      <w:r w:rsidRPr="00B97E75">
        <w:rPr>
          <w:rFonts w:ascii="Bookman Old Style" w:hAnsi="Bookman Old Style" w:cs="Arial"/>
          <w:i/>
        </w:rPr>
        <w:t>El ASIC verificará previamente la existencia y estimará la cuantía de los derechos de crédito del Agente que cedió los derechos.</w:t>
      </w:r>
    </w:p>
    <w:p w:rsidR="00FA73F0" w:rsidRDefault="00FA73F0" w:rsidP="00FA73F0">
      <w:pPr>
        <w:suppressAutoHyphens/>
        <w:ind w:left="927"/>
        <w:jc w:val="both"/>
        <w:rPr>
          <w:rFonts w:ascii="Bookman Old Style" w:hAnsi="Bookman Old Style"/>
          <w:i/>
        </w:rPr>
      </w:pPr>
    </w:p>
    <w:p w:rsidR="00611F02" w:rsidRDefault="00611F02" w:rsidP="00B97E75">
      <w:pPr>
        <w:numPr>
          <w:ilvl w:val="0"/>
          <w:numId w:val="258"/>
        </w:numPr>
        <w:suppressAutoHyphens/>
        <w:jc w:val="both"/>
        <w:rPr>
          <w:rFonts w:ascii="Bookman Old Style" w:hAnsi="Bookman Old Style"/>
          <w:i/>
        </w:rPr>
      </w:pPr>
      <w:r w:rsidRPr="00611F02">
        <w:rPr>
          <w:rFonts w:ascii="Bookman Old Style" w:hAnsi="Bookman Old Style"/>
          <w:i/>
        </w:rPr>
        <w:t>El Agente que cedió los derechos deberá hacer constar por escrito, en el formato que para tal efecto suministre el ASIC, que se trata de una orden firme, irrevocable, exigible, incondicional y oponible a terceros.</w:t>
      </w:r>
    </w:p>
    <w:p w:rsidR="00FA73F0" w:rsidRDefault="00FA73F0" w:rsidP="00FA73F0">
      <w:pPr>
        <w:suppressAutoHyphens/>
        <w:ind w:left="927"/>
        <w:jc w:val="both"/>
        <w:rPr>
          <w:rFonts w:ascii="Bookman Old Style" w:hAnsi="Bookman Old Style"/>
          <w:i/>
        </w:rPr>
      </w:pPr>
    </w:p>
    <w:p w:rsidR="00611F02" w:rsidRDefault="00611F02" w:rsidP="00B97E75">
      <w:pPr>
        <w:numPr>
          <w:ilvl w:val="0"/>
          <w:numId w:val="258"/>
        </w:numPr>
        <w:suppressAutoHyphens/>
        <w:jc w:val="both"/>
        <w:rPr>
          <w:rFonts w:ascii="Bookman Old Style" w:hAnsi="Bookman Old Style"/>
          <w:i/>
        </w:rPr>
      </w:pPr>
      <w:r w:rsidRPr="00611F02">
        <w:rPr>
          <w:rFonts w:ascii="Bookman Old Style" w:hAnsi="Bookman Old Style"/>
          <w:i/>
        </w:rPr>
        <w:t>El Agente que cedió los derechos deberá hacer constar por escrito, en el formato que para tal efecto suministre el ASIC, que acepta incondicional e irrevocablemente que los saldos a su favor pendientes de recaudo por el ASIC y el LAC y que están comprometidos por la cesión, sólo le serán entregados cuando se hayan pagado totalmente las obligaciones cubiertas con este instrumento.</w:t>
      </w:r>
    </w:p>
    <w:p w:rsidR="00FA73F0" w:rsidRPr="00FA73F0" w:rsidRDefault="00FA73F0" w:rsidP="00FA73F0">
      <w:pPr>
        <w:suppressAutoHyphens/>
        <w:ind w:left="927"/>
        <w:jc w:val="both"/>
        <w:rPr>
          <w:rFonts w:ascii="Bookman Old Style" w:hAnsi="Bookman Old Style"/>
          <w:i/>
        </w:rPr>
      </w:pPr>
    </w:p>
    <w:p w:rsidR="00611F02" w:rsidRPr="00611F02" w:rsidRDefault="00611F02" w:rsidP="00B97E75">
      <w:pPr>
        <w:numPr>
          <w:ilvl w:val="0"/>
          <w:numId w:val="258"/>
        </w:numPr>
        <w:suppressAutoHyphens/>
        <w:jc w:val="both"/>
        <w:rPr>
          <w:rFonts w:ascii="Bookman Old Style" w:hAnsi="Bookman Old Style"/>
          <w:i/>
        </w:rPr>
      </w:pPr>
      <w:r w:rsidRPr="00B97E75">
        <w:rPr>
          <w:rFonts w:ascii="Bookman Old Style" w:hAnsi="Bookman Old Style" w:cs="Arial"/>
          <w:i/>
        </w:rPr>
        <w:t xml:space="preserve">El Crédito se entenderá cedido irrevocablemente en el momento de entrega de las constancias escritas presentadas ante el ASIC, tal como lo establecen los </w:t>
      </w:r>
      <w:r w:rsidR="00563A89">
        <w:rPr>
          <w:rFonts w:ascii="Bookman Old Style" w:hAnsi="Bookman Old Style" w:cs="Arial"/>
          <w:i/>
        </w:rPr>
        <w:t>lite</w:t>
      </w:r>
      <w:r w:rsidRPr="00B97E75">
        <w:rPr>
          <w:rFonts w:ascii="Bookman Old Style" w:hAnsi="Bookman Old Style" w:cs="Arial"/>
          <w:i/>
        </w:rPr>
        <w:t xml:space="preserve">rales </w:t>
      </w:r>
      <w:r w:rsidR="00A010D2">
        <w:rPr>
          <w:rFonts w:ascii="Bookman Old Style" w:hAnsi="Bookman Old Style" w:cs="Arial"/>
          <w:i/>
        </w:rPr>
        <w:t>b</w:t>
      </w:r>
      <w:r w:rsidR="00A010D2" w:rsidRPr="00B97E75">
        <w:rPr>
          <w:rFonts w:ascii="Bookman Old Style" w:hAnsi="Bookman Old Style" w:cs="Arial"/>
          <w:i/>
        </w:rPr>
        <w:t xml:space="preserve"> </w:t>
      </w:r>
      <w:r w:rsidRPr="00B97E75">
        <w:rPr>
          <w:rFonts w:ascii="Bookman Old Style" w:hAnsi="Bookman Old Style" w:cs="Arial"/>
          <w:i/>
        </w:rPr>
        <w:t xml:space="preserve">y </w:t>
      </w:r>
      <w:r w:rsidR="00A010D2">
        <w:rPr>
          <w:rFonts w:ascii="Bookman Old Style" w:hAnsi="Bookman Old Style" w:cs="Arial"/>
          <w:i/>
        </w:rPr>
        <w:t>c</w:t>
      </w:r>
      <w:r w:rsidRPr="00B97E75">
        <w:rPr>
          <w:rFonts w:ascii="Bookman Old Style" w:hAnsi="Bookman Old Style" w:cs="Arial"/>
          <w:i/>
        </w:rPr>
        <w:t>.</w:t>
      </w:r>
    </w:p>
    <w:p w:rsidR="00611F02" w:rsidRPr="00365D37" w:rsidRDefault="00611F02" w:rsidP="00611F02">
      <w:pPr>
        <w:suppressAutoHyphens/>
        <w:ind w:left="1134"/>
        <w:jc w:val="both"/>
        <w:rPr>
          <w:rFonts w:ascii="Bookman Old Style" w:hAnsi="Bookman Old Style"/>
          <w:i/>
        </w:rPr>
      </w:pPr>
    </w:p>
    <w:p w:rsidR="00376AA0" w:rsidRPr="008D4E66" w:rsidRDefault="00611F02" w:rsidP="00B97E75">
      <w:pPr>
        <w:jc w:val="both"/>
        <w:rPr>
          <w:rFonts w:ascii="Bookman Old Style" w:hAnsi="Bookman Old Style" w:cs="Arial"/>
          <w:i/>
          <w:lang w:val="es-ES_tradnl"/>
        </w:rPr>
      </w:pPr>
      <w:r>
        <w:rPr>
          <w:rFonts w:ascii="Bookman Old Style" w:hAnsi="Bookman Old Style" w:cs="Arial"/>
          <w:b/>
          <w:i/>
          <w:lang w:val="es-ES_tradnl"/>
        </w:rPr>
        <w:t xml:space="preserve">Parágrafo 2. </w:t>
      </w:r>
      <w:r w:rsidR="00376AA0" w:rsidRPr="008D4E66">
        <w:rPr>
          <w:rFonts w:ascii="Bookman Old Style" w:hAnsi="Bookman Old Style" w:cs="Arial"/>
          <w:i/>
          <w:lang w:val="es-ES_tradnl"/>
        </w:rPr>
        <w:t xml:space="preserve">El ASIC presentará a consideración de la CREG nuevas modalidades de Garantías o Mecanismos Alternativos que eventualmente surjan en el mercado y que cumplan con los criterios establecidos en el Artículo 2 del presente Reglamento. El Comité de Expertos de la CREG </w:t>
      </w:r>
      <w:r w:rsidR="00376AA0" w:rsidRPr="008D4E66">
        <w:rPr>
          <w:rFonts w:ascii="Bookman Old Style" w:hAnsi="Bookman Old Style" w:cs="Arial"/>
          <w:i/>
          <w:lang w:val="es-ES_tradnl"/>
        </w:rPr>
        <w:lastRenderedPageBreak/>
        <w:t>informará mediante Circular la aprobación de nuevas modalidades admisibles para cubrir las obligaciones del Mercado de Energía Mayorista.</w:t>
      </w:r>
    </w:p>
    <w:p w:rsidR="00635277" w:rsidRDefault="00635277" w:rsidP="00AC619A">
      <w:pPr>
        <w:jc w:val="both"/>
        <w:rPr>
          <w:rFonts w:ascii="Bookman Old Style" w:hAnsi="Bookman Old Style" w:cs="Arial"/>
          <w:i/>
          <w:lang w:val="es-ES_tradnl"/>
        </w:rPr>
      </w:pPr>
    </w:p>
    <w:p w:rsidR="00AC619A" w:rsidRPr="008D4E66" w:rsidRDefault="00B00A96" w:rsidP="00AC619A">
      <w:pPr>
        <w:jc w:val="both"/>
        <w:rPr>
          <w:rFonts w:ascii="Bookman Old Style" w:hAnsi="Bookman Old Style" w:cs="Arial"/>
          <w:i/>
          <w:lang w:val="es-ES_tradnl"/>
        </w:rPr>
      </w:pPr>
      <w:r w:rsidRPr="008D4E66">
        <w:rPr>
          <w:rFonts w:ascii="Bookman Old Style" w:hAnsi="Bookman Old Style" w:cs="Arial"/>
          <w:b/>
          <w:i/>
          <w:lang w:val="es-ES_tradnl"/>
        </w:rPr>
        <w:t xml:space="preserve">Parágrafo </w:t>
      </w:r>
      <w:r w:rsidR="00312495">
        <w:rPr>
          <w:rFonts w:ascii="Bookman Old Style" w:hAnsi="Bookman Old Style" w:cs="Arial"/>
          <w:b/>
          <w:i/>
          <w:lang w:val="es-ES_tradnl"/>
        </w:rPr>
        <w:t>3</w:t>
      </w:r>
      <w:r w:rsidR="00AC619A" w:rsidRPr="008D4E66">
        <w:rPr>
          <w:rFonts w:ascii="Bookman Old Style" w:hAnsi="Bookman Old Style" w:cs="Arial"/>
          <w:b/>
          <w:i/>
          <w:lang w:val="es-ES_tradnl"/>
        </w:rPr>
        <w:t>.</w:t>
      </w:r>
      <w:r w:rsidR="00AC619A" w:rsidRPr="008D4E66">
        <w:rPr>
          <w:rFonts w:ascii="Bookman Old Style" w:hAnsi="Bookman Old Style" w:cs="Arial"/>
          <w:i/>
          <w:lang w:val="es-ES_tradnl"/>
        </w:rPr>
        <w:t xml:space="preserve"> Los Agentes podrán combinar una o varias clases de Garantías y de Mecanismos Alternativos para cubrir sus obligaciones en el Mercado de Energía Mayorista. Los Prepagos Semanales no se podrán combinar con Garantías, Cesión de Derechos de Crédito o Prepagos Mensuales.</w:t>
      </w:r>
    </w:p>
    <w:p w:rsidR="00B00A96" w:rsidRPr="008D4E66" w:rsidRDefault="00B00A96" w:rsidP="00AC619A">
      <w:pPr>
        <w:jc w:val="both"/>
        <w:rPr>
          <w:rFonts w:ascii="Bookman Old Style" w:hAnsi="Bookman Old Style" w:cs="Arial"/>
          <w:i/>
          <w:lang w:val="es-ES_tradnl"/>
        </w:rPr>
      </w:pPr>
    </w:p>
    <w:p w:rsidR="00B00A96" w:rsidRDefault="00B00A96" w:rsidP="00B00A96">
      <w:pPr>
        <w:jc w:val="both"/>
        <w:rPr>
          <w:rFonts w:ascii="Bookman Old Style" w:hAnsi="Bookman Old Style" w:cs="Arial"/>
          <w:i/>
          <w:lang w:val="es-ES_tradnl"/>
        </w:rPr>
      </w:pPr>
      <w:r w:rsidRPr="008D4E66">
        <w:rPr>
          <w:rFonts w:ascii="Bookman Old Style" w:hAnsi="Bookman Old Style" w:cs="Arial"/>
          <w:b/>
          <w:i/>
          <w:lang w:val="es-ES_tradnl"/>
        </w:rPr>
        <w:t xml:space="preserve">Parágrafo </w:t>
      </w:r>
      <w:r w:rsidR="00312495">
        <w:rPr>
          <w:rFonts w:ascii="Bookman Old Style" w:hAnsi="Bookman Old Style" w:cs="Arial"/>
          <w:b/>
          <w:i/>
          <w:lang w:val="es-ES_tradnl"/>
        </w:rPr>
        <w:t>4</w:t>
      </w:r>
      <w:r w:rsidRPr="008D4E66">
        <w:rPr>
          <w:rFonts w:ascii="Bookman Old Style" w:hAnsi="Bookman Old Style" w:cs="Arial"/>
          <w:b/>
          <w:i/>
          <w:lang w:val="es-ES_tradnl"/>
        </w:rPr>
        <w:t>.</w:t>
      </w:r>
      <w:r w:rsidRPr="008D4E66">
        <w:rPr>
          <w:rFonts w:ascii="Bookman Old Style" w:hAnsi="Bookman Old Style" w:cs="Arial"/>
          <w:i/>
          <w:lang w:val="es-ES_tradnl"/>
        </w:rPr>
        <w:t xml:space="preserve"> El ASIC establecerá las condiciones para la </w:t>
      </w:r>
      <w:r w:rsidRPr="008D4E66">
        <w:rPr>
          <w:rFonts w:ascii="Bookman Old Style" w:hAnsi="Bookman Old Style" w:cs="Arial"/>
          <w:bCs/>
          <w:i/>
        </w:rPr>
        <w:t>emisión y ejecución de las Garantías Bancarias</w:t>
      </w:r>
      <w:r w:rsidR="005B22CD" w:rsidRPr="008D4E66">
        <w:rPr>
          <w:rFonts w:ascii="Bookman Old Style" w:hAnsi="Bookman Old Style" w:cs="Arial"/>
          <w:bCs/>
          <w:i/>
        </w:rPr>
        <w:t xml:space="preserve">, </w:t>
      </w:r>
      <w:r w:rsidRPr="008D4E66">
        <w:rPr>
          <w:rFonts w:ascii="Bookman Old Style" w:hAnsi="Bookman Old Style" w:cs="Arial"/>
          <w:bCs/>
          <w:i/>
        </w:rPr>
        <w:t>de los Avales Bancarios</w:t>
      </w:r>
      <w:r w:rsidR="005B22CD" w:rsidRPr="008D4E66">
        <w:rPr>
          <w:rFonts w:ascii="Bookman Old Style" w:hAnsi="Bookman Old Style" w:cs="Arial"/>
          <w:bCs/>
          <w:i/>
        </w:rPr>
        <w:t xml:space="preserve"> y de las </w:t>
      </w:r>
      <w:r w:rsidR="005B22CD" w:rsidRPr="008D4E66">
        <w:rPr>
          <w:rFonts w:ascii="Bookman Old Style" w:hAnsi="Bookman Old Style" w:cs="Arial"/>
          <w:i/>
          <w:lang w:val="es-ES_tradnl"/>
        </w:rPr>
        <w:t>Cartas de Crédito</w:t>
      </w:r>
      <w:r w:rsidRPr="008D4E66">
        <w:rPr>
          <w:rFonts w:ascii="Bookman Old Style" w:hAnsi="Bookman Old Style" w:cs="Arial"/>
          <w:bCs/>
          <w:i/>
        </w:rPr>
        <w:t>.</w:t>
      </w:r>
      <w:r w:rsidRPr="008D4E66">
        <w:rPr>
          <w:rFonts w:ascii="Bookman Old Style" w:hAnsi="Bookman Old Style" w:cs="Arial"/>
          <w:i/>
          <w:lang w:val="es-ES_tradnl"/>
        </w:rPr>
        <w:t>”</w:t>
      </w:r>
    </w:p>
    <w:p w:rsidR="009A3947" w:rsidRPr="007472F8" w:rsidRDefault="009A3947" w:rsidP="009A3947">
      <w:pPr>
        <w:jc w:val="both"/>
        <w:rPr>
          <w:rFonts w:ascii="Bookman Old Style" w:hAnsi="Bookman Old Style" w:cs="Arial"/>
          <w:bCs/>
          <w:i/>
          <w:sz w:val="32"/>
        </w:rPr>
      </w:pPr>
    </w:p>
    <w:p w:rsidR="00C20249" w:rsidRPr="008D4E66" w:rsidRDefault="00C20249" w:rsidP="0041145E">
      <w:pPr>
        <w:numPr>
          <w:ilvl w:val="0"/>
          <w:numId w:val="7"/>
        </w:numPr>
        <w:tabs>
          <w:tab w:val="num" w:pos="1440"/>
          <w:tab w:val="left" w:pos="1701"/>
        </w:tabs>
        <w:ind w:left="0"/>
        <w:jc w:val="both"/>
        <w:rPr>
          <w:rFonts w:ascii="Bookman Old Style" w:hAnsi="Bookman Old Style" w:cs="Arial"/>
          <w:b/>
          <w:bCs/>
        </w:rPr>
      </w:pPr>
      <w:r w:rsidRPr="008D4E66">
        <w:rPr>
          <w:rFonts w:ascii="Bookman Old Style" w:hAnsi="Bookman Old Style" w:cs="Arial"/>
          <w:b/>
          <w:bCs/>
        </w:rPr>
        <w:t xml:space="preserve">Modificación del artículo 10 del Anexo de la Resolución CREG 019 de 2006. </w:t>
      </w:r>
      <w:r w:rsidRPr="008D4E66">
        <w:rPr>
          <w:rFonts w:ascii="Bookman Old Style" w:hAnsi="Bookman Old Style" w:cs="Arial"/>
          <w:bCs/>
        </w:rPr>
        <w:t>El artículo 10 del Anexo de la Resolución CREG 019 de 2006 quedará así:</w:t>
      </w:r>
    </w:p>
    <w:p w:rsidR="00C20249" w:rsidRPr="008D4E66" w:rsidRDefault="00C20249" w:rsidP="009A3947">
      <w:pPr>
        <w:tabs>
          <w:tab w:val="left" w:pos="1701"/>
        </w:tabs>
        <w:ind w:left="142"/>
        <w:jc w:val="both"/>
        <w:rPr>
          <w:rFonts w:ascii="Bookman Old Style" w:hAnsi="Bookman Old Style" w:cs="Arial"/>
          <w:b/>
          <w:bCs/>
        </w:rPr>
      </w:pPr>
    </w:p>
    <w:p w:rsidR="00C20249" w:rsidRPr="008D4E66" w:rsidRDefault="00C20249" w:rsidP="009A3947">
      <w:pPr>
        <w:jc w:val="both"/>
        <w:rPr>
          <w:rFonts w:ascii="Bookman Old Style" w:hAnsi="Bookman Old Style"/>
          <w:i/>
          <w:lang w:val="es-ES_tradnl"/>
        </w:rPr>
      </w:pPr>
      <w:r w:rsidRPr="008D4E66">
        <w:rPr>
          <w:rFonts w:ascii="Bookman Old Style" w:hAnsi="Bookman Old Style"/>
          <w:i/>
          <w:lang w:val="es-ES_tradnl"/>
        </w:rPr>
        <w:t>“</w:t>
      </w:r>
      <w:r w:rsidRPr="008D4E66">
        <w:rPr>
          <w:rFonts w:ascii="Bookman Old Style" w:hAnsi="Bookman Old Style"/>
          <w:b/>
          <w:i/>
          <w:lang w:val="es-ES_tradnl"/>
        </w:rPr>
        <w:t xml:space="preserve">ARTÍCULO 10. METODOLOGÍA PARA EL CÁLCULO Y PUBLICACIÓN DE MONTOS DE LAS GARANTÍAS Y DE LOS MECANISMOS ALTERNATIVOS. </w:t>
      </w:r>
      <w:r w:rsidRPr="008D4E66">
        <w:rPr>
          <w:rFonts w:ascii="Bookman Old Style" w:hAnsi="Bookman Old Style"/>
          <w:i/>
          <w:lang w:val="es-ES_tradnl"/>
        </w:rPr>
        <w:t xml:space="preserve">Los montos a cubrir serán calculados por el ASIC de conformidad con la metodología establecida en el Anexo del presente Reglamento, con el objeto de cubrir las transacciones en el Mercado de Energía </w:t>
      </w:r>
      <w:r w:rsidR="00261653" w:rsidRPr="008D4E66">
        <w:rPr>
          <w:rFonts w:ascii="Bookman Old Style" w:hAnsi="Bookman Old Style"/>
          <w:i/>
          <w:lang w:val="es-ES_tradnl"/>
        </w:rPr>
        <w:t xml:space="preserve">Mayorista </w:t>
      </w:r>
      <w:r w:rsidRPr="008D4E66">
        <w:rPr>
          <w:rFonts w:ascii="Bookman Old Style" w:hAnsi="Bookman Old Style"/>
          <w:i/>
          <w:lang w:val="es-ES_tradnl"/>
        </w:rPr>
        <w:t xml:space="preserve">administradas por el ASIC y por el LAC. Los montos mensuales a cubrir serán publicados por el ASIC en la página </w:t>
      </w:r>
      <w:r w:rsidR="008C32C2" w:rsidRPr="008D4E66">
        <w:rPr>
          <w:rFonts w:ascii="Bookman Old Style" w:hAnsi="Bookman Old Style"/>
          <w:i/>
          <w:lang w:val="es-ES_tradnl"/>
        </w:rPr>
        <w:t xml:space="preserve">web </w:t>
      </w:r>
      <w:r w:rsidRPr="008D4E66">
        <w:rPr>
          <w:rFonts w:ascii="Bookman Old Style" w:hAnsi="Bookman Old Style"/>
          <w:i/>
          <w:lang w:val="es-ES_tradnl"/>
        </w:rPr>
        <w:t>del Mercado de Energía</w:t>
      </w:r>
      <w:r w:rsidR="00261653" w:rsidRPr="008D4E66">
        <w:rPr>
          <w:rFonts w:ascii="Bookman Old Style" w:hAnsi="Bookman Old Style"/>
          <w:i/>
          <w:lang w:val="es-ES_tradnl"/>
        </w:rPr>
        <w:t xml:space="preserve"> Mayorista</w:t>
      </w:r>
      <w:r w:rsidRPr="008D4E66">
        <w:rPr>
          <w:rFonts w:ascii="Bookman Old Style" w:hAnsi="Bookman Old Style"/>
          <w:i/>
          <w:lang w:val="es-ES_tradnl"/>
        </w:rPr>
        <w:t xml:space="preserve">, a más tardar dieciséis (16) días hábiles antes del inicio del período a </w:t>
      </w:r>
      <w:r w:rsidR="00914A71" w:rsidRPr="008D4E66">
        <w:rPr>
          <w:rFonts w:ascii="Bookman Old Style" w:hAnsi="Bookman Old Style"/>
          <w:i/>
          <w:lang w:val="es-ES_tradnl"/>
        </w:rPr>
        <w:t>cubrir</w:t>
      </w:r>
      <w:r w:rsidRPr="008D4E66">
        <w:rPr>
          <w:rFonts w:ascii="Bookman Old Style" w:hAnsi="Bookman Old Style"/>
          <w:i/>
          <w:lang w:val="es-ES_tradnl"/>
        </w:rPr>
        <w:t xml:space="preserve">. Los montos calculados serán ajustados de acuerdo con los </w:t>
      </w:r>
      <w:r w:rsidR="00224B36" w:rsidRPr="008D4E66">
        <w:rPr>
          <w:rFonts w:ascii="Bookman Old Style" w:hAnsi="Bookman Old Style"/>
          <w:i/>
          <w:lang w:val="es-ES_tradnl"/>
        </w:rPr>
        <w:t xml:space="preserve">artículos </w:t>
      </w:r>
      <w:r w:rsidRPr="008D4E66">
        <w:rPr>
          <w:rFonts w:ascii="Bookman Old Style" w:hAnsi="Bookman Old Style"/>
          <w:i/>
          <w:lang w:val="es-ES_tradnl"/>
        </w:rPr>
        <w:t>11 y 12 del presente Reglamento.</w:t>
      </w:r>
    </w:p>
    <w:p w:rsidR="00C20249" w:rsidRPr="008D4E66" w:rsidRDefault="00C20249" w:rsidP="009A3947">
      <w:pPr>
        <w:jc w:val="both"/>
        <w:rPr>
          <w:rFonts w:ascii="Bookman Old Style" w:hAnsi="Bookman Old Style"/>
          <w:i/>
          <w:lang w:val="es-ES_tradnl"/>
        </w:rPr>
      </w:pPr>
    </w:p>
    <w:p w:rsidR="00C20249" w:rsidRPr="008D4E66" w:rsidRDefault="00C20249" w:rsidP="009A3947">
      <w:pPr>
        <w:jc w:val="both"/>
        <w:rPr>
          <w:rFonts w:ascii="Bookman Old Style" w:hAnsi="Bookman Old Style" w:cs="Arial"/>
          <w:i/>
          <w:lang w:val="es-ES_tradnl"/>
        </w:rPr>
      </w:pPr>
      <w:r w:rsidRPr="008D4E66">
        <w:rPr>
          <w:rFonts w:ascii="Bookman Old Style" w:hAnsi="Bookman Old Style" w:cs="Arial"/>
          <w:i/>
          <w:lang w:val="es-ES_tradnl"/>
        </w:rPr>
        <w:t xml:space="preserve">Para </w:t>
      </w:r>
      <w:bookmarkStart w:id="1" w:name="OLE_LINK7"/>
      <w:bookmarkStart w:id="2" w:name="OLE_LINK8"/>
      <w:r w:rsidRPr="008D4E66">
        <w:rPr>
          <w:rFonts w:ascii="Bookman Old Style" w:hAnsi="Bookman Old Style" w:cs="Arial"/>
          <w:i/>
          <w:lang w:val="es-ES_tradnl"/>
        </w:rPr>
        <w:t>el cálculo de los Prepagos Semanales</w:t>
      </w:r>
      <w:bookmarkEnd w:id="1"/>
      <w:bookmarkEnd w:id="2"/>
      <w:r w:rsidRPr="008D4E66">
        <w:rPr>
          <w:rFonts w:ascii="Bookman Old Style" w:hAnsi="Bookman Old Style" w:cs="Arial"/>
          <w:i/>
          <w:lang w:val="es-ES_tradnl"/>
        </w:rPr>
        <w:t>, cada viernes de la semana t, el ASIC dará a conocer el valor del Prepago Semanal a pagar por cada Agente, correspondiente a las transacciones esperadas para la semana t+</w:t>
      </w:r>
      <w:r w:rsidR="0098591F" w:rsidRPr="008D4E66">
        <w:rPr>
          <w:rFonts w:ascii="Bookman Old Style" w:hAnsi="Bookman Old Style" w:cs="Arial"/>
          <w:i/>
          <w:lang w:val="es-ES_tradnl"/>
        </w:rPr>
        <w:t>3</w:t>
      </w:r>
      <w:r w:rsidRPr="008D4E66">
        <w:rPr>
          <w:rFonts w:ascii="Bookman Old Style" w:hAnsi="Bookman Old Style" w:cs="Arial"/>
          <w:i/>
          <w:lang w:val="es-ES_tradnl"/>
        </w:rPr>
        <w:t xml:space="preserve"> en el Mercado de Energía</w:t>
      </w:r>
      <w:r w:rsidR="00261653" w:rsidRPr="008D4E66">
        <w:rPr>
          <w:rFonts w:ascii="Bookman Old Style" w:hAnsi="Bookman Old Style" w:cs="Arial"/>
          <w:i/>
          <w:lang w:val="es-ES_tradnl"/>
        </w:rPr>
        <w:t xml:space="preserve"> Mayorista</w:t>
      </w:r>
      <w:r w:rsidRPr="008D4E66">
        <w:rPr>
          <w:rFonts w:ascii="Bookman Old Style" w:hAnsi="Bookman Old Style" w:cs="Arial"/>
          <w:i/>
          <w:lang w:val="es-ES_tradnl"/>
        </w:rPr>
        <w:t>. La semana a cubrir iniciará el día sábado y terminará el viernes siguiente. El Agente deberá realizar dicho Prepago a más tardar el martes de la semana t+1.</w:t>
      </w:r>
    </w:p>
    <w:p w:rsidR="00C20249" w:rsidRPr="008D4E66" w:rsidRDefault="00C20249" w:rsidP="009A3947">
      <w:pPr>
        <w:jc w:val="both"/>
        <w:rPr>
          <w:rFonts w:ascii="Bookman Old Style" w:hAnsi="Bookman Old Style" w:cs="Arial"/>
          <w:i/>
          <w:lang w:val="es-ES_tradnl"/>
        </w:rPr>
      </w:pPr>
    </w:p>
    <w:p w:rsidR="00C20249" w:rsidRPr="008D4E66" w:rsidRDefault="0098591F" w:rsidP="009A3947">
      <w:pPr>
        <w:jc w:val="both"/>
        <w:rPr>
          <w:rFonts w:ascii="Bookman Old Style" w:hAnsi="Bookman Old Style"/>
          <w:i/>
          <w:lang w:val="es-ES_tradnl"/>
        </w:rPr>
      </w:pPr>
      <w:r w:rsidRPr="008D4E66">
        <w:rPr>
          <w:rFonts w:ascii="Bookman Old Style" w:hAnsi="Bookman Old Style"/>
          <w:b/>
          <w:i/>
          <w:lang w:val="es-ES_tradnl"/>
        </w:rPr>
        <w:t>Parágrafo.</w:t>
      </w:r>
      <w:r w:rsidRPr="008D4E66">
        <w:rPr>
          <w:rFonts w:ascii="Bookman Old Style" w:hAnsi="Bookman Old Style"/>
          <w:i/>
          <w:lang w:val="es-ES_tradnl"/>
        </w:rPr>
        <w:t xml:space="preserve"> </w:t>
      </w:r>
      <w:r w:rsidR="00122BF0" w:rsidRPr="008D4E66">
        <w:rPr>
          <w:rFonts w:ascii="Bookman Old Style" w:hAnsi="Bookman Old Style"/>
          <w:i/>
          <w:lang w:val="es-ES_tradnl"/>
        </w:rPr>
        <w:t>E</w:t>
      </w:r>
      <w:r w:rsidRPr="008D4E66">
        <w:rPr>
          <w:rFonts w:ascii="Bookman Old Style" w:hAnsi="Bookman Old Style"/>
          <w:i/>
          <w:lang w:val="es-ES_tradnl"/>
        </w:rPr>
        <w:t xml:space="preserve">l ASIC incluirá en el </w:t>
      </w:r>
      <w:r w:rsidRPr="008D4E66">
        <w:rPr>
          <w:rFonts w:ascii="Bookman Old Style" w:hAnsi="Bookman Old Style" w:cs="Arial"/>
          <w:i/>
          <w:lang w:val="es-ES_tradnl"/>
        </w:rPr>
        <w:t>valor de</w:t>
      </w:r>
      <w:r w:rsidR="00122BF0" w:rsidRPr="008D4E66">
        <w:rPr>
          <w:rFonts w:ascii="Bookman Old Style" w:hAnsi="Bookman Old Style" w:cs="Arial"/>
          <w:i/>
          <w:lang w:val="es-ES_tradnl"/>
        </w:rPr>
        <w:t xml:space="preserve">l </w:t>
      </w:r>
      <w:r w:rsidR="00122BF0" w:rsidRPr="008D4E66">
        <w:rPr>
          <w:rFonts w:ascii="Bookman Old Style" w:hAnsi="Bookman Old Style"/>
          <w:i/>
          <w:lang w:val="es-ES_tradnl"/>
        </w:rPr>
        <w:t>Prepago Semanal</w:t>
      </w:r>
      <w:r w:rsidR="006B0DA1" w:rsidRPr="008D4E66">
        <w:rPr>
          <w:rFonts w:ascii="Bookman Old Style" w:hAnsi="Bookman Old Style" w:cs="Arial"/>
          <w:i/>
          <w:lang w:val="es-ES_tradnl"/>
        </w:rPr>
        <w:t xml:space="preserve"> el correspondiente a las transacciones esperadas para </w:t>
      </w:r>
      <w:r w:rsidRPr="008D4E66">
        <w:rPr>
          <w:rFonts w:ascii="Bookman Old Style" w:hAnsi="Bookman Old Style" w:cs="Arial"/>
          <w:i/>
          <w:lang w:val="es-ES_tradnl"/>
        </w:rPr>
        <w:t>los días previos a la semana t+3</w:t>
      </w:r>
      <w:r w:rsidR="006B0DA1" w:rsidRPr="008D4E66">
        <w:rPr>
          <w:rFonts w:ascii="Bookman Old Style" w:hAnsi="Bookman Old Style" w:cs="Arial"/>
          <w:i/>
          <w:lang w:val="es-ES_tradnl"/>
        </w:rPr>
        <w:t xml:space="preserve"> que no estén respaldadas por mecanismos de cubrimiento.</w:t>
      </w:r>
      <w:r w:rsidR="00C20249" w:rsidRPr="008D4E66">
        <w:rPr>
          <w:rFonts w:ascii="Bookman Old Style" w:hAnsi="Bookman Old Style"/>
          <w:i/>
          <w:lang w:val="es-ES_tradnl"/>
        </w:rPr>
        <w:t>”</w:t>
      </w:r>
    </w:p>
    <w:p w:rsidR="00CB3874" w:rsidRPr="007472F8" w:rsidRDefault="00CB3874" w:rsidP="009A3947">
      <w:pPr>
        <w:pStyle w:val="Prrafodelista"/>
        <w:ind w:left="0"/>
        <w:rPr>
          <w:rFonts w:ascii="Bookman Old Style" w:hAnsi="Bookman Old Style" w:cs="Arial"/>
          <w:b/>
          <w:bCs/>
          <w:sz w:val="32"/>
          <w:szCs w:val="24"/>
        </w:rPr>
      </w:pPr>
    </w:p>
    <w:p w:rsidR="00BA06FD" w:rsidRPr="008D4E66" w:rsidRDefault="00BA06FD" w:rsidP="0041145E">
      <w:pPr>
        <w:numPr>
          <w:ilvl w:val="0"/>
          <w:numId w:val="7"/>
        </w:numPr>
        <w:tabs>
          <w:tab w:val="num" w:pos="1440"/>
          <w:tab w:val="left" w:pos="1701"/>
        </w:tabs>
        <w:ind w:left="0"/>
        <w:jc w:val="both"/>
        <w:rPr>
          <w:rFonts w:ascii="Bookman Old Style" w:hAnsi="Bookman Old Style" w:cs="Arial"/>
          <w:b/>
          <w:bCs/>
        </w:rPr>
      </w:pPr>
      <w:r w:rsidRPr="008D4E66">
        <w:rPr>
          <w:rFonts w:ascii="Bookman Old Style" w:hAnsi="Bookman Old Style" w:cs="Arial"/>
          <w:b/>
          <w:bCs/>
        </w:rPr>
        <w:t xml:space="preserve">Modificación del artículo 11 </w:t>
      </w:r>
      <w:r w:rsidR="0087796A" w:rsidRPr="008D4E66">
        <w:rPr>
          <w:rFonts w:ascii="Bookman Old Style" w:hAnsi="Bookman Old Style" w:cs="Arial"/>
          <w:b/>
          <w:bCs/>
        </w:rPr>
        <w:t xml:space="preserve">del Anexo </w:t>
      </w:r>
      <w:r w:rsidRPr="008D4E66">
        <w:rPr>
          <w:rFonts w:ascii="Bookman Old Style" w:hAnsi="Bookman Old Style" w:cs="Arial"/>
          <w:b/>
          <w:bCs/>
        </w:rPr>
        <w:t xml:space="preserve">de la Resolución CREG 019 de 2006. </w:t>
      </w:r>
      <w:r w:rsidRPr="008D4E66">
        <w:rPr>
          <w:rFonts w:ascii="Bookman Old Style" w:hAnsi="Bookman Old Style" w:cs="Arial"/>
          <w:bCs/>
        </w:rPr>
        <w:t xml:space="preserve">El artículo 11 </w:t>
      </w:r>
      <w:r w:rsidR="0087796A" w:rsidRPr="008D4E66">
        <w:rPr>
          <w:rFonts w:ascii="Bookman Old Style" w:hAnsi="Bookman Old Style" w:cs="Arial"/>
          <w:bCs/>
        </w:rPr>
        <w:t xml:space="preserve">del Anexo </w:t>
      </w:r>
      <w:r w:rsidRPr="008D4E66">
        <w:rPr>
          <w:rFonts w:ascii="Bookman Old Style" w:hAnsi="Bookman Old Style" w:cs="Arial"/>
          <w:bCs/>
        </w:rPr>
        <w:t>de la Resolución CREG 019 de 2006, modificado por la Resolución CREG 013 de 2010,  quedará así:</w:t>
      </w:r>
    </w:p>
    <w:p w:rsidR="00BA06FD" w:rsidRPr="008D4E66" w:rsidRDefault="00BA06FD" w:rsidP="009A3947">
      <w:pPr>
        <w:tabs>
          <w:tab w:val="left" w:pos="1701"/>
        </w:tabs>
        <w:ind w:left="142"/>
        <w:jc w:val="both"/>
        <w:rPr>
          <w:rFonts w:ascii="Bookman Old Style" w:hAnsi="Bookman Old Style" w:cs="Arial"/>
          <w:b/>
          <w:bCs/>
        </w:rPr>
      </w:pPr>
    </w:p>
    <w:p w:rsidR="00BA06FD" w:rsidRPr="008D4E66" w:rsidRDefault="00BA06FD" w:rsidP="009A3947">
      <w:pPr>
        <w:jc w:val="both"/>
        <w:rPr>
          <w:rFonts w:ascii="Bookman Old Style" w:hAnsi="Bookman Old Style"/>
          <w:i/>
        </w:rPr>
      </w:pPr>
      <w:r w:rsidRPr="008D4E66">
        <w:rPr>
          <w:rFonts w:ascii="Bookman Old Style" w:hAnsi="Bookman Old Style" w:cs="Arial"/>
          <w:bCs/>
          <w:i/>
        </w:rPr>
        <w:t>“</w:t>
      </w:r>
      <w:r w:rsidRPr="008D4E66">
        <w:rPr>
          <w:rFonts w:ascii="Bookman Old Style" w:hAnsi="Bookman Old Style" w:cs="Arial"/>
          <w:b/>
          <w:bCs/>
          <w:i/>
        </w:rPr>
        <w:t xml:space="preserve">Artículo 11. </w:t>
      </w:r>
      <w:r w:rsidRPr="008D4E66">
        <w:rPr>
          <w:rFonts w:ascii="Bookman Old Style" w:hAnsi="Bookman Old Style"/>
          <w:b/>
          <w:i/>
        </w:rPr>
        <w:t>MECANISMO DE AJUSTE SEMANAL PARA LAS GARANTÍAS Y LOS MECANISMOS ALTERNATIVOS</w:t>
      </w:r>
      <w:r w:rsidRPr="008D4E66">
        <w:rPr>
          <w:rFonts w:ascii="Bookman Old Style" w:hAnsi="Bookman Old Style" w:cs="Arial"/>
          <w:b/>
          <w:bCs/>
          <w:i/>
        </w:rPr>
        <w:t xml:space="preserve">. </w:t>
      </w:r>
      <w:r w:rsidRPr="008D4E66">
        <w:rPr>
          <w:rFonts w:ascii="Bookman Old Style" w:hAnsi="Bookman Old Style"/>
          <w:i/>
        </w:rPr>
        <w:t>Semanalmente se ajustarán l</w:t>
      </w:r>
      <w:r w:rsidR="005C5905" w:rsidRPr="008D4E66">
        <w:rPr>
          <w:rFonts w:ascii="Bookman Old Style" w:hAnsi="Bookman Old Style"/>
          <w:i/>
        </w:rPr>
        <w:t>o</w:t>
      </w:r>
      <w:r w:rsidRPr="008D4E66">
        <w:rPr>
          <w:rFonts w:ascii="Bookman Old Style" w:hAnsi="Bookman Old Style"/>
          <w:i/>
        </w:rPr>
        <w:t xml:space="preserve">s Mecanismos </w:t>
      </w:r>
      <w:r w:rsidR="0087796A" w:rsidRPr="008D4E66">
        <w:rPr>
          <w:rFonts w:ascii="Bookman Old Style" w:hAnsi="Bookman Old Style"/>
          <w:i/>
        </w:rPr>
        <w:t>de Cubrimiento otorgado</w:t>
      </w:r>
      <w:r w:rsidR="005C5905" w:rsidRPr="008D4E66">
        <w:rPr>
          <w:rFonts w:ascii="Bookman Old Style" w:hAnsi="Bookman Old Style"/>
          <w:i/>
        </w:rPr>
        <w:t>s</w:t>
      </w:r>
      <w:r w:rsidR="0087796A" w:rsidRPr="008D4E66">
        <w:rPr>
          <w:rFonts w:ascii="Bookman Old Style" w:hAnsi="Bookman Old Style"/>
          <w:i/>
        </w:rPr>
        <w:t xml:space="preserve"> </w:t>
      </w:r>
      <w:r w:rsidRPr="008D4E66">
        <w:rPr>
          <w:rFonts w:ascii="Bookman Old Style" w:hAnsi="Bookman Old Style"/>
          <w:i/>
        </w:rPr>
        <w:t>p</w:t>
      </w:r>
      <w:r w:rsidR="0087796A" w:rsidRPr="008D4E66">
        <w:rPr>
          <w:rFonts w:ascii="Bookman Old Style" w:hAnsi="Bookman Old Style"/>
          <w:i/>
        </w:rPr>
        <w:t>or</w:t>
      </w:r>
      <w:r w:rsidRPr="008D4E66">
        <w:rPr>
          <w:rFonts w:ascii="Bookman Old Style" w:hAnsi="Bookman Old Style"/>
          <w:i/>
        </w:rPr>
        <w:t xml:space="preserve"> cada Agente participante </w:t>
      </w:r>
      <w:r w:rsidR="005C5905" w:rsidRPr="008D4E66">
        <w:rPr>
          <w:rFonts w:ascii="Bookman Old Style" w:hAnsi="Bookman Old Style"/>
          <w:i/>
        </w:rPr>
        <w:t xml:space="preserve">en </w:t>
      </w:r>
      <w:r w:rsidRPr="008D4E66">
        <w:rPr>
          <w:rFonts w:ascii="Bookman Old Style" w:hAnsi="Bookman Old Style"/>
          <w:i/>
        </w:rPr>
        <w:t xml:space="preserve">el mercado. </w:t>
      </w:r>
      <w:r w:rsidR="00472E27" w:rsidRPr="008D4E66">
        <w:rPr>
          <w:rFonts w:ascii="Bookman Old Style" w:hAnsi="Bookman Old Style"/>
          <w:i/>
        </w:rPr>
        <w:t xml:space="preserve">Para ello, el ASIC calculará y publicará cada viernes </w:t>
      </w:r>
      <w:r w:rsidR="0087796A" w:rsidRPr="008D4E66">
        <w:rPr>
          <w:rFonts w:ascii="Bookman Old Style" w:hAnsi="Bookman Old Style"/>
          <w:i/>
        </w:rPr>
        <w:t>un</w:t>
      </w:r>
      <w:r w:rsidR="00472E27" w:rsidRPr="008D4E66">
        <w:rPr>
          <w:rFonts w:ascii="Bookman Old Style" w:hAnsi="Bookman Old Style"/>
          <w:i/>
        </w:rPr>
        <w:t xml:space="preserve"> Ajuste </w:t>
      </w:r>
      <w:r w:rsidR="0087796A" w:rsidRPr="008D4E66">
        <w:rPr>
          <w:rFonts w:ascii="Bookman Old Style" w:hAnsi="Bookman Old Style"/>
          <w:i/>
        </w:rPr>
        <w:t>S</w:t>
      </w:r>
      <w:r w:rsidR="00472E27" w:rsidRPr="008D4E66">
        <w:rPr>
          <w:rFonts w:ascii="Bookman Old Style" w:hAnsi="Bookman Old Style"/>
          <w:i/>
        </w:rPr>
        <w:t>emanal</w:t>
      </w:r>
      <w:r w:rsidR="0091003E" w:rsidRPr="008D4E66">
        <w:rPr>
          <w:rFonts w:ascii="Bookman Old Style" w:hAnsi="Bookman Old Style"/>
          <w:i/>
        </w:rPr>
        <w:t xml:space="preserve">, el cual, de ser </w:t>
      </w:r>
      <w:r w:rsidRPr="008D4E66">
        <w:rPr>
          <w:rFonts w:ascii="Bookman Old Style" w:hAnsi="Bookman Old Style"/>
          <w:i/>
        </w:rPr>
        <w:t>requerido</w:t>
      </w:r>
      <w:r w:rsidR="0091003E" w:rsidRPr="008D4E66">
        <w:rPr>
          <w:rFonts w:ascii="Bookman Old Style" w:hAnsi="Bookman Old Style"/>
          <w:i/>
        </w:rPr>
        <w:t xml:space="preserve">, </w:t>
      </w:r>
      <w:r w:rsidRPr="008D4E66">
        <w:rPr>
          <w:rFonts w:ascii="Bookman Old Style" w:hAnsi="Bookman Old Style"/>
          <w:i/>
        </w:rPr>
        <w:t>debe</w:t>
      </w:r>
      <w:r w:rsidR="0087796A" w:rsidRPr="008D4E66">
        <w:rPr>
          <w:rFonts w:ascii="Bookman Old Style" w:hAnsi="Bookman Old Style"/>
          <w:i/>
        </w:rPr>
        <w:t>rá</w:t>
      </w:r>
      <w:r w:rsidRPr="008D4E66">
        <w:rPr>
          <w:rFonts w:ascii="Bookman Old Style" w:hAnsi="Bookman Old Style"/>
          <w:i/>
        </w:rPr>
        <w:t xml:space="preserve"> presentar</w:t>
      </w:r>
      <w:r w:rsidR="0087796A" w:rsidRPr="008D4E66">
        <w:rPr>
          <w:rFonts w:ascii="Bookman Old Style" w:hAnsi="Bookman Old Style"/>
          <w:i/>
        </w:rPr>
        <w:t xml:space="preserve">se </w:t>
      </w:r>
      <w:r w:rsidRPr="008D4E66">
        <w:rPr>
          <w:rFonts w:ascii="Bookman Old Style" w:hAnsi="Bookman Old Style"/>
          <w:i/>
        </w:rPr>
        <w:t xml:space="preserve">por parte de los Agentes </w:t>
      </w:r>
      <w:r w:rsidR="005C5905" w:rsidRPr="008D4E66">
        <w:rPr>
          <w:rFonts w:ascii="Bookman Old Style" w:hAnsi="Bookman Old Style"/>
          <w:i/>
        </w:rPr>
        <w:t xml:space="preserve">a más tardar </w:t>
      </w:r>
      <w:r w:rsidRPr="008D4E66">
        <w:rPr>
          <w:rFonts w:ascii="Bookman Old Style" w:hAnsi="Bookman Old Style"/>
          <w:i/>
        </w:rPr>
        <w:t>el martes de la semana siguiente a su publicación.</w:t>
      </w:r>
    </w:p>
    <w:p w:rsidR="00BA06FD" w:rsidRPr="008D4E66" w:rsidRDefault="0091003E" w:rsidP="009A3947">
      <w:pPr>
        <w:jc w:val="both"/>
        <w:rPr>
          <w:rFonts w:ascii="Bookman Old Style" w:hAnsi="Bookman Old Style"/>
          <w:i/>
        </w:rPr>
      </w:pPr>
      <w:r w:rsidRPr="008D4E66">
        <w:rPr>
          <w:rFonts w:ascii="Bookman Old Style" w:hAnsi="Bookman Old Style"/>
          <w:i/>
        </w:rPr>
        <w:lastRenderedPageBreak/>
        <w:t xml:space="preserve">El ASIC hará el cálculo del ajuste </w:t>
      </w:r>
      <w:r w:rsidR="00BA06FD" w:rsidRPr="008D4E66">
        <w:rPr>
          <w:rFonts w:ascii="Bookman Old Style" w:hAnsi="Bookman Old Style"/>
          <w:i/>
        </w:rPr>
        <w:t xml:space="preserve">con base en la </w:t>
      </w:r>
      <w:r w:rsidR="00BA06FD" w:rsidRPr="008D4E66">
        <w:rPr>
          <w:rFonts w:ascii="Bookman Old Style" w:hAnsi="Bookman Old Style"/>
          <w:bCs/>
          <w:i/>
        </w:rPr>
        <w:t>mejor información disponible sobre registro de Contratos y Fronteras Comerciales</w:t>
      </w:r>
      <w:r w:rsidRPr="008D4E66">
        <w:rPr>
          <w:rFonts w:ascii="Bookman Old Style" w:hAnsi="Bookman Old Style"/>
          <w:bCs/>
          <w:i/>
        </w:rPr>
        <w:t>,</w:t>
      </w:r>
      <w:r w:rsidR="00BA06FD" w:rsidRPr="008D4E66">
        <w:rPr>
          <w:rFonts w:ascii="Bookman Old Style" w:hAnsi="Bookman Old Style"/>
          <w:bCs/>
          <w:i/>
        </w:rPr>
        <w:t xml:space="preserve"> la liquidación diaria de transacciones del Mercado de Energía Mayorista</w:t>
      </w:r>
      <w:r w:rsidRPr="008D4E66">
        <w:rPr>
          <w:rFonts w:ascii="Bookman Old Style" w:hAnsi="Bookman Old Style"/>
          <w:bCs/>
          <w:i/>
        </w:rPr>
        <w:t>, y ten</w:t>
      </w:r>
      <w:r w:rsidR="00232D23" w:rsidRPr="008D4E66">
        <w:rPr>
          <w:rFonts w:ascii="Bookman Old Style" w:hAnsi="Bookman Old Style"/>
          <w:bCs/>
          <w:i/>
        </w:rPr>
        <w:t>drá</w:t>
      </w:r>
      <w:r w:rsidRPr="008D4E66">
        <w:rPr>
          <w:rFonts w:ascii="Bookman Old Style" w:hAnsi="Bookman Old Style"/>
          <w:bCs/>
          <w:i/>
        </w:rPr>
        <w:t xml:space="preserve"> en cuenta todos los eventos del mercado conocidos por el ASIC que conduzcan a aumentar o reducir el riesgo al que está expuesto cada Agente</w:t>
      </w:r>
      <w:r w:rsidR="00BA06FD" w:rsidRPr="008D4E66">
        <w:rPr>
          <w:rFonts w:ascii="Bookman Old Style" w:hAnsi="Bookman Old Style"/>
          <w:bCs/>
          <w:i/>
        </w:rPr>
        <w:t>.</w:t>
      </w:r>
    </w:p>
    <w:p w:rsidR="00BA06FD" w:rsidRPr="008D4E66" w:rsidRDefault="00BA06FD" w:rsidP="009A3947">
      <w:pPr>
        <w:jc w:val="both"/>
        <w:rPr>
          <w:rFonts w:ascii="Bookman Old Style" w:hAnsi="Bookman Old Style" w:cs="Arial"/>
          <w:bCs/>
          <w:i/>
        </w:rPr>
      </w:pPr>
    </w:p>
    <w:p w:rsidR="00BA06FD" w:rsidRPr="008D4E66" w:rsidRDefault="00BA06FD" w:rsidP="009A3947">
      <w:pPr>
        <w:jc w:val="both"/>
        <w:rPr>
          <w:rFonts w:ascii="Bookman Old Style" w:hAnsi="Bookman Old Style"/>
          <w:i/>
        </w:rPr>
      </w:pPr>
      <w:r w:rsidRPr="008D4E66">
        <w:rPr>
          <w:rFonts w:ascii="Bookman Old Style" w:hAnsi="Bookman Old Style"/>
          <w:b/>
          <w:i/>
        </w:rPr>
        <w:t>PARÁGRAFO</w:t>
      </w:r>
      <w:r w:rsidR="0091003E" w:rsidRPr="008D4E66">
        <w:rPr>
          <w:rFonts w:ascii="Bookman Old Style" w:hAnsi="Bookman Old Style"/>
          <w:b/>
          <w:i/>
        </w:rPr>
        <w:t xml:space="preserve"> 1</w:t>
      </w:r>
      <w:r w:rsidRPr="008D4E66">
        <w:rPr>
          <w:rFonts w:ascii="Bookman Old Style" w:hAnsi="Bookman Old Style"/>
          <w:i/>
        </w:rPr>
        <w:t>. Para el cálculo de los Ajustes Semanales el ASIC tendrá en cuenta el valor semanal pagado por el Agente para efectos de cubrir las Transacciones Internacionales de Electricidad de Corto Plazo.</w:t>
      </w:r>
    </w:p>
    <w:p w:rsidR="0091003E" w:rsidRPr="008D4E66" w:rsidRDefault="0091003E" w:rsidP="009A3947">
      <w:pPr>
        <w:jc w:val="both"/>
        <w:rPr>
          <w:rFonts w:ascii="Bookman Old Style" w:hAnsi="Bookman Old Style" w:cs="Arial"/>
          <w:bCs/>
          <w:i/>
        </w:rPr>
      </w:pPr>
    </w:p>
    <w:p w:rsidR="0091003E" w:rsidRPr="008D4E66" w:rsidRDefault="0091003E" w:rsidP="009A3947">
      <w:pPr>
        <w:jc w:val="both"/>
        <w:rPr>
          <w:rFonts w:ascii="Bookman Old Style" w:hAnsi="Bookman Old Style" w:cs="Arial"/>
          <w:bCs/>
          <w:i/>
        </w:rPr>
      </w:pPr>
      <w:r w:rsidRPr="008D4E66">
        <w:rPr>
          <w:rFonts w:ascii="Bookman Old Style" w:hAnsi="Bookman Old Style" w:cs="Arial"/>
          <w:b/>
          <w:bCs/>
          <w:i/>
        </w:rPr>
        <w:t>PARÁGRAFO 2</w:t>
      </w:r>
      <w:r w:rsidRPr="008D4E66">
        <w:rPr>
          <w:rFonts w:ascii="Bookman Old Style" w:hAnsi="Bookman Old Style" w:cs="Arial"/>
          <w:bCs/>
          <w:i/>
        </w:rPr>
        <w:t xml:space="preserve">. </w:t>
      </w:r>
      <w:r w:rsidR="0087796A" w:rsidRPr="008D4E66">
        <w:rPr>
          <w:rFonts w:ascii="Bookman Old Style" w:hAnsi="Bookman Old Style" w:cs="Arial"/>
          <w:bCs/>
          <w:i/>
        </w:rPr>
        <w:t>E</w:t>
      </w:r>
      <w:r w:rsidRPr="008D4E66">
        <w:rPr>
          <w:rFonts w:ascii="Bookman Old Style" w:hAnsi="Bookman Old Style" w:cs="Arial"/>
          <w:bCs/>
          <w:i/>
        </w:rPr>
        <w:t xml:space="preserve">l ASIC deberá solicitar </w:t>
      </w:r>
      <w:r w:rsidR="0087796A" w:rsidRPr="008D4E66">
        <w:rPr>
          <w:rFonts w:ascii="Bookman Old Style" w:hAnsi="Bookman Old Style" w:cs="Arial"/>
          <w:bCs/>
          <w:i/>
        </w:rPr>
        <w:t xml:space="preserve">el ajuste de los Mecanismos de Cubrimiento </w:t>
      </w:r>
      <w:r w:rsidRPr="008D4E66">
        <w:rPr>
          <w:rFonts w:ascii="Bookman Old Style" w:hAnsi="Bookman Old Style" w:cs="Arial"/>
          <w:bCs/>
          <w:i/>
        </w:rPr>
        <w:t>a un Agente cuando</w:t>
      </w:r>
      <w:r w:rsidR="002C74A5">
        <w:rPr>
          <w:rFonts w:ascii="Bookman Old Style" w:hAnsi="Bookman Old Style" w:cs="Arial"/>
          <w:bCs/>
          <w:i/>
        </w:rPr>
        <w:t>, como consecuencia de su gestión en la operación del mercado,</w:t>
      </w:r>
      <w:r w:rsidRPr="008D4E66">
        <w:rPr>
          <w:rFonts w:ascii="Bookman Old Style" w:hAnsi="Bookman Old Style" w:cs="Arial"/>
          <w:bCs/>
          <w:i/>
        </w:rPr>
        <w:t xml:space="preserve"> </w:t>
      </w:r>
      <w:r w:rsidR="002A712A" w:rsidRPr="008D4E66">
        <w:rPr>
          <w:rFonts w:ascii="Bookman Old Style" w:hAnsi="Bookman Old Style" w:cs="Arial"/>
          <w:bCs/>
          <w:i/>
        </w:rPr>
        <w:t>tenga conocimiento de</w:t>
      </w:r>
      <w:r w:rsidRPr="008D4E66">
        <w:rPr>
          <w:rFonts w:ascii="Bookman Old Style" w:hAnsi="Bookman Old Style" w:cs="Arial"/>
          <w:bCs/>
          <w:i/>
        </w:rPr>
        <w:t xml:space="preserve"> un evento extraordinario, no conocido al momento del </w:t>
      </w:r>
      <w:r w:rsidR="0087796A" w:rsidRPr="008D4E66">
        <w:rPr>
          <w:rFonts w:ascii="Bookman Old Style" w:hAnsi="Bookman Old Style" w:cs="Arial"/>
          <w:bCs/>
          <w:i/>
        </w:rPr>
        <w:t xml:space="preserve">Ajuste Semanal </w:t>
      </w:r>
      <w:r w:rsidRPr="008D4E66">
        <w:rPr>
          <w:rFonts w:ascii="Bookman Old Style" w:hAnsi="Bookman Old Style" w:cs="Arial"/>
          <w:bCs/>
          <w:i/>
        </w:rPr>
        <w:t xml:space="preserve">y que </w:t>
      </w:r>
      <w:r w:rsidR="00930458" w:rsidRPr="008D4E66">
        <w:rPr>
          <w:rFonts w:ascii="Bookman Old Style" w:hAnsi="Bookman Old Style" w:cs="Arial"/>
          <w:bCs/>
          <w:i/>
        </w:rPr>
        <w:t>con</w:t>
      </w:r>
      <w:r w:rsidRPr="008D4E66">
        <w:rPr>
          <w:rFonts w:ascii="Bookman Old Style" w:hAnsi="Bookman Old Style" w:cs="Arial"/>
          <w:bCs/>
          <w:i/>
        </w:rPr>
        <w:t xml:space="preserve">lleve un aumento </w:t>
      </w:r>
      <w:r w:rsidR="0087796A" w:rsidRPr="008D4E66">
        <w:rPr>
          <w:rFonts w:ascii="Bookman Old Style" w:hAnsi="Bookman Old Style" w:cs="Arial"/>
          <w:bCs/>
          <w:i/>
        </w:rPr>
        <w:t>d</w:t>
      </w:r>
      <w:r w:rsidRPr="008D4E66">
        <w:rPr>
          <w:rFonts w:ascii="Bookman Old Style" w:hAnsi="Bookman Old Style" w:cs="Arial"/>
          <w:bCs/>
          <w:i/>
        </w:rPr>
        <w:t>el riesgo al que está expuesto el Agente. Para este caso</w:t>
      </w:r>
      <w:r w:rsidR="0087796A" w:rsidRPr="008D4E66">
        <w:rPr>
          <w:rFonts w:ascii="Bookman Old Style" w:hAnsi="Bookman Old Style" w:cs="Arial"/>
          <w:bCs/>
          <w:i/>
        </w:rPr>
        <w:t>,</w:t>
      </w:r>
      <w:r w:rsidRPr="008D4E66">
        <w:rPr>
          <w:rFonts w:ascii="Bookman Old Style" w:hAnsi="Bookman Old Style" w:cs="Arial"/>
          <w:bCs/>
          <w:i/>
        </w:rPr>
        <w:t xml:space="preserve"> el Agente contará con un plazo de dos </w:t>
      </w:r>
      <w:r w:rsidR="00224B36">
        <w:rPr>
          <w:rFonts w:ascii="Bookman Old Style" w:hAnsi="Bookman Old Style" w:cs="Arial"/>
          <w:bCs/>
          <w:i/>
        </w:rPr>
        <w:t xml:space="preserve">(2) </w:t>
      </w:r>
      <w:r w:rsidRPr="008D4E66">
        <w:rPr>
          <w:rFonts w:ascii="Bookman Old Style" w:hAnsi="Bookman Old Style" w:cs="Arial"/>
          <w:bCs/>
          <w:i/>
        </w:rPr>
        <w:t>días hábiles</w:t>
      </w:r>
      <w:r w:rsidR="00930458" w:rsidRPr="008D4E66">
        <w:rPr>
          <w:rFonts w:ascii="Bookman Old Style" w:hAnsi="Bookman Old Style" w:cs="Arial"/>
          <w:bCs/>
          <w:i/>
        </w:rPr>
        <w:t>, contados a partir de la fecha de solicitud del ASIC,</w:t>
      </w:r>
      <w:r w:rsidRPr="008D4E66">
        <w:rPr>
          <w:rFonts w:ascii="Bookman Old Style" w:hAnsi="Bookman Old Style" w:cs="Arial"/>
          <w:bCs/>
          <w:i/>
        </w:rPr>
        <w:t xml:space="preserve"> para hacer el respectivo ajuste.</w:t>
      </w:r>
      <w:r w:rsidR="008123AD">
        <w:rPr>
          <w:rFonts w:ascii="Bookman Old Style" w:hAnsi="Bookman Old Style" w:cs="Arial"/>
          <w:bCs/>
          <w:i/>
        </w:rPr>
        <w:t>”</w:t>
      </w:r>
    </w:p>
    <w:p w:rsidR="00BA06FD" w:rsidRPr="007472F8" w:rsidRDefault="00BA06FD" w:rsidP="009A3947">
      <w:pPr>
        <w:rPr>
          <w:rFonts w:ascii="Bookman Old Style" w:hAnsi="Bookman Old Style"/>
          <w:sz w:val="32"/>
        </w:rPr>
      </w:pPr>
    </w:p>
    <w:p w:rsidR="00CB3874" w:rsidRPr="008D4E66" w:rsidRDefault="00CB3874" w:rsidP="0041145E">
      <w:pPr>
        <w:numPr>
          <w:ilvl w:val="0"/>
          <w:numId w:val="7"/>
        </w:numPr>
        <w:tabs>
          <w:tab w:val="num" w:pos="1440"/>
          <w:tab w:val="left" w:pos="1701"/>
        </w:tabs>
        <w:ind w:left="0"/>
        <w:jc w:val="both"/>
        <w:rPr>
          <w:rFonts w:ascii="Bookman Old Style" w:hAnsi="Bookman Old Style" w:cs="Arial"/>
          <w:b/>
          <w:bCs/>
        </w:rPr>
      </w:pPr>
      <w:r w:rsidRPr="008D4E66">
        <w:rPr>
          <w:rFonts w:ascii="Bookman Old Style" w:hAnsi="Bookman Old Style" w:cs="Arial"/>
          <w:b/>
          <w:bCs/>
        </w:rPr>
        <w:t xml:space="preserve">Modificación del artículo 13 del Anexo de la Resolución CREG 019 de 2006. </w:t>
      </w:r>
      <w:r w:rsidRPr="008D4E66">
        <w:rPr>
          <w:rFonts w:ascii="Bookman Old Style" w:hAnsi="Bookman Old Style" w:cs="Arial"/>
          <w:bCs/>
        </w:rPr>
        <w:t>El artículo 13 del Anexo de la Resolución CREG 019 de 2006 quedará así:</w:t>
      </w:r>
    </w:p>
    <w:p w:rsidR="00CB3874" w:rsidRPr="008D4E66" w:rsidRDefault="00CB3874" w:rsidP="009A3947">
      <w:pPr>
        <w:tabs>
          <w:tab w:val="left" w:pos="1701"/>
        </w:tabs>
        <w:ind w:left="142"/>
        <w:jc w:val="both"/>
        <w:rPr>
          <w:rFonts w:ascii="Bookman Old Style" w:hAnsi="Bookman Old Style" w:cs="Arial"/>
          <w:b/>
          <w:bCs/>
        </w:rPr>
      </w:pPr>
    </w:p>
    <w:p w:rsidR="00CB3874" w:rsidRDefault="00CB3874" w:rsidP="009A3947">
      <w:pPr>
        <w:jc w:val="both"/>
        <w:rPr>
          <w:rFonts w:ascii="Bookman Old Style" w:hAnsi="Bookman Old Style"/>
          <w:i/>
          <w:lang w:val="es-ES_tradnl"/>
        </w:rPr>
      </w:pPr>
      <w:r w:rsidRPr="008D4E66">
        <w:rPr>
          <w:rFonts w:ascii="Bookman Old Style" w:hAnsi="Bookman Old Style"/>
          <w:i/>
          <w:lang w:val="es-ES_tradnl"/>
        </w:rPr>
        <w:t>“</w:t>
      </w:r>
      <w:r w:rsidRPr="008D4E66">
        <w:rPr>
          <w:rFonts w:ascii="Bookman Old Style" w:hAnsi="Bookman Old Style"/>
          <w:b/>
          <w:i/>
          <w:lang w:val="es-ES_tradnl"/>
        </w:rPr>
        <w:t>ARTÍCULO 13. VIGENCIA DE LAS GARANTÍAS</w:t>
      </w:r>
      <w:r w:rsidRPr="008D4E66">
        <w:rPr>
          <w:rFonts w:ascii="Bookman Old Style" w:hAnsi="Bookman Old Style"/>
          <w:i/>
          <w:lang w:val="es-ES_tradnl"/>
        </w:rPr>
        <w:t xml:space="preserve">. </w:t>
      </w:r>
      <w:r w:rsidR="00757DCA">
        <w:rPr>
          <w:rFonts w:ascii="Bookman Old Style" w:hAnsi="Bookman Old Style"/>
          <w:i/>
          <w:lang w:val="es-ES_tradnl"/>
        </w:rPr>
        <w:t>Las G</w:t>
      </w:r>
      <w:r w:rsidR="00757DCA" w:rsidRPr="00757DCA">
        <w:rPr>
          <w:rFonts w:ascii="Bookman Old Style" w:hAnsi="Bookman Old Style"/>
          <w:i/>
          <w:lang w:val="es-ES_tradnl"/>
        </w:rPr>
        <w:t>arantías deberán estar vigentes por un período mínimo de cinco (5) días hábiles contados a partir de la fecha de vencimiento de la facturación del mes que se está garantizando, cuando sea expedida por una entidad financiera domiciliada en Colombia, o por un pe</w:t>
      </w:r>
      <w:r w:rsidR="00224B36">
        <w:rPr>
          <w:rFonts w:ascii="Bookman Old Style" w:hAnsi="Bookman Old Style"/>
          <w:i/>
          <w:lang w:val="es-ES_tradnl"/>
        </w:rPr>
        <w:t>rí</w:t>
      </w:r>
      <w:r w:rsidR="00757DCA" w:rsidRPr="00757DCA">
        <w:rPr>
          <w:rFonts w:ascii="Bookman Old Style" w:hAnsi="Bookman Old Style"/>
          <w:i/>
          <w:lang w:val="es-ES_tradnl"/>
        </w:rPr>
        <w:t>odo mínimo de veinte (20) días calendario contados a partir de la fecha de vencimiento de la facturación del mes que se está garantizando, siempre que se trate de una entidad financiera del exterior.</w:t>
      </w:r>
      <w:r w:rsidRPr="008D4E66">
        <w:rPr>
          <w:rFonts w:ascii="Bookman Old Style" w:hAnsi="Bookman Old Style"/>
          <w:i/>
          <w:lang w:val="es-ES_tradnl"/>
        </w:rPr>
        <w:t>”</w:t>
      </w:r>
    </w:p>
    <w:p w:rsidR="00653415" w:rsidRPr="008D4E66" w:rsidRDefault="00653415" w:rsidP="009A3947">
      <w:pPr>
        <w:jc w:val="both"/>
        <w:rPr>
          <w:rFonts w:ascii="Bookman Old Style" w:hAnsi="Bookman Old Style"/>
          <w:i/>
          <w:lang w:val="es-ES_tradnl"/>
        </w:rPr>
      </w:pPr>
    </w:p>
    <w:p w:rsidR="00C20249" w:rsidRPr="008D4E66" w:rsidRDefault="00C20249" w:rsidP="0041145E">
      <w:pPr>
        <w:numPr>
          <w:ilvl w:val="0"/>
          <w:numId w:val="7"/>
        </w:numPr>
        <w:tabs>
          <w:tab w:val="num" w:pos="1440"/>
          <w:tab w:val="left" w:pos="1701"/>
        </w:tabs>
        <w:ind w:left="0"/>
        <w:jc w:val="both"/>
        <w:rPr>
          <w:rFonts w:ascii="Bookman Old Style" w:hAnsi="Bookman Old Style" w:cs="Arial"/>
          <w:b/>
          <w:bCs/>
        </w:rPr>
      </w:pPr>
      <w:r w:rsidRPr="008D4E66">
        <w:rPr>
          <w:rFonts w:ascii="Bookman Old Style" w:hAnsi="Bookman Old Style" w:cs="Arial"/>
          <w:b/>
          <w:bCs/>
        </w:rPr>
        <w:t xml:space="preserve">Modificación del artículo 15 del Anexo de la Resolución CREG 019 de 2006. </w:t>
      </w:r>
      <w:r w:rsidRPr="008D4E66">
        <w:rPr>
          <w:rFonts w:ascii="Bookman Old Style" w:hAnsi="Bookman Old Style" w:cs="Arial"/>
          <w:bCs/>
        </w:rPr>
        <w:t>El artículo 15 del Anexo de la Resolución CREG 019 de 2006 quedará así:</w:t>
      </w:r>
    </w:p>
    <w:p w:rsidR="00DB2E37" w:rsidRPr="008D4E66" w:rsidRDefault="00DB2E37" w:rsidP="009A3947">
      <w:pPr>
        <w:tabs>
          <w:tab w:val="left" w:pos="1701"/>
        </w:tabs>
        <w:ind w:left="142"/>
        <w:jc w:val="both"/>
        <w:rPr>
          <w:rFonts w:ascii="Bookman Old Style" w:hAnsi="Bookman Old Style" w:cs="Arial"/>
          <w:b/>
          <w:bCs/>
        </w:rPr>
      </w:pPr>
    </w:p>
    <w:p w:rsidR="00C20249" w:rsidRPr="008D4E66" w:rsidRDefault="00C20249" w:rsidP="009A3947">
      <w:pPr>
        <w:jc w:val="both"/>
        <w:rPr>
          <w:rFonts w:ascii="Bookman Old Style" w:hAnsi="Bookman Old Style"/>
          <w:i/>
          <w:lang w:val="es-ES_tradnl"/>
        </w:rPr>
      </w:pPr>
      <w:r w:rsidRPr="008D4E66">
        <w:rPr>
          <w:rFonts w:ascii="Bookman Old Style" w:hAnsi="Bookman Old Style" w:cs="Arial"/>
          <w:bCs/>
          <w:i/>
          <w:lang w:val="es-ES_tradnl"/>
        </w:rPr>
        <w:t>“</w:t>
      </w:r>
      <w:r w:rsidRPr="008D4E66">
        <w:rPr>
          <w:rFonts w:ascii="Bookman Old Style" w:hAnsi="Bookman Old Style" w:cs="Arial"/>
          <w:b/>
          <w:bCs/>
          <w:i/>
          <w:lang w:val="es-ES_tradnl"/>
        </w:rPr>
        <w:t xml:space="preserve">ARTÍCULO 15. PLAZO PARA PRESENTAR Y APROBAR LAS GARANTÍAS. </w:t>
      </w:r>
      <w:r w:rsidRPr="008D4E66">
        <w:rPr>
          <w:rFonts w:ascii="Bookman Old Style" w:hAnsi="Bookman Old Style" w:cs="Arial"/>
          <w:bCs/>
          <w:i/>
          <w:lang w:val="es-ES_tradnl"/>
        </w:rPr>
        <w:t>El ASIC tendrá un plazo de cuatro (4) días hábiles posteriores a la presentación de l</w:t>
      </w:r>
      <w:r w:rsidRPr="008D4E66">
        <w:rPr>
          <w:rFonts w:ascii="Bookman Old Style" w:hAnsi="Bookman Old Style"/>
          <w:i/>
          <w:lang w:val="es-ES_tradnl"/>
        </w:rPr>
        <w:t>as Garantías por parte del Agente, para determinar si éstas cumplen los parámetros establecidos en la ley, en la regulación y en el presente Reglamento. En todo caso, el Agente debe</w:t>
      </w:r>
      <w:r w:rsidR="0074499F" w:rsidRPr="008D4E66">
        <w:rPr>
          <w:rFonts w:ascii="Bookman Old Style" w:hAnsi="Bookman Old Style"/>
          <w:i/>
          <w:lang w:val="es-ES_tradnl"/>
        </w:rPr>
        <w:t>rá</w:t>
      </w:r>
      <w:r w:rsidRPr="008D4E66">
        <w:rPr>
          <w:rFonts w:ascii="Bookman Old Style" w:hAnsi="Bookman Old Style"/>
          <w:i/>
          <w:lang w:val="es-ES_tradnl"/>
        </w:rPr>
        <w:t xml:space="preserve"> prever que las Garantías deberán estar deb</w:t>
      </w:r>
      <w:r w:rsidR="001A4D86" w:rsidRPr="008D4E66">
        <w:rPr>
          <w:rFonts w:ascii="Bookman Old Style" w:hAnsi="Bookman Old Style"/>
          <w:i/>
          <w:lang w:val="es-ES_tradnl"/>
        </w:rPr>
        <w:t>idamente aprobadas por el ASIC</w:t>
      </w:r>
      <w:r w:rsidRPr="008D4E66">
        <w:rPr>
          <w:rFonts w:ascii="Bookman Old Style" w:hAnsi="Bookman Old Style"/>
          <w:i/>
          <w:lang w:val="es-ES_tradnl"/>
        </w:rPr>
        <w:t xml:space="preserve"> dentro de los ocho (8) días hábiles posteriores a la publicación por parte del ASIC de los valores a garantizar por el respectivo </w:t>
      </w:r>
      <w:r w:rsidR="00224B36" w:rsidRPr="008D4E66">
        <w:rPr>
          <w:rFonts w:ascii="Bookman Old Style" w:hAnsi="Bookman Old Style"/>
          <w:i/>
          <w:lang w:val="es-ES_tradnl"/>
        </w:rPr>
        <w:t>Agente</w:t>
      </w:r>
      <w:r w:rsidRPr="008D4E66">
        <w:rPr>
          <w:rFonts w:ascii="Bookman Old Style" w:hAnsi="Bookman Old Style"/>
          <w:i/>
          <w:lang w:val="es-ES_tradnl"/>
        </w:rPr>
        <w:t>.</w:t>
      </w:r>
    </w:p>
    <w:p w:rsidR="00C20249" w:rsidRPr="008D4E66" w:rsidRDefault="00C20249" w:rsidP="009A3947">
      <w:pPr>
        <w:jc w:val="both"/>
        <w:rPr>
          <w:rFonts w:ascii="Bookman Old Style" w:hAnsi="Bookman Old Style"/>
          <w:i/>
          <w:lang w:val="es-ES_tradnl"/>
        </w:rPr>
      </w:pPr>
    </w:p>
    <w:p w:rsidR="00C20249" w:rsidRPr="008D4E66" w:rsidRDefault="00C20249" w:rsidP="009A3947">
      <w:pPr>
        <w:jc w:val="both"/>
        <w:rPr>
          <w:rFonts w:ascii="Bookman Old Style" w:hAnsi="Bookman Old Style"/>
          <w:i/>
          <w:lang w:val="es-ES_tradnl"/>
        </w:rPr>
      </w:pPr>
      <w:r w:rsidRPr="008D4E66">
        <w:rPr>
          <w:rFonts w:ascii="Bookman Old Style" w:hAnsi="Bookman Old Style"/>
          <w:i/>
          <w:lang w:val="es-ES_tradnl"/>
        </w:rPr>
        <w:t xml:space="preserve">Cuando se trate de un Agente que inicie operaciones en el Mercado </w:t>
      </w:r>
      <w:r w:rsidR="0074499F" w:rsidRPr="008D4E66">
        <w:rPr>
          <w:rFonts w:ascii="Bookman Old Style" w:hAnsi="Bookman Old Style"/>
          <w:i/>
          <w:lang w:val="es-ES_tradnl"/>
        </w:rPr>
        <w:t>de Energía</w:t>
      </w:r>
      <w:r w:rsidR="00261653" w:rsidRPr="008D4E66">
        <w:rPr>
          <w:rFonts w:ascii="Bookman Old Style" w:hAnsi="Bookman Old Style"/>
          <w:i/>
          <w:lang w:val="es-ES_tradnl"/>
        </w:rPr>
        <w:t xml:space="preserve"> Mayorista</w:t>
      </w:r>
      <w:r w:rsidRPr="008D4E66">
        <w:rPr>
          <w:rFonts w:ascii="Bookman Old Style" w:hAnsi="Bookman Old Style"/>
          <w:i/>
          <w:lang w:val="es-ES_tradnl"/>
        </w:rPr>
        <w:t>, éste podrá optar por Garantías o Prepagos Mensuales únicamente. Para el caso de Garantías, deberá contar con la aprobación de las mismas por parte del ASIC, mientras que en el caso de Prepagos Mensuales, deberá haber realizado los pagos, previo al inicio de cualquier transacción en el Mercado.”</w:t>
      </w:r>
    </w:p>
    <w:p w:rsidR="008A727A" w:rsidRPr="008D4E66" w:rsidRDefault="008A727A" w:rsidP="0041145E">
      <w:pPr>
        <w:numPr>
          <w:ilvl w:val="0"/>
          <w:numId w:val="7"/>
        </w:numPr>
        <w:tabs>
          <w:tab w:val="num" w:pos="1440"/>
          <w:tab w:val="left" w:pos="1701"/>
        </w:tabs>
        <w:ind w:left="0"/>
        <w:jc w:val="both"/>
        <w:rPr>
          <w:rFonts w:ascii="Bookman Old Style" w:hAnsi="Bookman Old Style" w:cs="Arial"/>
          <w:b/>
          <w:bCs/>
        </w:rPr>
      </w:pPr>
      <w:r w:rsidRPr="008D4E66">
        <w:rPr>
          <w:rFonts w:ascii="Bookman Old Style" w:hAnsi="Bookman Old Style" w:cs="Arial"/>
          <w:b/>
          <w:bCs/>
        </w:rPr>
        <w:lastRenderedPageBreak/>
        <w:t xml:space="preserve">Modificación del artículo 16 del Anexo de la Resolución CREG 019 de 2006. </w:t>
      </w:r>
      <w:r w:rsidRPr="008D4E66">
        <w:rPr>
          <w:rFonts w:ascii="Bookman Old Style" w:hAnsi="Bookman Old Style" w:cs="Arial"/>
          <w:bCs/>
        </w:rPr>
        <w:t>El artículo 16 del Anexo de la Resolución CREG 019 de 2006 quedará así:</w:t>
      </w:r>
    </w:p>
    <w:p w:rsidR="00E82DC3" w:rsidRPr="008D4E66" w:rsidRDefault="00E82DC3" w:rsidP="009A3947">
      <w:pPr>
        <w:tabs>
          <w:tab w:val="left" w:pos="1701"/>
        </w:tabs>
        <w:ind w:left="142"/>
        <w:jc w:val="both"/>
        <w:rPr>
          <w:rFonts w:ascii="Bookman Old Style" w:hAnsi="Bookman Old Style" w:cs="Arial"/>
          <w:b/>
          <w:bCs/>
        </w:rPr>
      </w:pPr>
    </w:p>
    <w:p w:rsidR="008A727A" w:rsidRPr="008D4E66" w:rsidRDefault="008A727A" w:rsidP="009A3947">
      <w:pPr>
        <w:tabs>
          <w:tab w:val="left" w:pos="1701"/>
        </w:tabs>
        <w:jc w:val="both"/>
        <w:rPr>
          <w:rFonts w:ascii="Bookman Old Style" w:hAnsi="Bookman Old Style" w:cs="Arial"/>
          <w:bCs/>
          <w:i/>
        </w:rPr>
      </w:pPr>
      <w:r w:rsidRPr="008D4E66">
        <w:rPr>
          <w:rFonts w:ascii="Bookman Old Style" w:hAnsi="Bookman Old Style" w:cs="Arial"/>
          <w:bCs/>
          <w:i/>
        </w:rPr>
        <w:t>“</w:t>
      </w:r>
      <w:r w:rsidRPr="008D4E66">
        <w:rPr>
          <w:rFonts w:ascii="Bookman Old Style" w:hAnsi="Bookman Old Style" w:cs="Arial"/>
          <w:b/>
          <w:bCs/>
          <w:i/>
        </w:rPr>
        <w:t>ARTÍCULO 16. REPOSICIÓN DE LAS GARANTÍAS.</w:t>
      </w:r>
      <w:r w:rsidRPr="008D4E66">
        <w:rPr>
          <w:rFonts w:ascii="Bookman Old Style" w:hAnsi="Bookman Old Style" w:cs="Arial"/>
          <w:bCs/>
          <w:i/>
        </w:rPr>
        <w:t xml:space="preserve"> Cuando, como consecuencia de la ejecución de las Garantías o por circunstancias del mercado financiero, las Garantías disminuyan su valor por debajo de los montos exigidos o éstas no ofrezcan el cubrimiento suficiente, el ASIC requerirá inmediatamente al Agente para que reponga las Garantías, para lo cual </w:t>
      </w:r>
      <w:r w:rsidR="002A712A" w:rsidRPr="008D4E66">
        <w:rPr>
          <w:rFonts w:ascii="Bookman Old Style" w:hAnsi="Bookman Old Style" w:cs="Arial"/>
          <w:bCs/>
          <w:i/>
        </w:rPr>
        <w:t xml:space="preserve">éste </w:t>
      </w:r>
      <w:r w:rsidRPr="008D4E66">
        <w:rPr>
          <w:rFonts w:ascii="Bookman Old Style" w:hAnsi="Bookman Old Style" w:cs="Arial"/>
          <w:bCs/>
          <w:i/>
        </w:rPr>
        <w:t xml:space="preserve">contará con un plazo máximo de tres (3) días hábiles. Si transcurrido este plazo el Agente no repone o no actualiza las Garantías, </w:t>
      </w:r>
      <w:r w:rsidR="002A712A" w:rsidRPr="008D4E66">
        <w:rPr>
          <w:rFonts w:ascii="Bookman Old Style" w:hAnsi="Bookman Old Style" w:cs="Arial"/>
          <w:bCs/>
          <w:i/>
        </w:rPr>
        <w:t>se</w:t>
      </w:r>
      <w:r w:rsidRPr="008D4E66">
        <w:rPr>
          <w:rFonts w:ascii="Bookman Old Style" w:hAnsi="Bookman Old Style" w:cs="Arial"/>
          <w:bCs/>
          <w:i/>
        </w:rPr>
        <w:t xml:space="preserve"> </w:t>
      </w:r>
      <w:r w:rsidR="004425B8" w:rsidRPr="008D4E66">
        <w:rPr>
          <w:rFonts w:ascii="Bookman Old Style" w:hAnsi="Bookman Old Style"/>
          <w:i/>
          <w:lang w:val="es-ES_tradnl"/>
        </w:rPr>
        <w:t xml:space="preserve">iniciará el retiro del mercado del </w:t>
      </w:r>
      <w:r w:rsidR="00224B36" w:rsidRPr="008D4E66">
        <w:rPr>
          <w:rFonts w:ascii="Bookman Old Style" w:hAnsi="Bookman Old Style"/>
          <w:i/>
          <w:lang w:val="es-ES_tradnl"/>
        </w:rPr>
        <w:t xml:space="preserve">Agente </w:t>
      </w:r>
      <w:r w:rsidR="004425B8" w:rsidRPr="008D4E66">
        <w:rPr>
          <w:rFonts w:ascii="Bookman Old Style" w:hAnsi="Bookman Old Style"/>
          <w:i/>
          <w:lang w:val="es-ES_tradnl"/>
        </w:rPr>
        <w:t xml:space="preserve">incumplido </w:t>
      </w:r>
      <w:r w:rsidR="004425B8" w:rsidRPr="008D4E66">
        <w:rPr>
          <w:rFonts w:ascii="Bookman Old Style" w:hAnsi="Bookman Old Style" w:cs="Arial"/>
          <w:bCs/>
          <w:i/>
        </w:rPr>
        <w:t xml:space="preserve">conforme a lo establecido en </w:t>
      </w:r>
      <w:r w:rsidR="002A712A" w:rsidRPr="008D4E66">
        <w:rPr>
          <w:rFonts w:ascii="Bookman Old Style" w:hAnsi="Bookman Old Style" w:cs="Arial"/>
          <w:bCs/>
          <w:i/>
        </w:rPr>
        <w:t>el artículo 16 del Reglamento de Comercialización del Servicio Público de Energía Eléctrica</w:t>
      </w:r>
      <w:r w:rsidR="004425B8" w:rsidRPr="008D4E66">
        <w:rPr>
          <w:rFonts w:ascii="Bookman Old Style" w:hAnsi="Bookman Old Style" w:cs="Arial"/>
          <w:bCs/>
          <w:i/>
        </w:rPr>
        <w:t>.</w:t>
      </w:r>
    </w:p>
    <w:p w:rsidR="004425B8" w:rsidRPr="008D4E66" w:rsidRDefault="004425B8" w:rsidP="009A3947">
      <w:pPr>
        <w:tabs>
          <w:tab w:val="left" w:pos="1701"/>
        </w:tabs>
        <w:jc w:val="both"/>
        <w:rPr>
          <w:rFonts w:ascii="Bookman Old Style" w:hAnsi="Bookman Old Style" w:cs="Arial"/>
          <w:bCs/>
          <w:i/>
        </w:rPr>
      </w:pPr>
    </w:p>
    <w:p w:rsidR="008A727A" w:rsidRPr="008D4E66" w:rsidRDefault="008A727A" w:rsidP="009A3947">
      <w:pPr>
        <w:tabs>
          <w:tab w:val="left" w:pos="1701"/>
        </w:tabs>
        <w:jc w:val="both"/>
        <w:rPr>
          <w:rFonts w:ascii="Bookman Old Style" w:hAnsi="Bookman Old Style" w:cs="Arial"/>
          <w:bCs/>
          <w:i/>
        </w:rPr>
      </w:pPr>
      <w:r w:rsidRPr="008D4E66">
        <w:rPr>
          <w:rFonts w:ascii="Bookman Old Style" w:hAnsi="Bookman Old Style" w:cs="Arial"/>
          <w:bCs/>
          <w:i/>
        </w:rPr>
        <w:t>Esta condición se aplicará tanto por el no otorgamiento de las Garantías necesarias, como por la no actualización de las mismas.</w:t>
      </w:r>
    </w:p>
    <w:p w:rsidR="008A727A" w:rsidRPr="008D4E66" w:rsidRDefault="008A727A" w:rsidP="009A3947">
      <w:pPr>
        <w:tabs>
          <w:tab w:val="left" w:pos="1701"/>
        </w:tabs>
        <w:jc w:val="both"/>
        <w:rPr>
          <w:rFonts w:ascii="Bookman Old Style" w:hAnsi="Bookman Old Style" w:cs="Arial"/>
          <w:bCs/>
          <w:i/>
        </w:rPr>
      </w:pPr>
    </w:p>
    <w:p w:rsidR="004425B8" w:rsidRPr="008D4E66" w:rsidRDefault="008A727A" w:rsidP="009A3947">
      <w:pPr>
        <w:tabs>
          <w:tab w:val="left" w:pos="851"/>
        </w:tabs>
        <w:jc w:val="both"/>
        <w:rPr>
          <w:rFonts w:ascii="Bookman Old Style" w:hAnsi="Bookman Old Style" w:cs="Arial"/>
          <w:bCs/>
          <w:i/>
        </w:rPr>
      </w:pPr>
      <w:r w:rsidRPr="008D4E66">
        <w:rPr>
          <w:rFonts w:ascii="Bookman Old Style" w:hAnsi="Bookman Old Style" w:cs="Arial"/>
          <w:bCs/>
          <w:i/>
        </w:rPr>
        <w:t>En caso de iniciarse un proceso concursal, de toma de posesión o de liquidación a la entidad garante, el Agente que presentó las Garantías deberá sustituirlas, para lo cual contará con un plazo máximo de tres (3) días hábiles contados a partir del inicio del proceso a la entidad garante.</w:t>
      </w:r>
    </w:p>
    <w:p w:rsidR="004425B8" w:rsidRPr="008D4E66" w:rsidRDefault="004425B8" w:rsidP="009A3947">
      <w:pPr>
        <w:tabs>
          <w:tab w:val="left" w:pos="851"/>
        </w:tabs>
        <w:jc w:val="both"/>
        <w:rPr>
          <w:rFonts w:ascii="Bookman Old Style" w:hAnsi="Bookman Old Style" w:cs="Arial"/>
          <w:bCs/>
          <w:i/>
        </w:rPr>
      </w:pPr>
    </w:p>
    <w:p w:rsidR="00DB2E37" w:rsidRPr="008D4E66" w:rsidRDefault="004425B8" w:rsidP="009A3947">
      <w:pPr>
        <w:jc w:val="both"/>
        <w:rPr>
          <w:rFonts w:ascii="Bookman Old Style" w:hAnsi="Bookman Old Style" w:cs="Arial"/>
          <w:bCs/>
        </w:rPr>
      </w:pPr>
      <w:r w:rsidRPr="008D4E66">
        <w:rPr>
          <w:rFonts w:ascii="Bookman Old Style" w:hAnsi="Bookman Old Style" w:cs="Arial"/>
          <w:b/>
          <w:bCs/>
          <w:i/>
        </w:rPr>
        <w:t>Parágrafo.</w:t>
      </w:r>
      <w:r w:rsidRPr="008D4E66">
        <w:rPr>
          <w:rFonts w:ascii="Bookman Old Style" w:hAnsi="Bookman Old Style" w:cs="Arial"/>
          <w:bCs/>
          <w:i/>
        </w:rPr>
        <w:t xml:space="preserve"> </w:t>
      </w:r>
      <w:r w:rsidR="00DB2E37" w:rsidRPr="008D4E66">
        <w:rPr>
          <w:rFonts w:ascii="Bookman Old Style" w:hAnsi="Bookman Old Style" w:cs="Arial"/>
          <w:bCs/>
          <w:i/>
        </w:rPr>
        <w:t xml:space="preserve">Hasta tanto se haya adoptado e implementado la regulación aplicable al Prestador de Última Instancia, el incumplimiento de que trata este artículo por parte de </w:t>
      </w:r>
      <w:r w:rsidR="00224B36" w:rsidRPr="008D4E66">
        <w:rPr>
          <w:rFonts w:ascii="Bookman Old Style" w:hAnsi="Bookman Old Style" w:cs="Arial"/>
          <w:bCs/>
          <w:i/>
        </w:rPr>
        <w:t xml:space="preserve">Agentes </w:t>
      </w:r>
      <w:r w:rsidR="00DB2E37" w:rsidRPr="008D4E66">
        <w:rPr>
          <w:rFonts w:ascii="Bookman Old Style" w:hAnsi="Bookman Old Style" w:cs="Arial"/>
          <w:bCs/>
          <w:i/>
        </w:rPr>
        <w:t xml:space="preserve">que realicen en forma conjunta las actividades de comercialización y distribución no dará lugar a la aplicación del procedimiento de retiro a estos </w:t>
      </w:r>
      <w:r w:rsidR="00224B36" w:rsidRPr="008D4E66">
        <w:rPr>
          <w:rFonts w:ascii="Bookman Old Style" w:hAnsi="Bookman Old Style" w:cs="Arial"/>
          <w:bCs/>
          <w:i/>
        </w:rPr>
        <w:t>Agentes</w:t>
      </w:r>
      <w:r w:rsidR="00DB2E37" w:rsidRPr="008D4E66">
        <w:rPr>
          <w:rFonts w:ascii="Bookman Old Style" w:hAnsi="Bookman Old Style" w:cs="Arial"/>
          <w:bCs/>
          <w:i/>
        </w:rPr>
        <w:t>. Tal incumplimiento dará lugar a la aplicación del procedimiento de limitación de suministro de acuerdo con lo establecido en la Resolución CREG 116 de 1998 y demás que la modifiquen o sustituyan.”</w:t>
      </w:r>
    </w:p>
    <w:p w:rsidR="00DB2E37" w:rsidRPr="007472F8" w:rsidRDefault="00DB2E37" w:rsidP="009A3947">
      <w:pPr>
        <w:ind w:left="851"/>
        <w:jc w:val="both"/>
        <w:rPr>
          <w:rFonts w:ascii="Bookman Old Style" w:hAnsi="Bookman Old Style" w:cs="Arial"/>
          <w:bCs/>
          <w:i/>
          <w:sz w:val="32"/>
        </w:rPr>
      </w:pPr>
    </w:p>
    <w:p w:rsidR="00CB3874" w:rsidRPr="007472F8" w:rsidRDefault="00CB3874" w:rsidP="0041145E">
      <w:pPr>
        <w:numPr>
          <w:ilvl w:val="0"/>
          <w:numId w:val="7"/>
        </w:numPr>
        <w:tabs>
          <w:tab w:val="num" w:pos="1440"/>
          <w:tab w:val="left" w:pos="1701"/>
        </w:tabs>
        <w:ind w:left="0"/>
        <w:jc w:val="both"/>
        <w:rPr>
          <w:rFonts w:ascii="Bookman Old Style" w:hAnsi="Bookman Old Style" w:cs="Arial"/>
          <w:b/>
          <w:bCs/>
        </w:rPr>
      </w:pPr>
      <w:r w:rsidRPr="008D4E66">
        <w:rPr>
          <w:rFonts w:ascii="Bookman Old Style" w:hAnsi="Bookman Old Style" w:cs="Arial"/>
          <w:b/>
          <w:bCs/>
        </w:rPr>
        <w:t xml:space="preserve">Modificación del artículo 18 del Anexo de la Resolución CREG 019 de 2006. </w:t>
      </w:r>
      <w:r w:rsidRPr="008D4E66">
        <w:rPr>
          <w:rFonts w:ascii="Bookman Old Style" w:hAnsi="Bookman Old Style" w:cs="Arial"/>
          <w:bCs/>
        </w:rPr>
        <w:t>El artículo 18 del Anexo de la Resolución CREG 019 de 2006 quedará así:</w:t>
      </w:r>
    </w:p>
    <w:p w:rsidR="007472F8" w:rsidRPr="007472F8" w:rsidRDefault="007472F8" w:rsidP="007472F8">
      <w:pPr>
        <w:tabs>
          <w:tab w:val="left" w:pos="1701"/>
        </w:tabs>
        <w:ind w:left="0"/>
        <w:jc w:val="both"/>
        <w:rPr>
          <w:rFonts w:ascii="Bookman Old Style" w:hAnsi="Bookman Old Style" w:cs="Arial"/>
          <w:b/>
          <w:bCs/>
          <w:sz w:val="28"/>
        </w:rPr>
      </w:pPr>
    </w:p>
    <w:p w:rsidR="00CB3874" w:rsidRPr="008D4E66" w:rsidRDefault="00CB3874" w:rsidP="009A3947">
      <w:pPr>
        <w:jc w:val="both"/>
        <w:rPr>
          <w:rFonts w:ascii="Bookman Old Style" w:hAnsi="Bookman Old Style"/>
          <w:i/>
          <w:lang w:val="es-ES_tradnl"/>
        </w:rPr>
      </w:pPr>
      <w:r w:rsidRPr="008D4E66">
        <w:rPr>
          <w:rFonts w:ascii="Bookman Old Style" w:hAnsi="Bookman Old Style"/>
          <w:i/>
          <w:lang w:val="es-ES_tradnl"/>
        </w:rPr>
        <w:t>“</w:t>
      </w:r>
      <w:r w:rsidRPr="008D4E66">
        <w:rPr>
          <w:rFonts w:ascii="Bookman Old Style" w:hAnsi="Bookman Old Style"/>
          <w:b/>
          <w:i/>
          <w:lang w:val="es-ES_tradnl"/>
        </w:rPr>
        <w:t>ARTÍCULO 18. CONSIGNACIÓN DE LOS PREPAGOS MENSUALES O SEMANALES Y AJUSTES.</w:t>
      </w:r>
      <w:r w:rsidRPr="008D4E66">
        <w:rPr>
          <w:rFonts w:ascii="Bookman Old Style" w:hAnsi="Bookman Old Style"/>
          <w:i/>
          <w:lang w:val="es-ES_tradnl"/>
        </w:rPr>
        <w:t xml:space="preserve"> Los Prepagos Mensuales o Semanales y los pagos por Ajustes deberán ser consignados por el Agente en las cuentas Bancarias </w:t>
      </w:r>
      <w:r w:rsidR="00F5028C" w:rsidRPr="008D4E66">
        <w:rPr>
          <w:rFonts w:ascii="Bookman Old Style" w:hAnsi="Bookman Old Style"/>
          <w:i/>
          <w:lang w:val="es-ES_tradnl"/>
        </w:rPr>
        <w:t xml:space="preserve">y utilizando los procedimientos </w:t>
      </w:r>
      <w:r w:rsidRPr="008D4E66">
        <w:rPr>
          <w:rFonts w:ascii="Bookman Old Style" w:hAnsi="Bookman Old Style"/>
          <w:i/>
          <w:lang w:val="es-ES_tradnl"/>
        </w:rPr>
        <w:t>que el ASIC determine para el efecto.</w:t>
      </w:r>
    </w:p>
    <w:p w:rsidR="00CB3874" w:rsidRPr="008D4E66" w:rsidRDefault="00CB3874" w:rsidP="009A3947">
      <w:pPr>
        <w:jc w:val="both"/>
        <w:rPr>
          <w:rFonts w:ascii="Bookman Old Style" w:hAnsi="Bookman Old Style"/>
          <w:i/>
          <w:lang w:val="es-ES_tradnl"/>
        </w:rPr>
      </w:pPr>
    </w:p>
    <w:p w:rsidR="00386AA8" w:rsidRPr="008D4E66" w:rsidRDefault="00CB3874" w:rsidP="009A3947">
      <w:pPr>
        <w:jc w:val="both"/>
        <w:rPr>
          <w:rFonts w:ascii="Bookman Old Style" w:hAnsi="Bookman Old Style"/>
          <w:i/>
          <w:lang w:val="es-ES_tradnl"/>
        </w:rPr>
      </w:pPr>
      <w:r w:rsidRPr="008D4E66">
        <w:rPr>
          <w:rFonts w:ascii="Bookman Old Style" w:hAnsi="Bookman Old Style"/>
          <w:i/>
          <w:lang w:val="es-ES_tradnl"/>
        </w:rPr>
        <w:t xml:space="preserve">Para que el ASIC dé trámite a los Prepagos y a los pagos por Ajustes, el Agente deberá enviar al ASIC, </w:t>
      </w:r>
      <w:r w:rsidR="00386AA8" w:rsidRPr="008D4E66">
        <w:rPr>
          <w:rFonts w:ascii="Bookman Old Style" w:hAnsi="Bookman Old Style"/>
          <w:i/>
          <w:lang w:val="es-ES_tradnl"/>
        </w:rPr>
        <w:t xml:space="preserve">por el medio que </w:t>
      </w:r>
      <w:r w:rsidR="0067096C" w:rsidRPr="008D4E66">
        <w:rPr>
          <w:rFonts w:ascii="Bookman Old Style" w:hAnsi="Bookman Old Style"/>
          <w:i/>
          <w:lang w:val="es-ES_tradnl"/>
        </w:rPr>
        <w:t xml:space="preserve">éste </w:t>
      </w:r>
      <w:r w:rsidR="00386AA8" w:rsidRPr="008D4E66">
        <w:rPr>
          <w:rFonts w:ascii="Bookman Old Style" w:hAnsi="Bookman Old Style"/>
          <w:i/>
          <w:lang w:val="es-ES_tradnl"/>
        </w:rPr>
        <w:t>determine</w:t>
      </w:r>
      <w:r w:rsidRPr="008D4E66">
        <w:rPr>
          <w:rFonts w:ascii="Bookman Old Style" w:hAnsi="Bookman Old Style"/>
          <w:i/>
          <w:lang w:val="es-ES_tradnl"/>
        </w:rPr>
        <w:t>, copia de la consignación respectiva.</w:t>
      </w:r>
    </w:p>
    <w:p w:rsidR="00386AA8" w:rsidRPr="008D4E66" w:rsidRDefault="00386AA8" w:rsidP="009A3947">
      <w:pPr>
        <w:jc w:val="both"/>
        <w:rPr>
          <w:rFonts w:ascii="Bookman Old Style" w:hAnsi="Bookman Old Style"/>
          <w:i/>
          <w:lang w:val="es-ES_tradnl"/>
        </w:rPr>
      </w:pPr>
    </w:p>
    <w:p w:rsidR="00A71E6F" w:rsidRPr="008D4E66" w:rsidRDefault="00386AA8" w:rsidP="009A3947">
      <w:pPr>
        <w:jc w:val="both"/>
        <w:rPr>
          <w:rFonts w:ascii="Bookman Old Style" w:hAnsi="Bookman Old Style"/>
          <w:i/>
          <w:lang w:val="es-ES_tradnl"/>
        </w:rPr>
      </w:pPr>
      <w:r w:rsidRPr="008D4E66">
        <w:rPr>
          <w:rFonts w:ascii="Bookman Old Style" w:hAnsi="Bookman Old Style"/>
          <w:i/>
          <w:lang w:val="es-ES_tradnl"/>
        </w:rPr>
        <w:t xml:space="preserve">El Agente deberá prever que el Prepago Mensual deberá estar debidamente verificado por el ASIC dentro de los ocho (8) días hábiles posteriores a la publicación por parte del ASIC de los valores a </w:t>
      </w:r>
      <w:r w:rsidR="00914A71" w:rsidRPr="008D4E66">
        <w:rPr>
          <w:rFonts w:ascii="Bookman Old Style" w:hAnsi="Bookman Old Style"/>
          <w:i/>
          <w:lang w:val="es-ES_tradnl"/>
        </w:rPr>
        <w:t>cubrir</w:t>
      </w:r>
      <w:r w:rsidRPr="008D4E66">
        <w:rPr>
          <w:rFonts w:ascii="Bookman Old Style" w:hAnsi="Bookman Old Style"/>
          <w:i/>
          <w:lang w:val="es-ES_tradnl"/>
        </w:rPr>
        <w:t xml:space="preserve"> por el respectivo agente. </w:t>
      </w:r>
    </w:p>
    <w:p w:rsidR="00CB3874" w:rsidRPr="008D4E66" w:rsidRDefault="00A71E6F" w:rsidP="009A3947">
      <w:pPr>
        <w:jc w:val="both"/>
        <w:rPr>
          <w:rFonts w:ascii="Bookman Old Style" w:hAnsi="Bookman Old Style"/>
          <w:i/>
          <w:lang w:val="es-ES_tradnl"/>
        </w:rPr>
      </w:pPr>
      <w:r w:rsidRPr="008D4E66">
        <w:rPr>
          <w:rFonts w:ascii="Bookman Old Style" w:hAnsi="Bookman Old Style"/>
          <w:i/>
          <w:lang w:val="es-ES_tradnl"/>
        </w:rPr>
        <w:lastRenderedPageBreak/>
        <w:t>E</w:t>
      </w:r>
      <w:r w:rsidR="00386AA8" w:rsidRPr="008D4E66">
        <w:rPr>
          <w:rFonts w:ascii="Bookman Old Style" w:hAnsi="Bookman Old Style"/>
          <w:i/>
          <w:lang w:val="es-ES_tradnl"/>
        </w:rPr>
        <w:t xml:space="preserve">l Agente deberá prever que el Prepago Semanal deberá estar debidamente verificado por el ASIC el </w:t>
      </w:r>
      <w:r w:rsidR="00386AA8" w:rsidRPr="008D4E66">
        <w:rPr>
          <w:rFonts w:ascii="Bookman Old Style" w:hAnsi="Bookman Old Style" w:cs="Arial"/>
          <w:i/>
          <w:lang w:val="es-ES_tradnl"/>
        </w:rPr>
        <w:t>martes de la semana t+1 a la que se refiere el artículo 10 de este Reglamento</w:t>
      </w:r>
      <w:r w:rsidRPr="008D4E66">
        <w:rPr>
          <w:rFonts w:ascii="Bookman Old Style" w:hAnsi="Bookman Old Style" w:cs="Arial"/>
          <w:i/>
          <w:lang w:val="es-ES_tradnl"/>
        </w:rPr>
        <w:t>. Así mismo, e</w:t>
      </w:r>
      <w:r w:rsidRPr="008D4E66">
        <w:rPr>
          <w:rFonts w:ascii="Bookman Old Style" w:hAnsi="Bookman Old Style"/>
          <w:i/>
          <w:lang w:val="es-ES_tradnl"/>
        </w:rPr>
        <w:t>l Agente deberá prever que la presentación de los Ajustes deberá estar debidamente verificad</w:t>
      </w:r>
      <w:r w:rsidR="008123AD">
        <w:rPr>
          <w:rFonts w:ascii="Bookman Old Style" w:hAnsi="Bookman Old Style"/>
          <w:i/>
          <w:lang w:val="es-ES_tradnl"/>
        </w:rPr>
        <w:t>a</w:t>
      </w:r>
      <w:r w:rsidRPr="008D4E66">
        <w:rPr>
          <w:rFonts w:ascii="Bookman Old Style" w:hAnsi="Bookman Old Style"/>
          <w:i/>
          <w:lang w:val="es-ES_tradnl"/>
        </w:rPr>
        <w:t xml:space="preserve"> por el ASIC el </w:t>
      </w:r>
      <w:r w:rsidRPr="008D4E66">
        <w:rPr>
          <w:rFonts w:ascii="Bookman Old Style" w:hAnsi="Bookman Old Style" w:cs="Arial"/>
          <w:i/>
          <w:lang w:val="es-ES_tradnl"/>
        </w:rPr>
        <w:t>martes siguiente a su publicación, en los términos a que se refiere el artículo 11 de este Reglamento</w:t>
      </w:r>
      <w:r w:rsidR="00E678CC" w:rsidRPr="008D4E66">
        <w:rPr>
          <w:rFonts w:ascii="Bookman Old Style" w:hAnsi="Bookman Old Style" w:cs="Arial"/>
          <w:i/>
          <w:lang w:val="es-ES_tradnl"/>
        </w:rPr>
        <w:t>.</w:t>
      </w:r>
    </w:p>
    <w:p w:rsidR="00F5028C" w:rsidRPr="008D4E66" w:rsidRDefault="00F5028C" w:rsidP="009A3947">
      <w:pPr>
        <w:jc w:val="both"/>
        <w:rPr>
          <w:rFonts w:ascii="Bookman Old Style" w:hAnsi="Bookman Old Style"/>
          <w:i/>
          <w:lang w:val="es-ES_tradnl"/>
        </w:rPr>
      </w:pPr>
    </w:p>
    <w:p w:rsidR="00F5028C" w:rsidRPr="008D4E66" w:rsidRDefault="00F5028C" w:rsidP="009A3947">
      <w:pPr>
        <w:jc w:val="both"/>
        <w:rPr>
          <w:rFonts w:ascii="Bookman Old Style" w:hAnsi="Bookman Old Style"/>
          <w:i/>
          <w:lang w:val="es-ES_tradnl"/>
        </w:rPr>
      </w:pPr>
      <w:r w:rsidRPr="008D4E66">
        <w:rPr>
          <w:rFonts w:ascii="Bookman Old Style" w:hAnsi="Bookman Old Style"/>
          <w:b/>
          <w:i/>
          <w:lang w:val="es-ES_tradnl"/>
        </w:rPr>
        <w:t>Parágrafo.</w:t>
      </w:r>
      <w:r w:rsidRPr="008D4E66">
        <w:rPr>
          <w:rFonts w:ascii="Bookman Old Style" w:hAnsi="Bookman Old Style"/>
          <w:i/>
          <w:lang w:val="es-ES_tradnl"/>
        </w:rPr>
        <w:t xml:space="preserve"> Cuando el día martes </w:t>
      </w:r>
      <w:r w:rsidR="00060D54" w:rsidRPr="008D4E66">
        <w:rPr>
          <w:rFonts w:ascii="Bookman Old Style" w:hAnsi="Bookman Old Style"/>
          <w:i/>
          <w:lang w:val="es-ES_tradnl"/>
        </w:rPr>
        <w:t>de la semana t+1</w:t>
      </w:r>
      <w:r w:rsidR="000B3743" w:rsidRPr="008D4E66">
        <w:rPr>
          <w:rFonts w:ascii="Bookman Old Style" w:hAnsi="Bookman Old Style"/>
          <w:i/>
          <w:lang w:val="es-ES_tradnl"/>
        </w:rPr>
        <w:t xml:space="preserve"> sea festivo</w:t>
      </w:r>
      <w:r w:rsidR="00926FA7" w:rsidRPr="008D4E66">
        <w:rPr>
          <w:rFonts w:ascii="Bookman Old Style" w:hAnsi="Bookman Old Style"/>
          <w:i/>
          <w:lang w:val="es-ES_tradnl"/>
        </w:rPr>
        <w:t xml:space="preserve">, el ASIC publicará </w:t>
      </w:r>
      <w:r w:rsidR="00060D54" w:rsidRPr="008D4E66">
        <w:rPr>
          <w:rFonts w:ascii="Bookman Old Style" w:hAnsi="Bookman Old Style"/>
          <w:i/>
          <w:lang w:val="es-ES_tradnl"/>
        </w:rPr>
        <w:t xml:space="preserve">el valor de las coberturas que deben ser entregadas por los Agentes </w:t>
      </w:r>
      <w:r w:rsidR="00926FA7" w:rsidRPr="008D4E66">
        <w:rPr>
          <w:rFonts w:ascii="Bookman Old Style" w:hAnsi="Bookman Old Style"/>
          <w:i/>
          <w:lang w:val="es-ES_tradnl"/>
        </w:rPr>
        <w:t xml:space="preserve">a más tardar el jueves de la semana </w:t>
      </w:r>
      <w:r w:rsidR="000B3743" w:rsidRPr="008D4E66">
        <w:rPr>
          <w:rFonts w:ascii="Bookman Old Style" w:hAnsi="Bookman Old Style"/>
          <w:i/>
          <w:lang w:val="es-ES_tradnl"/>
        </w:rPr>
        <w:t>t</w:t>
      </w:r>
      <w:r w:rsidRPr="008D4E66">
        <w:rPr>
          <w:rFonts w:ascii="Bookman Old Style" w:hAnsi="Bookman Old Style"/>
          <w:i/>
          <w:lang w:val="es-ES_tradnl"/>
        </w:rPr>
        <w:t>.</w:t>
      </w:r>
      <w:r w:rsidR="000B3743" w:rsidRPr="008D4E66">
        <w:rPr>
          <w:rFonts w:ascii="Bookman Old Style" w:hAnsi="Bookman Old Style"/>
          <w:i/>
          <w:lang w:val="es-ES_tradnl"/>
        </w:rPr>
        <w:t>”</w:t>
      </w:r>
    </w:p>
    <w:p w:rsidR="00F9505C" w:rsidRPr="007472F8" w:rsidRDefault="00F9505C" w:rsidP="009A3947">
      <w:pPr>
        <w:ind w:left="0"/>
        <w:jc w:val="both"/>
        <w:rPr>
          <w:rFonts w:ascii="Bookman Old Style" w:hAnsi="Bookman Old Style"/>
          <w:sz w:val="32"/>
          <w:lang w:val="es-ES_tradnl"/>
        </w:rPr>
      </w:pPr>
    </w:p>
    <w:p w:rsidR="003B7C2A" w:rsidRPr="008D4E66" w:rsidRDefault="003B7C2A" w:rsidP="0041145E">
      <w:pPr>
        <w:numPr>
          <w:ilvl w:val="0"/>
          <w:numId w:val="7"/>
        </w:numPr>
        <w:tabs>
          <w:tab w:val="num" w:pos="1440"/>
          <w:tab w:val="left" w:pos="1701"/>
        </w:tabs>
        <w:ind w:left="0"/>
        <w:jc w:val="both"/>
        <w:rPr>
          <w:rFonts w:ascii="Bookman Old Style" w:hAnsi="Bookman Old Style" w:cs="Arial"/>
          <w:b/>
          <w:bCs/>
        </w:rPr>
      </w:pPr>
      <w:r w:rsidRPr="008D4E66">
        <w:rPr>
          <w:rFonts w:ascii="Bookman Old Style" w:hAnsi="Bookman Old Style" w:cs="Arial"/>
          <w:b/>
          <w:bCs/>
        </w:rPr>
        <w:t xml:space="preserve">Modificación del artículo 19 del Anexo de la Resolución CREG 019 de 2006. </w:t>
      </w:r>
      <w:r w:rsidR="00C10994" w:rsidRPr="008D4E66">
        <w:rPr>
          <w:rFonts w:ascii="Bookman Old Style" w:hAnsi="Bookman Old Style" w:cs="Arial"/>
          <w:bCs/>
        </w:rPr>
        <w:t>E</w:t>
      </w:r>
      <w:r w:rsidRPr="008D4E66">
        <w:rPr>
          <w:rFonts w:ascii="Bookman Old Style" w:hAnsi="Bookman Old Style" w:cs="Arial"/>
          <w:bCs/>
        </w:rPr>
        <w:t>l artículo 19 del Anexo de la Resolución CREG 019 de 2006 quedará así:</w:t>
      </w:r>
    </w:p>
    <w:p w:rsidR="003B7C2A" w:rsidRPr="008D4E66" w:rsidRDefault="003B7C2A" w:rsidP="009A3947">
      <w:pPr>
        <w:ind w:left="851"/>
        <w:jc w:val="both"/>
        <w:rPr>
          <w:rFonts w:ascii="Bookman Old Style" w:hAnsi="Bookman Old Style"/>
          <w:i/>
          <w:lang w:val="es-ES_tradnl"/>
        </w:rPr>
      </w:pPr>
    </w:p>
    <w:p w:rsidR="003B7C2A" w:rsidRPr="008D4E66" w:rsidRDefault="003B7C2A" w:rsidP="009A3947">
      <w:pPr>
        <w:jc w:val="both"/>
        <w:rPr>
          <w:rFonts w:ascii="Bookman Old Style" w:hAnsi="Bookman Old Style"/>
          <w:i/>
          <w:lang w:val="es-ES_tradnl"/>
        </w:rPr>
      </w:pPr>
      <w:r w:rsidRPr="008D4E66">
        <w:rPr>
          <w:rFonts w:ascii="Bookman Old Style" w:hAnsi="Bookman Old Style"/>
          <w:i/>
          <w:lang w:val="es-ES_tradnl"/>
        </w:rPr>
        <w:t>“</w:t>
      </w:r>
      <w:r w:rsidRPr="008D4E66">
        <w:rPr>
          <w:rFonts w:ascii="Bookman Old Style" w:hAnsi="Bookman Old Style"/>
          <w:b/>
          <w:i/>
          <w:lang w:val="es-ES_tradnl"/>
        </w:rPr>
        <w:t xml:space="preserve">ARTÍCULO 19. </w:t>
      </w:r>
      <w:r w:rsidR="006217DA" w:rsidRPr="008D4E66">
        <w:rPr>
          <w:rFonts w:ascii="Bookman Old Style" w:hAnsi="Bookman Old Style"/>
          <w:b/>
          <w:i/>
          <w:lang w:val="es-ES_tradnl"/>
        </w:rPr>
        <w:t>DISTRIBUCIÓN DE LOS RENDIMIENTOS FINANCIEROS GENERADOS POR LOS PREPAGOS</w:t>
      </w:r>
      <w:r w:rsidRPr="008D4E66">
        <w:rPr>
          <w:rFonts w:ascii="Bookman Old Style" w:hAnsi="Bookman Old Style"/>
          <w:b/>
          <w:i/>
          <w:lang w:val="es-ES_tradnl"/>
        </w:rPr>
        <w:t>.</w:t>
      </w:r>
      <w:r w:rsidRPr="008D4E66">
        <w:rPr>
          <w:rFonts w:ascii="Bookman Old Style" w:hAnsi="Bookman Old Style"/>
          <w:i/>
          <w:lang w:val="es-ES_tradnl"/>
        </w:rPr>
        <w:t xml:space="preserve"> </w:t>
      </w:r>
      <w:r w:rsidR="006217DA" w:rsidRPr="008D4E66">
        <w:rPr>
          <w:rFonts w:ascii="Bookman Old Style" w:hAnsi="Bookman Old Style"/>
          <w:i/>
          <w:lang w:val="es-ES_tradnl"/>
        </w:rPr>
        <w:t>Después de finalizado cada mes calendario y conocidos los rendimientos financieros obtenidos en las cuentas del ASIC donde se hayan depositado los dineros de los prepagos, el ASIC</w:t>
      </w:r>
      <w:r w:rsidR="00C10994" w:rsidRPr="008D4E66">
        <w:rPr>
          <w:rFonts w:ascii="Bookman Old Style" w:hAnsi="Bookman Old Style"/>
          <w:i/>
          <w:lang w:val="es-ES_tradnl"/>
        </w:rPr>
        <w:t>, una vez descontados los gastos financieros e impuestos por el manejo de las mismas,</w:t>
      </w:r>
      <w:r w:rsidR="006217DA" w:rsidRPr="008D4E66">
        <w:rPr>
          <w:rFonts w:ascii="Bookman Old Style" w:hAnsi="Bookman Old Style"/>
          <w:i/>
          <w:lang w:val="es-ES_tradnl"/>
        </w:rPr>
        <w:t xml:space="preserve"> distribuirá tales rendimientos entre todos los </w:t>
      </w:r>
      <w:r w:rsidR="00224B36" w:rsidRPr="008D4E66">
        <w:rPr>
          <w:rFonts w:ascii="Bookman Old Style" w:hAnsi="Bookman Old Style"/>
          <w:i/>
          <w:lang w:val="es-ES_tradnl"/>
        </w:rPr>
        <w:t xml:space="preserve">Agentes </w:t>
      </w:r>
      <w:r w:rsidR="006217DA" w:rsidRPr="008D4E66">
        <w:rPr>
          <w:rFonts w:ascii="Bookman Old Style" w:hAnsi="Bookman Old Style"/>
          <w:i/>
          <w:lang w:val="es-ES_tradnl"/>
        </w:rPr>
        <w:t>que hayan realizado prepagos, en proporción al monto depositado y al número de días que permaneció el depósito en la cuenta</w:t>
      </w:r>
      <w:r w:rsidRPr="008D4E66">
        <w:rPr>
          <w:rFonts w:ascii="Bookman Old Style" w:hAnsi="Bookman Old Style"/>
          <w:i/>
          <w:lang w:val="es-ES_tradnl"/>
        </w:rPr>
        <w:t>.”</w:t>
      </w:r>
    </w:p>
    <w:p w:rsidR="00C10994" w:rsidRPr="007472F8" w:rsidRDefault="00C10994" w:rsidP="009A3947">
      <w:pPr>
        <w:ind w:left="0"/>
        <w:jc w:val="both"/>
        <w:rPr>
          <w:rFonts w:ascii="Bookman Old Style" w:hAnsi="Bookman Old Style"/>
          <w:sz w:val="32"/>
          <w:lang w:val="es-ES_tradnl"/>
        </w:rPr>
      </w:pPr>
    </w:p>
    <w:p w:rsidR="00F9505C" w:rsidRPr="008D4E66" w:rsidRDefault="00F9505C" w:rsidP="0041145E">
      <w:pPr>
        <w:numPr>
          <w:ilvl w:val="0"/>
          <w:numId w:val="7"/>
        </w:numPr>
        <w:tabs>
          <w:tab w:val="num" w:pos="1701"/>
        </w:tabs>
        <w:ind w:left="0"/>
        <w:jc w:val="both"/>
        <w:rPr>
          <w:rFonts w:ascii="Bookman Old Style" w:hAnsi="Bookman Old Style" w:cs="Arial"/>
        </w:rPr>
      </w:pPr>
      <w:r w:rsidRPr="008D4E66">
        <w:rPr>
          <w:rFonts w:ascii="Bookman Old Style" w:hAnsi="Bookman Old Style" w:cs="Arial"/>
          <w:b/>
        </w:rPr>
        <w:t>Derogatorias.</w:t>
      </w:r>
      <w:r w:rsidRPr="008D4E66">
        <w:rPr>
          <w:rFonts w:ascii="Bookman Old Style" w:hAnsi="Bookman Old Style" w:cs="Arial"/>
        </w:rPr>
        <w:t xml:space="preserve"> La presente </w:t>
      </w:r>
      <w:r w:rsidR="00224B36" w:rsidRPr="008D4E66">
        <w:rPr>
          <w:rFonts w:ascii="Bookman Old Style" w:hAnsi="Bookman Old Style" w:cs="Arial"/>
        </w:rPr>
        <w:t xml:space="preserve">Resolución </w:t>
      </w:r>
      <w:r w:rsidRPr="008D4E66">
        <w:rPr>
          <w:rFonts w:ascii="Bookman Old Style" w:hAnsi="Bookman Old Style" w:cs="Arial"/>
        </w:rPr>
        <w:t xml:space="preserve">deroga </w:t>
      </w:r>
      <w:r w:rsidR="00DB717F" w:rsidRPr="008D4E66">
        <w:rPr>
          <w:rFonts w:ascii="Bookman Old Style" w:hAnsi="Bookman Old Style" w:cs="Arial"/>
        </w:rPr>
        <w:t xml:space="preserve">los </w:t>
      </w:r>
      <w:r w:rsidRPr="008D4E66">
        <w:rPr>
          <w:rFonts w:ascii="Bookman Old Style" w:hAnsi="Bookman Old Style" w:cs="Arial"/>
        </w:rPr>
        <w:t>artículo</w:t>
      </w:r>
      <w:r w:rsidR="00DB717F" w:rsidRPr="008D4E66">
        <w:rPr>
          <w:rFonts w:ascii="Bookman Old Style" w:hAnsi="Bookman Old Style" w:cs="Arial"/>
        </w:rPr>
        <w:t>s</w:t>
      </w:r>
      <w:r w:rsidRPr="008D4E66">
        <w:rPr>
          <w:rFonts w:ascii="Bookman Old Style" w:hAnsi="Bookman Old Style" w:cs="Arial"/>
        </w:rPr>
        <w:t xml:space="preserve"> </w:t>
      </w:r>
      <w:r w:rsidR="00CB5F65">
        <w:rPr>
          <w:rFonts w:ascii="Bookman Old Style" w:hAnsi="Bookman Old Style" w:cs="Arial"/>
        </w:rPr>
        <w:t xml:space="preserve">4, 5, 6, 7, 8, </w:t>
      </w:r>
      <w:r w:rsidRPr="008D4E66">
        <w:rPr>
          <w:rFonts w:ascii="Bookman Old Style" w:hAnsi="Bookman Old Style" w:cs="Arial"/>
        </w:rPr>
        <w:t xml:space="preserve">12 </w:t>
      </w:r>
      <w:r w:rsidR="00DB717F" w:rsidRPr="008D4E66">
        <w:rPr>
          <w:rFonts w:ascii="Bookman Old Style" w:hAnsi="Bookman Old Style" w:cs="Arial"/>
        </w:rPr>
        <w:t xml:space="preserve">y 17 </w:t>
      </w:r>
      <w:r w:rsidRPr="008D4E66">
        <w:rPr>
          <w:rFonts w:ascii="Bookman Old Style" w:hAnsi="Bookman Old Style" w:cs="Arial"/>
        </w:rPr>
        <w:t xml:space="preserve">del </w:t>
      </w:r>
      <w:r w:rsidRPr="008D4E66">
        <w:rPr>
          <w:rFonts w:ascii="Bookman Old Style" w:hAnsi="Bookman Old Style" w:cs="Arial"/>
          <w:bCs/>
        </w:rPr>
        <w:t>Reglamento de Mecanismos de Cubrimiento para las Transacciones en el Mercado de Energía Mayorista</w:t>
      </w:r>
      <w:r w:rsidRPr="008D4E66">
        <w:rPr>
          <w:rFonts w:ascii="Bookman Old Style" w:hAnsi="Bookman Old Style" w:cs="Arial"/>
        </w:rPr>
        <w:t>.</w:t>
      </w:r>
    </w:p>
    <w:p w:rsidR="00F9505C" w:rsidRPr="008D4E66" w:rsidRDefault="00F9505C" w:rsidP="009A3947">
      <w:pPr>
        <w:ind w:left="0"/>
        <w:jc w:val="both"/>
        <w:rPr>
          <w:rFonts w:ascii="Bookman Old Style" w:hAnsi="Bookman Old Style"/>
          <w:lang w:val="es-ES_tradnl"/>
        </w:rPr>
      </w:pPr>
    </w:p>
    <w:p w:rsidR="00C20249" w:rsidRPr="008123AD" w:rsidRDefault="00C20249" w:rsidP="0041145E">
      <w:pPr>
        <w:numPr>
          <w:ilvl w:val="0"/>
          <w:numId w:val="7"/>
        </w:numPr>
        <w:tabs>
          <w:tab w:val="num" w:pos="1701"/>
        </w:tabs>
        <w:ind w:left="0"/>
        <w:jc w:val="both"/>
        <w:rPr>
          <w:rFonts w:ascii="Bookman Old Style" w:hAnsi="Bookman Old Style" w:cs="Arial"/>
        </w:rPr>
      </w:pPr>
      <w:r w:rsidRPr="008D4E66">
        <w:rPr>
          <w:rFonts w:ascii="Bookman Old Style" w:hAnsi="Bookman Old Style" w:cs="Arial"/>
          <w:b/>
          <w:bCs/>
        </w:rPr>
        <w:t xml:space="preserve">Vigencia. </w:t>
      </w:r>
      <w:r w:rsidR="008123AD" w:rsidRPr="00FA73F0">
        <w:rPr>
          <w:rFonts w:ascii="Bookman Old Style" w:hAnsi="Bookman Old Style" w:cs="Arial"/>
          <w:color w:val="000000"/>
          <w:spacing w:val="-4"/>
        </w:rPr>
        <w:t xml:space="preserve">La presente resolución rige a partir del primero de </w:t>
      </w:r>
      <w:r w:rsidR="004E1727">
        <w:rPr>
          <w:rFonts w:ascii="Bookman Old Style" w:hAnsi="Bookman Old Style" w:cs="Arial"/>
          <w:color w:val="000000"/>
          <w:spacing w:val="-4"/>
        </w:rPr>
        <w:t>marzo</w:t>
      </w:r>
      <w:r w:rsidR="008123AD" w:rsidRPr="00FA73F0">
        <w:rPr>
          <w:rFonts w:ascii="Bookman Old Style" w:hAnsi="Bookman Old Style" w:cs="Arial"/>
          <w:color w:val="000000"/>
          <w:spacing w:val="-4"/>
        </w:rPr>
        <w:t xml:space="preserve"> de 201</w:t>
      </w:r>
      <w:r w:rsidR="008123AD">
        <w:rPr>
          <w:rFonts w:ascii="Bookman Old Style" w:hAnsi="Bookman Old Style" w:cs="Arial"/>
          <w:color w:val="000000"/>
          <w:spacing w:val="-4"/>
        </w:rPr>
        <w:t>2</w:t>
      </w:r>
      <w:r w:rsidR="008123AD" w:rsidRPr="00FA73F0">
        <w:rPr>
          <w:rFonts w:ascii="Bookman Old Style" w:hAnsi="Bookman Old Style" w:cs="Arial"/>
          <w:color w:val="000000"/>
          <w:spacing w:val="-4"/>
        </w:rPr>
        <w:t xml:space="preserve">, una vez haya sido publicada en el </w:t>
      </w:r>
      <w:r w:rsidR="008123AD" w:rsidRPr="00DF1CE9">
        <w:rPr>
          <w:rFonts w:ascii="Bookman Old Style" w:hAnsi="Bookman Old Style" w:cs="Arial"/>
          <w:i/>
          <w:color w:val="000000"/>
          <w:spacing w:val="-4"/>
        </w:rPr>
        <w:t>Diario Oficial</w:t>
      </w:r>
      <w:r w:rsidR="008123AD" w:rsidRPr="00FA73F0">
        <w:rPr>
          <w:rFonts w:ascii="Bookman Old Style" w:hAnsi="Bookman Old Style" w:cs="Arial"/>
          <w:color w:val="000000"/>
          <w:spacing w:val="-4"/>
        </w:rPr>
        <w:t>.</w:t>
      </w:r>
    </w:p>
    <w:p w:rsidR="00C20249" w:rsidRDefault="00C20249" w:rsidP="009A3947">
      <w:pPr>
        <w:rPr>
          <w:rFonts w:ascii="Bookman Old Style" w:hAnsi="Bookman Old Style" w:cs="Arial"/>
        </w:rPr>
      </w:pPr>
    </w:p>
    <w:p w:rsidR="008123AD" w:rsidRPr="008D4E66" w:rsidRDefault="008123AD" w:rsidP="009A3947">
      <w:pPr>
        <w:rPr>
          <w:rFonts w:ascii="Bookman Old Style" w:hAnsi="Bookman Old Style" w:cs="Arial"/>
        </w:rPr>
      </w:pPr>
    </w:p>
    <w:p w:rsidR="00C20249" w:rsidRPr="008D4E66" w:rsidRDefault="00C20249" w:rsidP="0041145E">
      <w:pPr>
        <w:ind w:left="0"/>
        <w:jc w:val="center"/>
        <w:rPr>
          <w:rFonts w:ascii="Bookman Old Style" w:hAnsi="Bookman Old Style" w:cs="Arial"/>
          <w:b/>
        </w:rPr>
      </w:pPr>
      <w:r w:rsidRPr="008D4E66">
        <w:rPr>
          <w:rFonts w:ascii="Bookman Old Style" w:hAnsi="Bookman Old Style" w:cs="Arial"/>
          <w:b/>
        </w:rPr>
        <w:t>PUBLÍQUESE Y CÚMPLASE</w:t>
      </w:r>
    </w:p>
    <w:p w:rsidR="00C20249" w:rsidRPr="008D4E66" w:rsidRDefault="00C20249" w:rsidP="009A3947">
      <w:pPr>
        <w:ind w:left="142"/>
        <w:jc w:val="both"/>
        <w:rPr>
          <w:rFonts w:ascii="Bookman Old Style" w:hAnsi="Bookman Old Style" w:cs="Arial"/>
        </w:rPr>
      </w:pPr>
    </w:p>
    <w:p w:rsidR="009C2B70" w:rsidRPr="008D4E66" w:rsidRDefault="009C2B70" w:rsidP="009A3947">
      <w:pPr>
        <w:ind w:left="142"/>
        <w:jc w:val="both"/>
        <w:rPr>
          <w:rFonts w:ascii="Bookman Old Style" w:hAnsi="Bookman Old Style" w:cs="Arial"/>
        </w:rPr>
      </w:pPr>
    </w:p>
    <w:p w:rsidR="00C20249" w:rsidRPr="008D4E66" w:rsidRDefault="00C20249" w:rsidP="0041145E">
      <w:pPr>
        <w:ind w:left="0"/>
        <w:jc w:val="both"/>
        <w:rPr>
          <w:rFonts w:ascii="Bookman Old Style" w:hAnsi="Bookman Old Style" w:cs="Arial"/>
        </w:rPr>
      </w:pPr>
      <w:r w:rsidRPr="008D4E66">
        <w:rPr>
          <w:rFonts w:ascii="Bookman Old Style" w:hAnsi="Bookman Old Style" w:cs="Arial"/>
        </w:rPr>
        <w:t>Dada en Bogotá, a los</w:t>
      </w:r>
    </w:p>
    <w:p w:rsidR="00EF5307" w:rsidRPr="008D4E66" w:rsidRDefault="00EF5307" w:rsidP="0041145E">
      <w:pPr>
        <w:ind w:left="0"/>
        <w:rPr>
          <w:rFonts w:ascii="Bookman Old Style" w:hAnsi="Bookman Old Style" w:cs="Arial"/>
          <w:color w:val="000000"/>
        </w:rPr>
      </w:pPr>
    </w:p>
    <w:p w:rsidR="00EF5307" w:rsidRPr="008D4E66" w:rsidRDefault="00EF5307" w:rsidP="0041145E">
      <w:pPr>
        <w:ind w:left="0"/>
        <w:rPr>
          <w:rFonts w:ascii="Bookman Old Style" w:hAnsi="Bookman Old Style" w:cs="Arial"/>
          <w:color w:val="000000"/>
        </w:rPr>
      </w:pPr>
    </w:p>
    <w:p w:rsidR="00EF5307" w:rsidRPr="008D4E66" w:rsidRDefault="00EF5307" w:rsidP="0041145E">
      <w:pPr>
        <w:ind w:left="0"/>
        <w:jc w:val="both"/>
        <w:rPr>
          <w:rFonts w:ascii="Bookman Old Style" w:hAnsi="Bookman Old Style" w:cs="Arial"/>
        </w:rPr>
      </w:pPr>
    </w:p>
    <w:p w:rsidR="00EF5307" w:rsidRPr="008D4E66" w:rsidRDefault="00EF5307" w:rsidP="0041145E">
      <w:pPr>
        <w:ind w:left="0"/>
        <w:jc w:val="center"/>
        <w:rPr>
          <w:rFonts w:ascii="Bookman Old Style" w:hAnsi="Bookman Old Style" w:cs="Arial"/>
          <w:color w:val="000000"/>
        </w:rPr>
      </w:pPr>
    </w:p>
    <w:p w:rsidR="00EF5307" w:rsidRPr="008D4E66" w:rsidRDefault="00EF5307" w:rsidP="009A3947">
      <w:pPr>
        <w:jc w:val="center"/>
        <w:rPr>
          <w:rFonts w:ascii="Bookman Old Style" w:hAnsi="Bookman Old Style" w:cs="Arial"/>
          <w:color w:val="000000"/>
        </w:rPr>
      </w:pPr>
    </w:p>
    <w:tbl>
      <w:tblPr>
        <w:tblW w:w="0" w:type="auto"/>
        <w:jc w:val="center"/>
        <w:tblCellSpacing w:w="0" w:type="dxa"/>
        <w:tblInd w:w="-403" w:type="dxa"/>
        <w:tblCellMar>
          <w:left w:w="0" w:type="dxa"/>
          <w:right w:w="0" w:type="dxa"/>
        </w:tblCellMar>
        <w:tblLook w:val="04A0" w:firstRow="1" w:lastRow="0" w:firstColumn="1" w:lastColumn="0" w:noHBand="0" w:noVBand="1"/>
      </w:tblPr>
      <w:tblGrid>
        <w:gridCol w:w="5003"/>
        <w:gridCol w:w="4435"/>
      </w:tblGrid>
      <w:tr w:rsidR="00EF5307" w:rsidRPr="008D4E66" w:rsidTr="005E255A">
        <w:trPr>
          <w:tblCellSpacing w:w="0" w:type="dxa"/>
          <w:jc w:val="center"/>
        </w:trPr>
        <w:tc>
          <w:tcPr>
            <w:tcW w:w="5003" w:type="dxa"/>
            <w:hideMark/>
          </w:tcPr>
          <w:p w:rsidR="00EF5307" w:rsidRPr="008D4E66" w:rsidRDefault="00EF5307" w:rsidP="009A3947">
            <w:pPr>
              <w:ind w:left="0"/>
              <w:jc w:val="center"/>
              <w:rPr>
                <w:rFonts w:ascii="Bookman Old Style" w:hAnsi="Bookman Old Style" w:cs="Arial"/>
                <w:color w:val="000000"/>
              </w:rPr>
            </w:pPr>
            <w:r w:rsidRPr="008D4E66">
              <w:rPr>
                <w:rFonts w:ascii="Bookman Old Style" w:hAnsi="Bookman Old Style" w:cs="Arial"/>
                <w:b/>
                <w:bCs/>
                <w:color w:val="000000"/>
              </w:rPr>
              <w:t>TOM</w:t>
            </w:r>
            <w:r w:rsidR="009C2B70" w:rsidRPr="008D4E66">
              <w:rPr>
                <w:rFonts w:ascii="Bookman Old Style" w:hAnsi="Bookman Old Style" w:cs="Arial"/>
                <w:b/>
                <w:bCs/>
                <w:color w:val="000000"/>
              </w:rPr>
              <w:t>Á</w:t>
            </w:r>
            <w:r w:rsidRPr="008D4E66">
              <w:rPr>
                <w:rFonts w:ascii="Bookman Old Style" w:hAnsi="Bookman Old Style" w:cs="Arial"/>
                <w:b/>
                <w:bCs/>
                <w:color w:val="000000"/>
              </w:rPr>
              <w:t>S GONZÁLEZ ESTRADA</w:t>
            </w:r>
          </w:p>
        </w:tc>
        <w:tc>
          <w:tcPr>
            <w:tcW w:w="4435" w:type="dxa"/>
            <w:hideMark/>
          </w:tcPr>
          <w:p w:rsidR="00EF5307" w:rsidRPr="008D4E66" w:rsidRDefault="00EF5307" w:rsidP="009A3947">
            <w:pPr>
              <w:ind w:left="0"/>
              <w:jc w:val="center"/>
              <w:rPr>
                <w:rFonts w:ascii="Bookman Old Style" w:hAnsi="Bookman Old Style" w:cs="Arial"/>
                <w:color w:val="000000"/>
              </w:rPr>
            </w:pPr>
            <w:r w:rsidRPr="008D4E66">
              <w:rPr>
                <w:rFonts w:ascii="Bookman Old Style" w:hAnsi="Bookman Old Style" w:cs="Arial"/>
                <w:b/>
                <w:bCs/>
                <w:color w:val="000000"/>
              </w:rPr>
              <w:t>JAVIER AUGUSTO DÍAZ VELASCO</w:t>
            </w:r>
          </w:p>
        </w:tc>
      </w:tr>
      <w:tr w:rsidR="00EF5307" w:rsidRPr="008D4E66" w:rsidTr="005E255A">
        <w:trPr>
          <w:tblCellSpacing w:w="0" w:type="dxa"/>
          <w:jc w:val="center"/>
        </w:trPr>
        <w:tc>
          <w:tcPr>
            <w:tcW w:w="5003" w:type="dxa"/>
            <w:hideMark/>
          </w:tcPr>
          <w:p w:rsidR="00EF5307" w:rsidRPr="008D4E66" w:rsidRDefault="00EF5307" w:rsidP="00C10994">
            <w:pPr>
              <w:ind w:left="0"/>
              <w:jc w:val="center"/>
              <w:rPr>
                <w:rFonts w:ascii="Bookman Old Style" w:hAnsi="Bookman Old Style" w:cs="Arial"/>
                <w:color w:val="000000"/>
              </w:rPr>
            </w:pPr>
            <w:r w:rsidRPr="008D4E66">
              <w:rPr>
                <w:rFonts w:ascii="Bookman Old Style" w:hAnsi="Bookman Old Style" w:cs="Arial"/>
                <w:color w:val="000000"/>
              </w:rPr>
              <w:t>Viceministro de Minas y Energía</w:t>
            </w:r>
          </w:p>
        </w:tc>
        <w:tc>
          <w:tcPr>
            <w:tcW w:w="4435" w:type="dxa"/>
            <w:hideMark/>
          </w:tcPr>
          <w:p w:rsidR="00EF5307" w:rsidRPr="008D4E66" w:rsidRDefault="00EF5307" w:rsidP="00C10994">
            <w:pPr>
              <w:jc w:val="center"/>
              <w:rPr>
                <w:rFonts w:ascii="Bookman Old Style" w:hAnsi="Bookman Old Style" w:cs="Arial"/>
                <w:color w:val="000000"/>
              </w:rPr>
            </w:pPr>
            <w:r w:rsidRPr="008D4E66">
              <w:rPr>
                <w:rFonts w:ascii="Bookman Old Style" w:hAnsi="Bookman Old Style" w:cs="Arial"/>
                <w:color w:val="000000"/>
              </w:rPr>
              <w:t>Director Ejecutivo</w:t>
            </w:r>
          </w:p>
        </w:tc>
      </w:tr>
      <w:tr w:rsidR="00EF5307" w:rsidRPr="009A3947" w:rsidTr="005E255A">
        <w:trPr>
          <w:tblCellSpacing w:w="0" w:type="dxa"/>
          <w:jc w:val="center"/>
        </w:trPr>
        <w:tc>
          <w:tcPr>
            <w:tcW w:w="5003" w:type="dxa"/>
            <w:hideMark/>
          </w:tcPr>
          <w:p w:rsidR="00EF5307" w:rsidRPr="008D4E66" w:rsidRDefault="00EF5307" w:rsidP="00C10994">
            <w:pPr>
              <w:ind w:left="0"/>
              <w:jc w:val="center"/>
              <w:rPr>
                <w:rFonts w:ascii="Bookman Old Style" w:hAnsi="Bookman Old Style" w:cs="Arial"/>
                <w:color w:val="000000"/>
              </w:rPr>
            </w:pPr>
            <w:r w:rsidRPr="008D4E66">
              <w:rPr>
                <w:rFonts w:ascii="Bookman Old Style" w:hAnsi="Bookman Old Style" w:cs="Arial"/>
                <w:color w:val="000000"/>
              </w:rPr>
              <w:t>Delegado del Ministro de Minas y Energía</w:t>
            </w:r>
            <w:r w:rsidRPr="008D4E66">
              <w:rPr>
                <w:rFonts w:ascii="Bookman Old Style" w:hAnsi="Bookman Old Style" w:cs="Arial"/>
                <w:color w:val="000000"/>
              </w:rPr>
              <w:br/>
              <w:t>Presidente</w:t>
            </w:r>
          </w:p>
        </w:tc>
        <w:tc>
          <w:tcPr>
            <w:tcW w:w="4435" w:type="dxa"/>
            <w:hideMark/>
          </w:tcPr>
          <w:p w:rsidR="00EF5307" w:rsidRPr="00C10994" w:rsidRDefault="00BD61AB" w:rsidP="00C10994">
            <w:pPr>
              <w:jc w:val="center"/>
              <w:rPr>
                <w:rFonts w:ascii="Bookman Old Style" w:hAnsi="Bookman Old Style" w:cs="Arial"/>
                <w:color w:val="000000"/>
              </w:rPr>
            </w:pPr>
            <w:r>
              <w:rPr>
                <w:rFonts w:ascii="Bookman Old Style" w:hAnsi="Bookman Old Style" w:cs="Arial"/>
                <w:noProof/>
                <w:color w:val="000000"/>
                <w:lang w:val="es-CO" w:eastAsia="es-CO"/>
              </w:rPr>
              <w:drawing>
                <wp:inline distT="0" distB="0" distL="0" distR="0">
                  <wp:extent cx="155575" cy="889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a:ln>
                            <a:noFill/>
                          </a:ln>
                        </pic:spPr>
                      </pic:pic>
                    </a:graphicData>
                  </a:graphic>
                </wp:inline>
              </w:drawing>
            </w:r>
          </w:p>
        </w:tc>
      </w:tr>
    </w:tbl>
    <w:p w:rsidR="00CE0BBD" w:rsidRPr="009A3947" w:rsidRDefault="00CE0BBD" w:rsidP="00C10994">
      <w:pPr>
        <w:ind w:left="0"/>
        <w:jc w:val="center"/>
        <w:rPr>
          <w:rFonts w:ascii="Bookman Old Style" w:hAnsi="Bookman Old Style"/>
        </w:rPr>
      </w:pPr>
    </w:p>
    <w:sectPr w:rsidR="00CE0BBD" w:rsidRPr="009A3947" w:rsidSect="001A2A7B">
      <w:headerReference w:type="default" r:id="rId12"/>
      <w:headerReference w:type="first" r:id="rId13"/>
      <w:type w:val="continuous"/>
      <w:pgSz w:w="12242" w:h="18722" w:code="123"/>
      <w:pgMar w:top="2496" w:right="1185" w:bottom="17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E14" w:rsidRDefault="00097E14">
      <w:r>
        <w:separator/>
      </w:r>
    </w:p>
  </w:endnote>
  <w:endnote w:type="continuationSeparator" w:id="0">
    <w:p w:rsidR="00097E14" w:rsidRDefault="0009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E14" w:rsidRDefault="00097E14">
      <w:r>
        <w:separator/>
      </w:r>
    </w:p>
  </w:footnote>
  <w:footnote w:type="continuationSeparator" w:id="0">
    <w:p w:rsidR="00097E14" w:rsidRDefault="00097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E14" w:rsidRDefault="00097E14" w:rsidP="00951F79">
    <w:pPr>
      <w:pStyle w:val="Ttulo1"/>
      <w:ind w:right="6"/>
      <w:jc w:val="left"/>
      <w:rPr>
        <w:rFonts w:ascii="Bookman Old Style" w:hAnsi="Bookman Old Style" w:cs="Arial"/>
        <w:b w:val="0"/>
        <w:sz w:val="22"/>
        <w:szCs w:val="22"/>
      </w:rPr>
    </w:pPr>
  </w:p>
  <w:p w:rsidR="00097E14" w:rsidRPr="00951F79" w:rsidRDefault="00097E1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Pr>
        <w:rFonts w:ascii="Bookman Old Style" w:hAnsi="Bookman Old Style" w:cs="Arial"/>
        <w:b w:val="0"/>
        <w:sz w:val="22"/>
        <w:szCs w:val="22"/>
      </w:rPr>
      <w:t>DE ________________</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1A79A6">
      <w:rPr>
        <w:rFonts w:ascii="Bookman Old Style" w:hAnsi="Bookman Old Style" w:cs="Arial"/>
        <w:b w:val="0"/>
        <w:noProof/>
        <w:sz w:val="22"/>
        <w:szCs w:val="22"/>
      </w:rPr>
      <w:t>12</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1A79A6" w:rsidRPr="001A79A6">
        <w:rPr>
          <w:rFonts w:ascii="Bookman Old Style" w:hAnsi="Bookman Old Style" w:cs="Arial"/>
          <w:b w:val="0"/>
          <w:noProof/>
          <w:sz w:val="22"/>
          <w:szCs w:val="22"/>
        </w:rPr>
        <w:t>12</w:t>
      </w:r>
    </w:fldSimple>
  </w:p>
  <w:p w:rsidR="00097E14" w:rsidRDefault="00097E14"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7216" behindDoc="0" locked="0" layoutInCell="1" allowOverlap="1" wp14:anchorId="4E78C4BB" wp14:editId="0A200D2F">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rsidR="00097E14" w:rsidRDefault="00097E14" w:rsidP="00B33A91">
    <w:pPr>
      <w:pBdr>
        <w:bottom w:val="single" w:sz="4" w:space="0" w:color="auto"/>
      </w:pBdr>
      <w:spacing w:after="480"/>
      <w:ind w:left="0"/>
      <w:jc w:val="both"/>
      <w:rPr>
        <w:rFonts w:ascii="Bookman Old Style" w:hAnsi="Bookman Old Style" w:cs="Arial"/>
        <w:spacing w:val="-3"/>
        <w:sz w:val="22"/>
        <w:szCs w:val="22"/>
        <w:lang w:val="es-ES_tradnl"/>
      </w:rPr>
    </w:pPr>
    <w:r w:rsidRPr="00E052E6">
      <w:rPr>
        <w:rFonts w:ascii="Bookman Old Style" w:hAnsi="Bookman Old Style" w:cs="Arial"/>
        <w:spacing w:val="-3"/>
        <w:sz w:val="22"/>
        <w:szCs w:val="22"/>
        <w:lang w:val="es-ES_tradnl"/>
      </w:rPr>
      <w:t xml:space="preserve">Por la cual se modifican algunas disposiciones en materia de garantías y pagos anticipados de los agentes participantes en </w:t>
    </w:r>
    <w:r>
      <w:rPr>
        <w:rFonts w:ascii="Bookman Old Style" w:hAnsi="Bookman Old Style" w:cs="Arial"/>
        <w:spacing w:val="-3"/>
        <w:sz w:val="22"/>
        <w:szCs w:val="22"/>
        <w:lang w:val="es-ES_tradnl"/>
      </w:rPr>
      <w:t>el Mercado de Energía Mayorista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E14" w:rsidRDefault="00097E14" w:rsidP="00025383">
    <w:pPr>
      <w:pStyle w:val="Encabezado"/>
      <w:jc w:val="both"/>
      <w:rPr>
        <w:rFonts w:ascii="Arial" w:hAnsi="Arial" w:cs="Arial"/>
        <w:spacing w:val="20"/>
        <w:sz w:val="20"/>
      </w:rPr>
    </w:pPr>
    <w:r>
      <w:rPr>
        <w:rFonts w:ascii="Arial" w:hAnsi="Arial" w:cs="Arial"/>
        <w:spacing w:val="20"/>
        <w:sz w:val="20"/>
      </w:rPr>
      <w:t xml:space="preserve">                                   República de Colombia</w:t>
    </w:r>
  </w:p>
  <w:p w:rsidR="00097E14" w:rsidRDefault="00097E14">
    <w:pPr>
      <w:pStyle w:val="Encabezado"/>
      <w:jc w:val="center"/>
      <w:rPr>
        <w:rFonts w:ascii="Arial" w:hAnsi="Arial" w:cs="Arial"/>
        <w:spacing w:val="20"/>
        <w:sz w:val="20"/>
      </w:rPr>
    </w:pPr>
  </w:p>
  <w:p w:rsidR="00097E14" w:rsidRDefault="00097E14"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simplePos x="0" y="0"/>
              <wp:positionH relativeFrom="column">
                <wp:posOffset>-213360</wp:posOffset>
              </wp:positionH>
              <wp:positionV relativeFrom="paragraph">
                <wp:posOffset>377190</wp:posOffset>
              </wp:positionV>
              <wp:extent cx="6343650" cy="9839325"/>
              <wp:effectExtent l="15240" t="15240" r="1333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2DC"/>
    <w:multiLevelType w:val="hybridMultilevel"/>
    <w:tmpl w:val="802CA73A"/>
    <w:lvl w:ilvl="0" w:tplc="019E539E">
      <w:start w:val="1"/>
      <w:numFmt w:val="decimal"/>
      <w:lvlText w:val="%1."/>
      <w:lvlJc w:val="left"/>
      <w:pPr>
        <w:ind w:left="2912" w:hanging="360"/>
      </w:pPr>
      <w:rPr>
        <w:rFonts w:ascii="Bookman Old Style" w:hAnsi="Bookman Old Style" w:hint="default"/>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
    <w:nsid w:val="01E67325"/>
    <w:multiLevelType w:val="hybridMultilevel"/>
    <w:tmpl w:val="66568F00"/>
    <w:lvl w:ilvl="0" w:tplc="FA285800">
      <w:start w:val="1"/>
      <w:numFmt w:val="decimal"/>
      <w:lvlText w:val="Artículo %1. "/>
      <w:lvlJc w:val="left"/>
      <w:pPr>
        <w:ind w:left="578" w:hanging="360"/>
      </w:pPr>
      <w:rPr>
        <w:rFonts w:hint="default"/>
        <w:b/>
        <w:i w:val="0"/>
      </w:rPr>
    </w:lvl>
    <w:lvl w:ilvl="1" w:tplc="501833C2" w:tentative="1">
      <w:start w:val="1"/>
      <w:numFmt w:val="lowerLetter"/>
      <w:lvlText w:val="%2."/>
      <w:lvlJc w:val="left"/>
      <w:pPr>
        <w:ind w:left="1298" w:hanging="360"/>
      </w:pPr>
    </w:lvl>
    <w:lvl w:ilvl="2" w:tplc="145A2A2C" w:tentative="1">
      <w:start w:val="1"/>
      <w:numFmt w:val="lowerRoman"/>
      <w:lvlText w:val="%3."/>
      <w:lvlJc w:val="right"/>
      <w:pPr>
        <w:ind w:left="2018" w:hanging="180"/>
      </w:pPr>
    </w:lvl>
    <w:lvl w:ilvl="3" w:tplc="24D42BF6" w:tentative="1">
      <w:start w:val="1"/>
      <w:numFmt w:val="decimal"/>
      <w:lvlText w:val="%4."/>
      <w:lvlJc w:val="left"/>
      <w:pPr>
        <w:ind w:left="2738" w:hanging="360"/>
      </w:pPr>
    </w:lvl>
    <w:lvl w:ilvl="4" w:tplc="FB104FA2" w:tentative="1">
      <w:start w:val="1"/>
      <w:numFmt w:val="lowerLetter"/>
      <w:lvlText w:val="%5."/>
      <w:lvlJc w:val="left"/>
      <w:pPr>
        <w:ind w:left="3458" w:hanging="360"/>
      </w:pPr>
    </w:lvl>
    <w:lvl w:ilvl="5" w:tplc="77346FE4" w:tentative="1">
      <w:start w:val="1"/>
      <w:numFmt w:val="lowerRoman"/>
      <w:lvlText w:val="%6."/>
      <w:lvlJc w:val="right"/>
      <w:pPr>
        <w:ind w:left="4178" w:hanging="180"/>
      </w:pPr>
    </w:lvl>
    <w:lvl w:ilvl="6" w:tplc="1CE0471A" w:tentative="1">
      <w:start w:val="1"/>
      <w:numFmt w:val="decimal"/>
      <w:lvlText w:val="%7."/>
      <w:lvlJc w:val="left"/>
      <w:pPr>
        <w:ind w:left="4898" w:hanging="360"/>
      </w:pPr>
    </w:lvl>
    <w:lvl w:ilvl="7" w:tplc="4192F822" w:tentative="1">
      <w:start w:val="1"/>
      <w:numFmt w:val="lowerLetter"/>
      <w:lvlText w:val="%8."/>
      <w:lvlJc w:val="left"/>
      <w:pPr>
        <w:ind w:left="5618" w:hanging="360"/>
      </w:pPr>
    </w:lvl>
    <w:lvl w:ilvl="8" w:tplc="B412CB90" w:tentative="1">
      <w:start w:val="1"/>
      <w:numFmt w:val="lowerRoman"/>
      <w:lvlText w:val="%9."/>
      <w:lvlJc w:val="right"/>
      <w:pPr>
        <w:ind w:left="6338" w:hanging="180"/>
      </w:pPr>
    </w:lvl>
  </w:abstractNum>
  <w:abstractNum w:abstractNumId="2">
    <w:nsid w:val="02D005A1"/>
    <w:multiLevelType w:val="hybridMultilevel"/>
    <w:tmpl w:val="29CCF4D6"/>
    <w:lvl w:ilvl="0" w:tplc="240A001B">
      <w:start w:val="1"/>
      <w:numFmt w:val="low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03061BFF"/>
    <w:multiLevelType w:val="multilevel"/>
    <w:tmpl w:val="D16E102A"/>
    <w:lvl w:ilvl="0">
      <w:start w:val="1"/>
      <w:numFmt w:val="decimal"/>
      <w:pStyle w:val="Estilo2"/>
      <w:lvlText w:val="Artículo %1."/>
      <w:lvlJc w:val="left"/>
      <w:pPr>
        <w:tabs>
          <w:tab w:val="num" w:pos="4842"/>
        </w:tabs>
        <w:ind w:left="3402" w:firstLine="0"/>
      </w:pPr>
      <w:rPr>
        <w:rFonts w:hint="default"/>
        <w:b/>
        <w:i w:val="0"/>
      </w:rPr>
    </w:lvl>
    <w:lvl w:ilvl="1">
      <w:start w:val="1"/>
      <w:numFmt w:val="lowerLetter"/>
      <w:lvlText w:val="%2)"/>
      <w:lvlJc w:val="left"/>
      <w:pPr>
        <w:ind w:left="1171" w:hanging="375"/>
      </w:pPr>
      <w:rPr>
        <w:rFonts w:hint="default"/>
      </w:rPr>
    </w:lvl>
    <w:lvl w:ilvl="2" w:tentative="1">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tentative="1">
      <w:start w:val="1"/>
      <w:numFmt w:val="lowerLetter"/>
      <w:lvlText w:val="%5."/>
      <w:lvlJc w:val="left"/>
      <w:pPr>
        <w:tabs>
          <w:tab w:val="num" w:pos="3316"/>
        </w:tabs>
        <w:ind w:left="3316" w:hanging="360"/>
      </w:pPr>
    </w:lvl>
    <w:lvl w:ilvl="5" w:tentative="1">
      <w:start w:val="1"/>
      <w:numFmt w:val="lowerRoman"/>
      <w:lvlText w:val="%6."/>
      <w:lvlJc w:val="right"/>
      <w:pPr>
        <w:tabs>
          <w:tab w:val="num" w:pos="4036"/>
        </w:tabs>
        <w:ind w:left="4036" w:hanging="180"/>
      </w:pPr>
    </w:lvl>
    <w:lvl w:ilvl="6" w:tentative="1">
      <w:start w:val="1"/>
      <w:numFmt w:val="decimal"/>
      <w:lvlText w:val="%7."/>
      <w:lvlJc w:val="left"/>
      <w:pPr>
        <w:tabs>
          <w:tab w:val="num" w:pos="4756"/>
        </w:tabs>
        <w:ind w:left="4756" w:hanging="360"/>
      </w:pPr>
    </w:lvl>
    <w:lvl w:ilvl="7" w:tentative="1">
      <w:start w:val="1"/>
      <w:numFmt w:val="lowerLetter"/>
      <w:lvlText w:val="%8."/>
      <w:lvlJc w:val="left"/>
      <w:pPr>
        <w:tabs>
          <w:tab w:val="num" w:pos="5476"/>
        </w:tabs>
        <w:ind w:left="5476" w:hanging="360"/>
      </w:pPr>
    </w:lvl>
    <w:lvl w:ilvl="8" w:tentative="1">
      <w:start w:val="1"/>
      <w:numFmt w:val="lowerRoman"/>
      <w:lvlText w:val="%9."/>
      <w:lvlJc w:val="right"/>
      <w:pPr>
        <w:tabs>
          <w:tab w:val="num" w:pos="6196"/>
        </w:tabs>
        <w:ind w:left="6196" w:hanging="180"/>
      </w:pPr>
    </w:lvl>
  </w:abstractNum>
  <w:abstractNum w:abstractNumId="4">
    <w:nsid w:val="03690223"/>
    <w:multiLevelType w:val="hybridMultilevel"/>
    <w:tmpl w:val="649A0078"/>
    <w:lvl w:ilvl="0" w:tplc="B9F21912">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38D5D1F"/>
    <w:multiLevelType w:val="multilevel"/>
    <w:tmpl w:val="958CC374"/>
    <w:lvl w:ilvl="0">
      <w:start w:val="1"/>
      <w:numFmt w:val="decimal"/>
      <w:lvlText w:val="%1."/>
      <w:lvlJc w:val="left"/>
      <w:pPr>
        <w:ind w:left="426"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6">
    <w:nsid w:val="04CE0429"/>
    <w:multiLevelType w:val="hybridMultilevel"/>
    <w:tmpl w:val="F5D2FE38"/>
    <w:lvl w:ilvl="0" w:tplc="CB58943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055D60F5"/>
    <w:multiLevelType w:val="hybridMultilevel"/>
    <w:tmpl w:val="E594EEA8"/>
    <w:lvl w:ilvl="0" w:tplc="240A001B">
      <w:start w:val="1"/>
      <w:numFmt w:val="lowerRoman"/>
      <w:lvlText w:val="%1."/>
      <w:lvlJc w:val="right"/>
      <w:pPr>
        <w:ind w:left="1571" w:hanging="360"/>
      </w:pPr>
    </w:lvl>
    <w:lvl w:ilvl="1" w:tplc="240A0019" w:tentative="1">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8">
    <w:nsid w:val="05BE05BA"/>
    <w:multiLevelType w:val="multilevel"/>
    <w:tmpl w:val="B2CA6AAA"/>
    <w:lvl w:ilvl="0">
      <w:start w:val="1"/>
      <w:numFmt w:val="lowerLetter"/>
      <w:lvlText w:val="%1)"/>
      <w:lvlJc w:val="left"/>
      <w:pPr>
        <w:ind w:left="360"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9">
    <w:nsid w:val="084D2C83"/>
    <w:multiLevelType w:val="hybridMultilevel"/>
    <w:tmpl w:val="92789B0C"/>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0">
    <w:nsid w:val="0A4D6892"/>
    <w:multiLevelType w:val="multilevel"/>
    <w:tmpl w:val="958CC374"/>
    <w:lvl w:ilvl="0">
      <w:start w:val="1"/>
      <w:numFmt w:val="decimal"/>
      <w:lvlText w:val="%1."/>
      <w:lvlJc w:val="left"/>
      <w:pPr>
        <w:ind w:left="426"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11">
    <w:nsid w:val="0B50373C"/>
    <w:multiLevelType w:val="hybridMultilevel"/>
    <w:tmpl w:val="8B1C1C6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0B5C0B30"/>
    <w:multiLevelType w:val="multilevel"/>
    <w:tmpl w:val="015EB83A"/>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13">
    <w:nsid w:val="0B697E55"/>
    <w:multiLevelType w:val="multilevel"/>
    <w:tmpl w:val="2C3C5E10"/>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14">
    <w:nsid w:val="0BAF634C"/>
    <w:multiLevelType w:val="hybridMultilevel"/>
    <w:tmpl w:val="26EA67E2"/>
    <w:lvl w:ilvl="0" w:tplc="240A0001">
      <w:start w:val="1"/>
      <w:numFmt w:val="lowerLetter"/>
      <w:lvlText w:val="%1."/>
      <w:lvlJc w:val="left"/>
      <w:pPr>
        <w:ind w:left="720" w:hanging="360"/>
      </w:pPr>
      <w:rPr>
        <w:rFonts w:hint="default"/>
      </w:rPr>
    </w:lvl>
    <w:lvl w:ilvl="1" w:tplc="240A0003" w:tentative="1">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15">
    <w:nsid w:val="0C152FBF"/>
    <w:multiLevelType w:val="hybridMultilevel"/>
    <w:tmpl w:val="024211F2"/>
    <w:lvl w:ilvl="0" w:tplc="240A0017">
      <w:start w:val="1"/>
      <w:numFmt w:val="lowerLetter"/>
      <w:lvlText w:val="%1)"/>
      <w:lvlJc w:val="left"/>
      <w:pPr>
        <w:ind w:left="1504" w:hanging="360"/>
      </w:pPr>
      <w:rPr>
        <w:rFonts w:hint="default"/>
      </w:rPr>
    </w:lvl>
    <w:lvl w:ilvl="1" w:tplc="0C0A0019" w:tentative="1">
      <w:start w:val="1"/>
      <w:numFmt w:val="lowerLetter"/>
      <w:lvlText w:val="%2."/>
      <w:lvlJc w:val="left"/>
      <w:pPr>
        <w:ind w:left="2224" w:hanging="360"/>
      </w:pPr>
    </w:lvl>
    <w:lvl w:ilvl="2" w:tplc="0C0A001B" w:tentative="1">
      <w:start w:val="1"/>
      <w:numFmt w:val="lowerRoman"/>
      <w:lvlText w:val="%3."/>
      <w:lvlJc w:val="right"/>
      <w:pPr>
        <w:ind w:left="2944" w:hanging="180"/>
      </w:pPr>
    </w:lvl>
    <w:lvl w:ilvl="3" w:tplc="0C0A000F" w:tentative="1">
      <w:start w:val="1"/>
      <w:numFmt w:val="decimal"/>
      <w:lvlText w:val="%4."/>
      <w:lvlJc w:val="left"/>
      <w:pPr>
        <w:ind w:left="3664" w:hanging="360"/>
      </w:pPr>
    </w:lvl>
    <w:lvl w:ilvl="4" w:tplc="0C0A0019" w:tentative="1">
      <w:start w:val="1"/>
      <w:numFmt w:val="lowerLetter"/>
      <w:lvlText w:val="%5."/>
      <w:lvlJc w:val="left"/>
      <w:pPr>
        <w:ind w:left="4384" w:hanging="360"/>
      </w:pPr>
    </w:lvl>
    <w:lvl w:ilvl="5" w:tplc="0C0A001B" w:tentative="1">
      <w:start w:val="1"/>
      <w:numFmt w:val="lowerRoman"/>
      <w:lvlText w:val="%6."/>
      <w:lvlJc w:val="right"/>
      <w:pPr>
        <w:ind w:left="5104" w:hanging="180"/>
      </w:pPr>
    </w:lvl>
    <w:lvl w:ilvl="6" w:tplc="0C0A000F" w:tentative="1">
      <w:start w:val="1"/>
      <w:numFmt w:val="decimal"/>
      <w:lvlText w:val="%7."/>
      <w:lvlJc w:val="left"/>
      <w:pPr>
        <w:ind w:left="5824" w:hanging="360"/>
      </w:pPr>
    </w:lvl>
    <w:lvl w:ilvl="7" w:tplc="0C0A0019" w:tentative="1">
      <w:start w:val="1"/>
      <w:numFmt w:val="lowerLetter"/>
      <w:lvlText w:val="%8."/>
      <w:lvlJc w:val="left"/>
      <w:pPr>
        <w:ind w:left="6544" w:hanging="360"/>
      </w:pPr>
    </w:lvl>
    <w:lvl w:ilvl="8" w:tplc="0C0A001B" w:tentative="1">
      <w:start w:val="1"/>
      <w:numFmt w:val="lowerRoman"/>
      <w:lvlText w:val="%9."/>
      <w:lvlJc w:val="right"/>
      <w:pPr>
        <w:ind w:left="7264" w:hanging="180"/>
      </w:pPr>
    </w:lvl>
  </w:abstractNum>
  <w:abstractNum w:abstractNumId="16">
    <w:nsid w:val="0C93262B"/>
    <w:multiLevelType w:val="hybridMultilevel"/>
    <w:tmpl w:val="16947D30"/>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7">
    <w:nsid w:val="0C9E453A"/>
    <w:multiLevelType w:val="hybridMultilevel"/>
    <w:tmpl w:val="07FCCAA0"/>
    <w:lvl w:ilvl="0" w:tplc="C37AC83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0CCE6B69"/>
    <w:multiLevelType w:val="multilevel"/>
    <w:tmpl w:val="BB22B62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nsid w:val="0DF36714"/>
    <w:multiLevelType w:val="hybridMultilevel"/>
    <w:tmpl w:val="0F70A1FA"/>
    <w:lvl w:ilvl="0" w:tplc="0C0A0017">
      <w:start w:val="1"/>
      <w:numFmt w:val="decimal"/>
      <w:lvlText w:val="%1."/>
      <w:lvlJc w:val="left"/>
      <w:pPr>
        <w:ind w:left="720" w:hanging="360"/>
      </w:pPr>
      <w:rPr>
        <w:rFonts w:hint="default"/>
      </w:rPr>
    </w:lvl>
    <w:lvl w:ilvl="1" w:tplc="0C0A0019">
      <w:start w:val="1"/>
      <w:numFmt w:val="bullet"/>
      <w:lvlText w:val=""/>
      <w:lvlJc w:val="left"/>
      <w:pPr>
        <w:ind w:left="1440" w:hanging="360"/>
      </w:pPr>
      <w:rPr>
        <w:rFonts w:ascii="Symbol" w:hAnsi="Symbol" w:hint="default"/>
      </w:rPr>
    </w:lvl>
    <w:lvl w:ilvl="2" w:tplc="0C0A001B">
      <w:start w:val="1"/>
      <w:numFmt w:val="lowerLetter"/>
      <w:lvlText w:val="%3)"/>
      <w:lvlJc w:val="left"/>
      <w:pPr>
        <w:ind w:left="2160" w:hanging="360"/>
      </w:pPr>
      <w:rPr>
        <w:rFonts w:ascii="Arial" w:eastAsia="Times New Roman" w:hAnsi="Arial" w:cs="Arial"/>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0">
    <w:nsid w:val="0E71350B"/>
    <w:multiLevelType w:val="hybridMultilevel"/>
    <w:tmpl w:val="6FDCE11E"/>
    <w:lvl w:ilvl="0" w:tplc="E92CC5F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13B659CD"/>
    <w:multiLevelType w:val="multilevel"/>
    <w:tmpl w:val="958CC374"/>
    <w:lvl w:ilvl="0">
      <w:start w:val="1"/>
      <w:numFmt w:val="decimal"/>
      <w:lvlText w:val="%1."/>
      <w:lvlJc w:val="left"/>
      <w:pPr>
        <w:ind w:left="1495" w:hanging="360"/>
      </w:pPr>
      <w:rPr>
        <w:rFonts w:hint="default"/>
      </w:rPr>
    </w:lvl>
    <w:lvl w:ilvl="1">
      <w:start w:val="2"/>
      <w:numFmt w:val="decimal"/>
      <w:isLgl/>
      <w:lvlText w:val="%1.%2"/>
      <w:lvlJc w:val="left"/>
      <w:pPr>
        <w:ind w:left="750" w:hanging="390"/>
      </w:pPr>
      <w:rPr>
        <w:rFonts w:eastAsia="Calibri" w:hint="default"/>
        <w:b/>
        <w:color w:val="auto"/>
      </w:rPr>
    </w:lvl>
    <w:lvl w:ilvl="2">
      <w:start w:val="1"/>
      <w:numFmt w:val="decimal"/>
      <w:isLgl/>
      <w:lvlText w:val="%1.%2.%3"/>
      <w:lvlJc w:val="left"/>
      <w:pPr>
        <w:ind w:left="1080" w:hanging="720"/>
      </w:pPr>
      <w:rPr>
        <w:rFonts w:eastAsia="Calibri" w:hint="default"/>
        <w:b/>
        <w:color w:val="auto"/>
      </w:rPr>
    </w:lvl>
    <w:lvl w:ilvl="3">
      <w:start w:val="1"/>
      <w:numFmt w:val="decimal"/>
      <w:isLgl/>
      <w:lvlText w:val="%1.%2.%3.%4"/>
      <w:lvlJc w:val="left"/>
      <w:pPr>
        <w:ind w:left="1440" w:hanging="1080"/>
      </w:pPr>
      <w:rPr>
        <w:rFonts w:eastAsia="Calibri" w:hint="default"/>
        <w:b/>
        <w:color w:val="auto"/>
      </w:rPr>
    </w:lvl>
    <w:lvl w:ilvl="4">
      <w:start w:val="1"/>
      <w:numFmt w:val="decimal"/>
      <w:isLgl/>
      <w:lvlText w:val="%1.%2.%3.%4.%5"/>
      <w:lvlJc w:val="left"/>
      <w:pPr>
        <w:ind w:left="1440" w:hanging="1080"/>
      </w:pPr>
      <w:rPr>
        <w:rFonts w:eastAsia="Calibri" w:hint="default"/>
        <w:b/>
        <w:color w:val="auto"/>
      </w:rPr>
    </w:lvl>
    <w:lvl w:ilvl="5">
      <w:start w:val="1"/>
      <w:numFmt w:val="decimal"/>
      <w:isLgl/>
      <w:lvlText w:val="%1.%2.%3.%4.%5.%6"/>
      <w:lvlJc w:val="left"/>
      <w:pPr>
        <w:ind w:left="1800" w:hanging="1440"/>
      </w:pPr>
      <w:rPr>
        <w:rFonts w:eastAsia="Calibri" w:hint="default"/>
        <w:b/>
        <w:color w:val="auto"/>
      </w:rPr>
    </w:lvl>
    <w:lvl w:ilvl="6">
      <w:start w:val="1"/>
      <w:numFmt w:val="decimal"/>
      <w:isLgl/>
      <w:lvlText w:val="%1.%2.%3.%4.%5.%6.%7"/>
      <w:lvlJc w:val="left"/>
      <w:pPr>
        <w:ind w:left="1800" w:hanging="1440"/>
      </w:pPr>
      <w:rPr>
        <w:rFonts w:eastAsia="Calibri" w:hint="default"/>
        <w:b/>
        <w:color w:val="auto"/>
      </w:rPr>
    </w:lvl>
    <w:lvl w:ilvl="7">
      <w:start w:val="1"/>
      <w:numFmt w:val="decimal"/>
      <w:isLgl/>
      <w:lvlText w:val="%1.%2.%3.%4.%5.%6.%7.%8"/>
      <w:lvlJc w:val="left"/>
      <w:pPr>
        <w:ind w:left="2160" w:hanging="1800"/>
      </w:pPr>
      <w:rPr>
        <w:rFonts w:eastAsia="Calibri" w:hint="default"/>
        <w:b/>
        <w:color w:val="auto"/>
      </w:rPr>
    </w:lvl>
    <w:lvl w:ilvl="8">
      <w:start w:val="1"/>
      <w:numFmt w:val="decimal"/>
      <w:isLgl/>
      <w:lvlText w:val="%1.%2.%3.%4.%5.%6.%7.%8.%9"/>
      <w:lvlJc w:val="left"/>
      <w:pPr>
        <w:ind w:left="2160" w:hanging="1800"/>
      </w:pPr>
      <w:rPr>
        <w:rFonts w:eastAsia="Calibri" w:hint="default"/>
        <w:b/>
        <w:color w:val="auto"/>
      </w:rPr>
    </w:lvl>
  </w:abstractNum>
  <w:abstractNum w:abstractNumId="22">
    <w:nsid w:val="14E42478"/>
    <w:multiLevelType w:val="hybridMultilevel"/>
    <w:tmpl w:val="943E98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180A62A1"/>
    <w:multiLevelType w:val="hybridMultilevel"/>
    <w:tmpl w:val="AE184186"/>
    <w:lvl w:ilvl="0" w:tplc="240A0001">
      <w:start w:val="1"/>
      <w:numFmt w:val="bullet"/>
      <w:lvlText w:val=""/>
      <w:lvlJc w:val="left"/>
      <w:pPr>
        <w:ind w:left="360" w:hanging="360"/>
      </w:pPr>
      <w:rPr>
        <w:rFonts w:ascii="Symbol" w:hAnsi="Symbol" w:hint="default"/>
      </w:rPr>
    </w:lvl>
    <w:lvl w:ilvl="1" w:tplc="2BDE3BD6">
      <w:numFmt w:val="bullet"/>
      <w:lvlText w:val="-"/>
      <w:lvlJc w:val="left"/>
      <w:pPr>
        <w:ind w:left="1080" w:hanging="360"/>
      </w:pPr>
      <w:rPr>
        <w:rFonts w:ascii="Times New Roman" w:eastAsia="Calibri" w:hAnsi="Times New Roman" w:cs="Times New Roman"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19FF6EC0"/>
    <w:multiLevelType w:val="hybridMultilevel"/>
    <w:tmpl w:val="0FDCC366"/>
    <w:lvl w:ilvl="0" w:tplc="5FE8E34A">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1B443ED2"/>
    <w:multiLevelType w:val="hybridMultilevel"/>
    <w:tmpl w:val="67FA6868"/>
    <w:lvl w:ilvl="0" w:tplc="0C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1B8A3AB9"/>
    <w:multiLevelType w:val="hybridMultilevel"/>
    <w:tmpl w:val="0F26938A"/>
    <w:lvl w:ilvl="0" w:tplc="B4165CCA">
      <w:start w:val="1"/>
      <w:numFmt w:val="lowerLetter"/>
      <w:lvlText w:val="%1)"/>
      <w:lvlJc w:val="left"/>
      <w:pPr>
        <w:ind w:left="150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1C4700C9"/>
    <w:multiLevelType w:val="multilevel"/>
    <w:tmpl w:val="7890B140"/>
    <w:lvl w:ilvl="0">
      <w:start w:val="1"/>
      <w:numFmt w:val="bullet"/>
      <w:lvlText w:val=""/>
      <w:lvlJc w:val="left"/>
      <w:pPr>
        <w:ind w:left="720" w:hanging="72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nsid w:val="1D4A591D"/>
    <w:multiLevelType w:val="multilevel"/>
    <w:tmpl w:val="953CAB74"/>
    <w:lvl w:ilvl="0">
      <w:start w:val="1"/>
      <w:numFmt w:val="decimal"/>
      <w:lvlText w:val="%1."/>
      <w:lvlJc w:val="left"/>
      <w:pPr>
        <w:ind w:left="360" w:hanging="360"/>
      </w:pPr>
      <w:rPr>
        <w:rFonts w:hint="default"/>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29">
    <w:nsid w:val="1E4458DF"/>
    <w:multiLevelType w:val="multilevel"/>
    <w:tmpl w:val="8A021372"/>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30">
    <w:nsid w:val="1F3C7AC8"/>
    <w:multiLevelType w:val="hybridMultilevel"/>
    <w:tmpl w:val="02107B3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218E0B86"/>
    <w:multiLevelType w:val="hybridMultilevel"/>
    <w:tmpl w:val="67FA6868"/>
    <w:lvl w:ilvl="0" w:tplc="0C0A0019">
      <w:start w:val="1"/>
      <w:numFmt w:val="lowerLetter"/>
      <w:lvlText w:val="%1."/>
      <w:lvlJc w:val="left"/>
      <w:pPr>
        <w:tabs>
          <w:tab w:val="num" w:pos="927"/>
        </w:tabs>
        <w:ind w:left="92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2">
    <w:nsid w:val="23483742"/>
    <w:multiLevelType w:val="multilevel"/>
    <w:tmpl w:val="25CC73F0"/>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33">
    <w:nsid w:val="25100DC7"/>
    <w:multiLevelType w:val="hybridMultilevel"/>
    <w:tmpl w:val="51F81D26"/>
    <w:lvl w:ilvl="0" w:tplc="0C0A000F">
      <w:start w:val="1"/>
      <w:numFmt w:val="lowerLetter"/>
      <w:lvlText w:val="%1)"/>
      <w:lvlJc w:val="left"/>
      <w:pPr>
        <w:ind w:left="720" w:hanging="360"/>
      </w:pPr>
      <w:rPr>
        <w:rFonts w:hint="default"/>
        <w:color w:val="auto"/>
      </w:rPr>
    </w:lvl>
    <w:lvl w:ilvl="1" w:tplc="0C0A0001" w:tentative="1">
      <w:start w:val="1"/>
      <w:numFmt w:val="lowerLetter"/>
      <w:lvlText w:val="%2."/>
      <w:lvlJc w:val="left"/>
      <w:pPr>
        <w:ind w:left="1440" w:hanging="360"/>
      </w:pPr>
    </w:lvl>
    <w:lvl w:ilvl="2" w:tplc="85F6A33A"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4">
    <w:nsid w:val="25D347E9"/>
    <w:multiLevelType w:val="hybridMultilevel"/>
    <w:tmpl w:val="E48C77E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nsid w:val="25F25F88"/>
    <w:multiLevelType w:val="multilevel"/>
    <w:tmpl w:val="F03026F0"/>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36">
    <w:nsid w:val="25FF7414"/>
    <w:multiLevelType w:val="multilevel"/>
    <w:tmpl w:val="E954BB84"/>
    <w:lvl w:ilvl="0">
      <w:start w:val="1"/>
      <w:numFmt w:val="decimal"/>
      <w:lvlText w:val="%1."/>
      <w:lvlJc w:val="left"/>
      <w:pPr>
        <w:ind w:left="360"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37">
    <w:nsid w:val="27EF3035"/>
    <w:multiLevelType w:val="hybridMultilevel"/>
    <w:tmpl w:val="54D84EE8"/>
    <w:lvl w:ilvl="0" w:tplc="0C0A0019">
      <w:start w:val="1"/>
      <w:numFmt w:val="lowerLetter"/>
      <w:lvlText w:val="%1."/>
      <w:lvlJc w:val="left"/>
      <w:pPr>
        <w:ind w:left="774" w:hanging="360"/>
      </w:pPr>
      <w:rPr>
        <w:rFonts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38">
    <w:nsid w:val="2822659D"/>
    <w:multiLevelType w:val="multilevel"/>
    <w:tmpl w:val="21F625E0"/>
    <w:lvl w:ilvl="0">
      <w:start w:val="2"/>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hint="default"/>
      </w:rPr>
    </w:lvl>
  </w:abstractNum>
  <w:abstractNum w:abstractNumId="39">
    <w:nsid w:val="28341582"/>
    <w:multiLevelType w:val="multilevel"/>
    <w:tmpl w:val="958CC374"/>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eastAsia="Calibri" w:hint="default"/>
        <w:b/>
        <w:color w:val="auto"/>
      </w:rPr>
    </w:lvl>
    <w:lvl w:ilvl="2">
      <w:start w:val="1"/>
      <w:numFmt w:val="decimal"/>
      <w:isLgl/>
      <w:lvlText w:val="%1.%2.%3"/>
      <w:lvlJc w:val="left"/>
      <w:pPr>
        <w:ind w:left="1080" w:hanging="720"/>
      </w:pPr>
      <w:rPr>
        <w:rFonts w:eastAsia="Calibri" w:hint="default"/>
        <w:b/>
        <w:color w:val="auto"/>
      </w:rPr>
    </w:lvl>
    <w:lvl w:ilvl="3">
      <w:start w:val="1"/>
      <w:numFmt w:val="decimal"/>
      <w:isLgl/>
      <w:lvlText w:val="%1.%2.%3.%4"/>
      <w:lvlJc w:val="left"/>
      <w:pPr>
        <w:ind w:left="1440" w:hanging="1080"/>
      </w:pPr>
      <w:rPr>
        <w:rFonts w:eastAsia="Calibri" w:hint="default"/>
        <w:b/>
        <w:color w:val="auto"/>
      </w:rPr>
    </w:lvl>
    <w:lvl w:ilvl="4">
      <w:start w:val="1"/>
      <w:numFmt w:val="decimal"/>
      <w:isLgl/>
      <w:lvlText w:val="%1.%2.%3.%4.%5"/>
      <w:lvlJc w:val="left"/>
      <w:pPr>
        <w:ind w:left="1440" w:hanging="1080"/>
      </w:pPr>
      <w:rPr>
        <w:rFonts w:eastAsia="Calibri" w:hint="default"/>
        <w:b/>
        <w:color w:val="auto"/>
      </w:rPr>
    </w:lvl>
    <w:lvl w:ilvl="5">
      <w:start w:val="1"/>
      <w:numFmt w:val="decimal"/>
      <w:isLgl/>
      <w:lvlText w:val="%1.%2.%3.%4.%5.%6"/>
      <w:lvlJc w:val="left"/>
      <w:pPr>
        <w:ind w:left="1800" w:hanging="1440"/>
      </w:pPr>
      <w:rPr>
        <w:rFonts w:eastAsia="Calibri" w:hint="default"/>
        <w:b/>
        <w:color w:val="auto"/>
      </w:rPr>
    </w:lvl>
    <w:lvl w:ilvl="6">
      <w:start w:val="1"/>
      <w:numFmt w:val="decimal"/>
      <w:isLgl/>
      <w:lvlText w:val="%1.%2.%3.%4.%5.%6.%7"/>
      <w:lvlJc w:val="left"/>
      <w:pPr>
        <w:ind w:left="1800" w:hanging="1440"/>
      </w:pPr>
      <w:rPr>
        <w:rFonts w:eastAsia="Calibri" w:hint="default"/>
        <w:b/>
        <w:color w:val="auto"/>
      </w:rPr>
    </w:lvl>
    <w:lvl w:ilvl="7">
      <w:start w:val="1"/>
      <w:numFmt w:val="decimal"/>
      <w:isLgl/>
      <w:lvlText w:val="%1.%2.%3.%4.%5.%6.%7.%8"/>
      <w:lvlJc w:val="left"/>
      <w:pPr>
        <w:ind w:left="2160" w:hanging="1800"/>
      </w:pPr>
      <w:rPr>
        <w:rFonts w:eastAsia="Calibri" w:hint="default"/>
        <w:b/>
        <w:color w:val="auto"/>
      </w:rPr>
    </w:lvl>
    <w:lvl w:ilvl="8">
      <w:start w:val="1"/>
      <w:numFmt w:val="decimal"/>
      <w:isLgl/>
      <w:lvlText w:val="%1.%2.%3.%4.%5.%6.%7.%8.%9"/>
      <w:lvlJc w:val="left"/>
      <w:pPr>
        <w:ind w:left="2160" w:hanging="1800"/>
      </w:pPr>
      <w:rPr>
        <w:rFonts w:eastAsia="Calibri" w:hint="default"/>
        <w:b/>
        <w:color w:val="auto"/>
      </w:rPr>
    </w:lvl>
  </w:abstractNum>
  <w:abstractNum w:abstractNumId="40">
    <w:nsid w:val="2A007E6A"/>
    <w:multiLevelType w:val="multilevel"/>
    <w:tmpl w:val="343685D2"/>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41">
    <w:nsid w:val="2ABB0D10"/>
    <w:multiLevelType w:val="multilevel"/>
    <w:tmpl w:val="12E06F68"/>
    <w:lvl w:ilvl="0">
      <w:start w:val="1"/>
      <w:numFmt w:val="lowerLetter"/>
      <w:lvlText w:val="%1)"/>
      <w:lvlJc w:val="left"/>
      <w:pPr>
        <w:ind w:left="360"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42">
    <w:nsid w:val="2DEB4569"/>
    <w:multiLevelType w:val="hybridMultilevel"/>
    <w:tmpl w:val="B7B2AE48"/>
    <w:lvl w:ilvl="0" w:tplc="45E84B1A">
      <w:start w:val="1"/>
      <w:numFmt w:val="lowerRoman"/>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43">
    <w:nsid w:val="2E215B7D"/>
    <w:multiLevelType w:val="hybridMultilevel"/>
    <w:tmpl w:val="3ABC8EB2"/>
    <w:lvl w:ilvl="0" w:tplc="095AFB68">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2E5E1AF8"/>
    <w:multiLevelType w:val="hybridMultilevel"/>
    <w:tmpl w:val="7C9C0358"/>
    <w:lvl w:ilvl="0" w:tplc="59C69554">
      <w:start w:val="5"/>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3042115B"/>
    <w:multiLevelType w:val="hybridMultilevel"/>
    <w:tmpl w:val="F268407E"/>
    <w:lvl w:ilvl="0" w:tplc="D1E61F1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306005F6"/>
    <w:multiLevelType w:val="hybridMultilevel"/>
    <w:tmpl w:val="ED6629CE"/>
    <w:lvl w:ilvl="0" w:tplc="240A0001">
      <w:start w:val="1"/>
      <w:numFmt w:val="bullet"/>
      <w:lvlText w:val=""/>
      <w:lvlJc w:val="left"/>
      <w:pPr>
        <w:ind w:left="360" w:hanging="360"/>
      </w:pPr>
      <w:rPr>
        <w:rFonts w:ascii="Symbol" w:hAnsi="Symbol" w:hint="default"/>
      </w:rPr>
    </w:lvl>
    <w:lvl w:ilvl="1" w:tplc="B11629B2">
      <w:start w:val="1"/>
      <w:numFmt w:val="lowerRoman"/>
      <w:lvlText w:val="%2."/>
      <w:lvlJc w:val="left"/>
      <w:pPr>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nsid w:val="3103777B"/>
    <w:multiLevelType w:val="hybridMultilevel"/>
    <w:tmpl w:val="1576D21C"/>
    <w:lvl w:ilvl="0" w:tplc="286E6C44">
      <w:start w:val="1"/>
      <w:numFmt w:val="bullet"/>
      <w:lvlText w:val="•"/>
      <w:lvlJc w:val="left"/>
      <w:pPr>
        <w:tabs>
          <w:tab w:val="num" w:pos="720"/>
        </w:tabs>
        <w:ind w:left="720" w:hanging="360"/>
      </w:pPr>
      <w:rPr>
        <w:rFonts w:ascii="Times New Roman" w:hAnsi="Times New Roman" w:hint="default"/>
      </w:rPr>
    </w:lvl>
    <w:lvl w:ilvl="1" w:tplc="0E9CF504" w:tentative="1">
      <w:start w:val="1"/>
      <w:numFmt w:val="bullet"/>
      <w:lvlText w:val="•"/>
      <w:lvlJc w:val="left"/>
      <w:pPr>
        <w:tabs>
          <w:tab w:val="num" w:pos="1440"/>
        </w:tabs>
        <w:ind w:left="1440" w:hanging="360"/>
      </w:pPr>
      <w:rPr>
        <w:rFonts w:ascii="Times New Roman" w:hAnsi="Times New Roman" w:hint="default"/>
      </w:rPr>
    </w:lvl>
    <w:lvl w:ilvl="2" w:tplc="4B8ED504" w:tentative="1">
      <w:start w:val="1"/>
      <w:numFmt w:val="bullet"/>
      <w:lvlText w:val="•"/>
      <w:lvlJc w:val="left"/>
      <w:pPr>
        <w:tabs>
          <w:tab w:val="num" w:pos="2160"/>
        </w:tabs>
        <w:ind w:left="2160" w:hanging="360"/>
      </w:pPr>
      <w:rPr>
        <w:rFonts w:ascii="Times New Roman" w:hAnsi="Times New Roman" w:hint="default"/>
      </w:rPr>
    </w:lvl>
    <w:lvl w:ilvl="3" w:tplc="99ACDE32" w:tentative="1">
      <w:start w:val="1"/>
      <w:numFmt w:val="bullet"/>
      <w:lvlText w:val="•"/>
      <w:lvlJc w:val="left"/>
      <w:pPr>
        <w:tabs>
          <w:tab w:val="num" w:pos="2880"/>
        </w:tabs>
        <w:ind w:left="2880" w:hanging="360"/>
      </w:pPr>
      <w:rPr>
        <w:rFonts w:ascii="Times New Roman" w:hAnsi="Times New Roman" w:hint="default"/>
      </w:rPr>
    </w:lvl>
    <w:lvl w:ilvl="4" w:tplc="E0501870" w:tentative="1">
      <w:start w:val="1"/>
      <w:numFmt w:val="bullet"/>
      <w:lvlText w:val="•"/>
      <w:lvlJc w:val="left"/>
      <w:pPr>
        <w:tabs>
          <w:tab w:val="num" w:pos="3600"/>
        </w:tabs>
        <w:ind w:left="3600" w:hanging="360"/>
      </w:pPr>
      <w:rPr>
        <w:rFonts w:ascii="Times New Roman" w:hAnsi="Times New Roman" w:hint="default"/>
      </w:rPr>
    </w:lvl>
    <w:lvl w:ilvl="5" w:tplc="F8EC150A" w:tentative="1">
      <w:start w:val="1"/>
      <w:numFmt w:val="bullet"/>
      <w:lvlText w:val="•"/>
      <w:lvlJc w:val="left"/>
      <w:pPr>
        <w:tabs>
          <w:tab w:val="num" w:pos="4320"/>
        </w:tabs>
        <w:ind w:left="4320" w:hanging="360"/>
      </w:pPr>
      <w:rPr>
        <w:rFonts w:ascii="Times New Roman" w:hAnsi="Times New Roman" w:hint="default"/>
      </w:rPr>
    </w:lvl>
    <w:lvl w:ilvl="6" w:tplc="65C2519C" w:tentative="1">
      <w:start w:val="1"/>
      <w:numFmt w:val="bullet"/>
      <w:lvlText w:val="•"/>
      <w:lvlJc w:val="left"/>
      <w:pPr>
        <w:tabs>
          <w:tab w:val="num" w:pos="5040"/>
        </w:tabs>
        <w:ind w:left="5040" w:hanging="360"/>
      </w:pPr>
      <w:rPr>
        <w:rFonts w:ascii="Times New Roman" w:hAnsi="Times New Roman" w:hint="default"/>
      </w:rPr>
    </w:lvl>
    <w:lvl w:ilvl="7" w:tplc="2D78C6E2" w:tentative="1">
      <w:start w:val="1"/>
      <w:numFmt w:val="bullet"/>
      <w:lvlText w:val="•"/>
      <w:lvlJc w:val="left"/>
      <w:pPr>
        <w:tabs>
          <w:tab w:val="num" w:pos="5760"/>
        </w:tabs>
        <w:ind w:left="5760" w:hanging="360"/>
      </w:pPr>
      <w:rPr>
        <w:rFonts w:ascii="Times New Roman" w:hAnsi="Times New Roman" w:hint="default"/>
      </w:rPr>
    </w:lvl>
    <w:lvl w:ilvl="8" w:tplc="6B7254E4" w:tentative="1">
      <w:start w:val="1"/>
      <w:numFmt w:val="bullet"/>
      <w:lvlText w:val="•"/>
      <w:lvlJc w:val="left"/>
      <w:pPr>
        <w:tabs>
          <w:tab w:val="num" w:pos="6480"/>
        </w:tabs>
        <w:ind w:left="6480" w:hanging="360"/>
      </w:pPr>
      <w:rPr>
        <w:rFonts w:ascii="Times New Roman" w:hAnsi="Times New Roman" w:hint="default"/>
      </w:rPr>
    </w:lvl>
  </w:abstractNum>
  <w:abstractNum w:abstractNumId="48">
    <w:nsid w:val="31B3659A"/>
    <w:multiLevelType w:val="hybridMultilevel"/>
    <w:tmpl w:val="59F8E7E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9">
    <w:nsid w:val="348F13D4"/>
    <w:multiLevelType w:val="multilevel"/>
    <w:tmpl w:val="C1AA0D6C"/>
    <w:lvl w:ilvl="0">
      <w:start w:val="2"/>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hint="default"/>
      </w:rPr>
    </w:lvl>
  </w:abstractNum>
  <w:abstractNum w:abstractNumId="50">
    <w:nsid w:val="35D266A9"/>
    <w:multiLevelType w:val="hybridMultilevel"/>
    <w:tmpl w:val="42727886"/>
    <w:lvl w:ilvl="0" w:tplc="77D002FE">
      <w:start w:val="1"/>
      <w:numFmt w:val="lowerRoman"/>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51">
    <w:nsid w:val="3605278E"/>
    <w:multiLevelType w:val="hybridMultilevel"/>
    <w:tmpl w:val="EFD8B7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383F0948"/>
    <w:multiLevelType w:val="multilevel"/>
    <w:tmpl w:val="958CC374"/>
    <w:lvl w:ilvl="0">
      <w:start w:val="1"/>
      <w:numFmt w:val="decimal"/>
      <w:lvlText w:val="%1."/>
      <w:lvlJc w:val="left"/>
      <w:pPr>
        <w:ind w:left="426"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53">
    <w:nsid w:val="38501D43"/>
    <w:multiLevelType w:val="multilevel"/>
    <w:tmpl w:val="81484B70"/>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54">
    <w:nsid w:val="3984328D"/>
    <w:multiLevelType w:val="hybridMultilevel"/>
    <w:tmpl w:val="20D05648"/>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5">
    <w:nsid w:val="40542061"/>
    <w:multiLevelType w:val="hybridMultilevel"/>
    <w:tmpl w:val="2F4865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nsid w:val="420E55DB"/>
    <w:multiLevelType w:val="hybridMultilevel"/>
    <w:tmpl w:val="493C08EA"/>
    <w:lvl w:ilvl="0" w:tplc="0C0A000F">
      <w:start w:val="1"/>
      <w:numFmt w:val="decimal"/>
      <w:lvlText w:val="%1."/>
      <w:lvlJc w:val="left"/>
      <w:pPr>
        <w:ind w:left="360" w:hanging="360"/>
      </w:pPr>
      <w:rPr>
        <w:b w:val="0"/>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7">
    <w:nsid w:val="42F90E93"/>
    <w:multiLevelType w:val="hybridMultilevel"/>
    <w:tmpl w:val="CC92895C"/>
    <w:lvl w:ilvl="0" w:tplc="0C0A0001">
      <w:start w:val="1"/>
      <w:numFmt w:val="bullet"/>
      <w:lvlText w:val=""/>
      <w:lvlJc w:val="left"/>
      <w:pPr>
        <w:ind w:left="1434" w:hanging="360"/>
      </w:pPr>
      <w:rPr>
        <w:rFonts w:ascii="Symbol" w:hAnsi="Symbol" w:hint="default"/>
      </w:rPr>
    </w:lvl>
    <w:lvl w:ilvl="1" w:tplc="0C0A0003">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58">
    <w:nsid w:val="43B5316B"/>
    <w:multiLevelType w:val="hybridMultilevel"/>
    <w:tmpl w:val="06CE6D3A"/>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9">
    <w:nsid w:val="441948B7"/>
    <w:multiLevelType w:val="hybridMultilevel"/>
    <w:tmpl w:val="B4BAD476"/>
    <w:lvl w:ilvl="0" w:tplc="0C0A000F">
      <w:start w:val="1"/>
      <w:numFmt w:val="decimal"/>
      <w:lvlText w:val="%1."/>
      <w:lvlJc w:val="left"/>
      <w:pPr>
        <w:ind w:left="720" w:hanging="360"/>
      </w:pPr>
      <w:rPr>
        <w:rFonts w:hint="default"/>
      </w:rPr>
    </w:lvl>
    <w:lvl w:ilvl="1" w:tplc="51EE70DC">
      <w:start w:val="4"/>
      <w:numFmt w:val="bullet"/>
      <w:lvlText w:val="•"/>
      <w:lvlJc w:val="left"/>
      <w:pPr>
        <w:ind w:left="1785" w:hanging="705"/>
      </w:pPr>
      <w:rPr>
        <w:rFonts w:ascii="Bookman Old Style" w:eastAsia="Times New Roman" w:hAnsi="Bookman Old Style"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nsid w:val="46BF45A4"/>
    <w:multiLevelType w:val="multilevel"/>
    <w:tmpl w:val="41EC546E"/>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61">
    <w:nsid w:val="47B24331"/>
    <w:multiLevelType w:val="multilevel"/>
    <w:tmpl w:val="0E202812"/>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62">
    <w:nsid w:val="47FF34F5"/>
    <w:multiLevelType w:val="multilevel"/>
    <w:tmpl w:val="958CC374"/>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eastAsia="Calibri" w:hint="default"/>
        <w:b/>
        <w:color w:val="auto"/>
      </w:rPr>
    </w:lvl>
    <w:lvl w:ilvl="2">
      <w:start w:val="1"/>
      <w:numFmt w:val="decimal"/>
      <w:isLgl/>
      <w:lvlText w:val="%1.%2.%3"/>
      <w:lvlJc w:val="left"/>
      <w:pPr>
        <w:ind w:left="1080" w:hanging="720"/>
      </w:pPr>
      <w:rPr>
        <w:rFonts w:eastAsia="Calibri" w:hint="default"/>
        <w:b/>
        <w:color w:val="auto"/>
      </w:rPr>
    </w:lvl>
    <w:lvl w:ilvl="3">
      <w:start w:val="1"/>
      <w:numFmt w:val="decimal"/>
      <w:isLgl/>
      <w:lvlText w:val="%1.%2.%3.%4"/>
      <w:lvlJc w:val="left"/>
      <w:pPr>
        <w:ind w:left="1440" w:hanging="1080"/>
      </w:pPr>
      <w:rPr>
        <w:rFonts w:eastAsia="Calibri" w:hint="default"/>
        <w:b/>
        <w:color w:val="auto"/>
      </w:rPr>
    </w:lvl>
    <w:lvl w:ilvl="4">
      <w:start w:val="1"/>
      <w:numFmt w:val="decimal"/>
      <w:isLgl/>
      <w:lvlText w:val="%1.%2.%3.%4.%5"/>
      <w:lvlJc w:val="left"/>
      <w:pPr>
        <w:ind w:left="1440" w:hanging="1080"/>
      </w:pPr>
      <w:rPr>
        <w:rFonts w:eastAsia="Calibri" w:hint="default"/>
        <w:b/>
        <w:color w:val="auto"/>
      </w:rPr>
    </w:lvl>
    <w:lvl w:ilvl="5">
      <w:start w:val="1"/>
      <w:numFmt w:val="decimal"/>
      <w:isLgl/>
      <w:lvlText w:val="%1.%2.%3.%4.%5.%6"/>
      <w:lvlJc w:val="left"/>
      <w:pPr>
        <w:ind w:left="1800" w:hanging="1440"/>
      </w:pPr>
      <w:rPr>
        <w:rFonts w:eastAsia="Calibri" w:hint="default"/>
        <w:b/>
        <w:color w:val="auto"/>
      </w:rPr>
    </w:lvl>
    <w:lvl w:ilvl="6">
      <w:start w:val="1"/>
      <w:numFmt w:val="decimal"/>
      <w:isLgl/>
      <w:lvlText w:val="%1.%2.%3.%4.%5.%6.%7"/>
      <w:lvlJc w:val="left"/>
      <w:pPr>
        <w:ind w:left="1800" w:hanging="1440"/>
      </w:pPr>
      <w:rPr>
        <w:rFonts w:eastAsia="Calibri" w:hint="default"/>
        <w:b/>
        <w:color w:val="auto"/>
      </w:rPr>
    </w:lvl>
    <w:lvl w:ilvl="7">
      <w:start w:val="1"/>
      <w:numFmt w:val="decimal"/>
      <w:isLgl/>
      <w:lvlText w:val="%1.%2.%3.%4.%5.%6.%7.%8"/>
      <w:lvlJc w:val="left"/>
      <w:pPr>
        <w:ind w:left="2160" w:hanging="1800"/>
      </w:pPr>
      <w:rPr>
        <w:rFonts w:eastAsia="Calibri" w:hint="default"/>
        <w:b/>
        <w:color w:val="auto"/>
      </w:rPr>
    </w:lvl>
    <w:lvl w:ilvl="8">
      <w:start w:val="1"/>
      <w:numFmt w:val="decimal"/>
      <w:isLgl/>
      <w:lvlText w:val="%1.%2.%3.%4.%5.%6.%7.%8.%9"/>
      <w:lvlJc w:val="left"/>
      <w:pPr>
        <w:ind w:left="2160" w:hanging="1800"/>
      </w:pPr>
      <w:rPr>
        <w:rFonts w:eastAsia="Calibri" w:hint="default"/>
        <w:b/>
        <w:color w:val="auto"/>
      </w:rPr>
    </w:lvl>
  </w:abstractNum>
  <w:abstractNum w:abstractNumId="63">
    <w:nsid w:val="48470543"/>
    <w:multiLevelType w:val="hybridMultilevel"/>
    <w:tmpl w:val="802CA73A"/>
    <w:lvl w:ilvl="0" w:tplc="019E539E">
      <w:start w:val="1"/>
      <w:numFmt w:val="decimal"/>
      <w:lvlText w:val="%1."/>
      <w:lvlJc w:val="left"/>
      <w:pPr>
        <w:ind w:left="2912" w:hanging="360"/>
      </w:pPr>
      <w:rPr>
        <w:rFonts w:ascii="Bookman Old Style" w:hAnsi="Bookman Old Style" w:hint="default"/>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64">
    <w:nsid w:val="488C7569"/>
    <w:multiLevelType w:val="hybridMultilevel"/>
    <w:tmpl w:val="F7400AF2"/>
    <w:lvl w:ilvl="0" w:tplc="04090017">
      <w:start w:val="1"/>
      <w:numFmt w:val="bullet"/>
      <w:lvlText w:val=""/>
      <w:lvlJc w:val="left"/>
      <w:pPr>
        <w:ind w:left="795" w:hanging="360"/>
      </w:pPr>
      <w:rPr>
        <w:rFonts w:ascii="Symbol" w:hAnsi="Symbol" w:hint="default"/>
      </w:rPr>
    </w:lvl>
    <w:lvl w:ilvl="1" w:tplc="04090019">
      <w:start w:val="1"/>
      <w:numFmt w:val="bullet"/>
      <w:lvlText w:val=""/>
      <w:lvlJc w:val="left"/>
      <w:pPr>
        <w:ind w:left="1515" w:hanging="360"/>
      </w:pPr>
      <w:rPr>
        <w:rFonts w:ascii="Symbol" w:hAnsi="Symbol" w:hint="default"/>
      </w:rPr>
    </w:lvl>
    <w:lvl w:ilvl="2" w:tplc="0409001B" w:tentative="1">
      <w:start w:val="1"/>
      <w:numFmt w:val="bullet"/>
      <w:lvlText w:val=""/>
      <w:lvlJc w:val="left"/>
      <w:pPr>
        <w:ind w:left="2235" w:hanging="360"/>
      </w:pPr>
      <w:rPr>
        <w:rFonts w:ascii="Wingdings" w:hAnsi="Wingdings" w:hint="default"/>
      </w:rPr>
    </w:lvl>
    <w:lvl w:ilvl="3" w:tplc="0409000F" w:tentative="1">
      <w:start w:val="1"/>
      <w:numFmt w:val="bullet"/>
      <w:lvlText w:val=""/>
      <w:lvlJc w:val="left"/>
      <w:pPr>
        <w:ind w:left="2955" w:hanging="360"/>
      </w:pPr>
      <w:rPr>
        <w:rFonts w:ascii="Symbol" w:hAnsi="Symbol" w:hint="default"/>
      </w:rPr>
    </w:lvl>
    <w:lvl w:ilvl="4" w:tplc="04090019" w:tentative="1">
      <w:start w:val="1"/>
      <w:numFmt w:val="bullet"/>
      <w:lvlText w:val="o"/>
      <w:lvlJc w:val="left"/>
      <w:pPr>
        <w:ind w:left="3675" w:hanging="360"/>
      </w:pPr>
      <w:rPr>
        <w:rFonts w:ascii="Courier New" w:hAnsi="Courier New" w:cs="Courier New" w:hint="default"/>
      </w:rPr>
    </w:lvl>
    <w:lvl w:ilvl="5" w:tplc="0409001B" w:tentative="1">
      <w:start w:val="1"/>
      <w:numFmt w:val="bullet"/>
      <w:lvlText w:val=""/>
      <w:lvlJc w:val="left"/>
      <w:pPr>
        <w:ind w:left="4395" w:hanging="360"/>
      </w:pPr>
      <w:rPr>
        <w:rFonts w:ascii="Wingdings" w:hAnsi="Wingdings" w:hint="default"/>
      </w:rPr>
    </w:lvl>
    <w:lvl w:ilvl="6" w:tplc="0409000F" w:tentative="1">
      <w:start w:val="1"/>
      <w:numFmt w:val="bullet"/>
      <w:lvlText w:val=""/>
      <w:lvlJc w:val="left"/>
      <w:pPr>
        <w:ind w:left="5115" w:hanging="360"/>
      </w:pPr>
      <w:rPr>
        <w:rFonts w:ascii="Symbol" w:hAnsi="Symbol" w:hint="default"/>
      </w:rPr>
    </w:lvl>
    <w:lvl w:ilvl="7" w:tplc="04090019" w:tentative="1">
      <w:start w:val="1"/>
      <w:numFmt w:val="bullet"/>
      <w:lvlText w:val="o"/>
      <w:lvlJc w:val="left"/>
      <w:pPr>
        <w:ind w:left="5835" w:hanging="360"/>
      </w:pPr>
      <w:rPr>
        <w:rFonts w:ascii="Courier New" w:hAnsi="Courier New" w:cs="Courier New" w:hint="default"/>
      </w:rPr>
    </w:lvl>
    <w:lvl w:ilvl="8" w:tplc="0409001B" w:tentative="1">
      <w:start w:val="1"/>
      <w:numFmt w:val="bullet"/>
      <w:lvlText w:val=""/>
      <w:lvlJc w:val="left"/>
      <w:pPr>
        <w:ind w:left="6555" w:hanging="360"/>
      </w:pPr>
      <w:rPr>
        <w:rFonts w:ascii="Wingdings" w:hAnsi="Wingdings" w:hint="default"/>
      </w:rPr>
    </w:lvl>
  </w:abstractNum>
  <w:abstractNum w:abstractNumId="65">
    <w:nsid w:val="49BD2712"/>
    <w:multiLevelType w:val="hybridMultilevel"/>
    <w:tmpl w:val="5E24EA32"/>
    <w:lvl w:ilvl="0" w:tplc="240A0001">
      <w:start w:val="1"/>
      <w:numFmt w:val="lowerLetter"/>
      <w:lvlText w:val="%1)"/>
      <w:lvlJc w:val="left"/>
      <w:pPr>
        <w:ind w:left="720" w:hanging="360"/>
      </w:pPr>
      <w:rPr>
        <w:rFonts w:hint="default"/>
      </w:rPr>
    </w:lvl>
    <w:lvl w:ilvl="1" w:tplc="0C0A0001" w:tentative="1">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66">
    <w:nsid w:val="4BE60ABC"/>
    <w:multiLevelType w:val="multilevel"/>
    <w:tmpl w:val="FFD0772E"/>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67">
    <w:nsid w:val="4C5E69B5"/>
    <w:multiLevelType w:val="hybridMultilevel"/>
    <w:tmpl w:val="025AB392"/>
    <w:lvl w:ilvl="0" w:tplc="2D5A428E">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4CC147DF"/>
    <w:multiLevelType w:val="multilevel"/>
    <w:tmpl w:val="2062BC9E"/>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69">
    <w:nsid w:val="4D144A4C"/>
    <w:multiLevelType w:val="hybridMultilevel"/>
    <w:tmpl w:val="5380E8C0"/>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nsid w:val="4D783E89"/>
    <w:multiLevelType w:val="multilevel"/>
    <w:tmpl w:val="080E5516"/>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71">
    <w:nsid w:val="4DB25F52"/>
    <w:multiLevelType w:val="multilevel"/>
    <w:tmpl w:val="DE9E0770"/>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72">
    <w:nsid w:val="4DC7136C"/>
    <w:multiLevelType w:val="hybridMultilevel"/>
    <w:tmpl w:val="97AAE592"/>
    <w:lvl w:ilvl="0" w:tplc="8850FF94">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nsid w:val="4DF273E2"/>
    <w:multiLevelType w:val="multilevel"/>
    <w:tmpl w:val="6636BD9E"/>
    <w:lvl w:ilvl="0">
      <w:start w:val="1"/>
      <w:numFmt w:val="decimal"/>
      <w:lvlText w:val="%1."/>
      <w:lvlJc w:val="left"/>
      <w:pPr>
        <w:ind w:left="720" w:hanging="72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4">
    <w:nsid w:val="4E1B3143"/>
    <w:multiLevelType w:val="multilevel"/>
    <w:tmpl w:val="C87A6420"/>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75">
    <w:nsid w:val="4F1D63B9"/>
    <w:multiLevelType w:val="hybridMultilevel"/>
    <w:tmpl w:val="37FC466E"/>
    <w:lvl w:ilvl="0" w:tplc="2F9AA73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nsid w:val="50ED488A"/>
    <w:multiLevelType w:val="multilevel"/>
    <w:tmpl w:val="7CECE744"/>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77">
    <w:nsid w:val="50ED6005"/>
    <w:multiLevelType w:val="hybridMultilevel"/>
    <w:tmpl w:val="D9064D7A"/>
    <w:lvl w:ilvl="0" w:tplc="E592A078">
      <w:start w:val="1"/>
      <w:numFmt w:val="decimal"/>
      <w:lvlText w:val="%1."/>
      <w:lvlJc w:val="left"/>
      <w:pPr>
        <w:tabs>
          <w:tab w:val="num" w:pos="705"/>
        </w:tabs>
        <w:ind w:left="70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nsid w:val="52181D34"/>
    <w:multiLevelType w:val="multilevel"/>
    <w:tmpl w:val="02945454"/>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79">
    <w:nsid w:val="52A246EA"/>
    <w:multiLevelType w:val="multilevel"/>
    <w:tmpl w:val="B2A028E8"/>
    <w:lvl w:ilvl="0">
      <w:start w:val="1"/>
      <w:numFmt w:val="lowerLetter"/>
      <w:lvlText w:val="%1)"/>
      <w:lvlJc w:val="left"/>
      <w:pPr>
        <w:ind w:left="360"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80">
    <w:nsid w:val="551E374D"/>
    <w:multiLevelType w:val="hybridMultilevel"/>
    <w:tmpl w:val="0A42D24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nsid w:val="56B656D3"/>
    <w:multiLevelType w:val="multilevel"/>
    <w:tmpl w:val="F6BE5796"/>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82">
    <w:nsid w:val="56BE0933"/>
    <w:multiLevelType w:val="multilevel"/>
    <w:tmpl w:val="1B0E4192"/>
    <w:lvl w:ilvl="0">
      <w:start w:val="1"/>
      <w:numFmt w:val="decimal"/>
      <w:lvlText w:val="%1."/>
      <w:lvlJc w:val="left"/>
      <w:pPr>
        <w:ind w:left="360" w:hanging="360"/>
      </w:pPr>
      <w:rPr>
        <w:rFonts w:hint="default"/>
        <w:b w:val="0"/>
      </w:rPr>
    </w:lvl>
    <w:lvl w:ilvl="1">
      <w:start w:val="2"/>
      <w:numFmt w:val="decimal"/>
      <w:isLgl/>
      <w:lvlText w:val="%1.%2"/>
      <w:lvlJc w:val="left"/>
      <w:pPr>
        <w:ind w:left="-385" w:hanging="390"/>
      </w:pPr>
      <w:rPr>
        <w:rFonts w:eastAsia="Calibri" w:hint="default"/>
        <w:b/>
        <w:color w:val="auto"/>
      </w:rPr>
    </w:lvl>
    <w:lvl w:ilvl="2">
      <w:start w:val="1"/>
      <w:numFmt w:val="decimal"/>
      <w:isLgl/>
      <w:lvlText w:val="%1.%2.%3"/>
      <w:lvlJc w:val="left"/>
      <w:pPr>
        <w:ind w:left="-55" w:hanging="720"/>
      </w:pPr>
      <w:rPr>
        <w:rFonts w:eastAsia="Calibri" w:hint="default"/>
        <w:b/>
        <w:color w:val="auto"/>
      </w:rPr>
    </w:lvl>
    <w:lvl w:ilvl="3">
      <w:start w:val="1"/>
      <w:numFmt w:val="decimal"/>
      <w:isLgl/>
      <w:lvlText w:val="%1.%2.%3.%4"/>
      <w:lvlJc w:val="left"/>
      <w:pPr>
        <w:ind w:left="305" w:hanging="1080"/>
      </w:pPr>
      <w:rPr>
        <w:rFonts w:eastAsia="Calibri" w:hint="default"/>
        <w:b/>
        <w:color w:val="auto"/>
      </w:rPr>
    </w:lvl>
    <w:lvl w:ilvl="4">
      <w:start w:val="1"/>
      <w:numFmt w:val="decimal"/>
      <w:isLgl/>
      <w:lvlText w:val="%1.%2.%3.%4.%5"/>
      <w:lvlJc w:val="left"/>
      <w:pPr>
        <w:ind w:left="305" w:hanging="1080"/>
      </w:pPr>
      <w:rPr>
        <w:rFonts w:eastAsia="Calibri" w:hint="default"/>
        <w:b/>
        <w:color w:val="auto"/>
      </w:rPr>
    </w:lvl>
    <w:lvl w:ilvl="5">
      <w:start w:val="1"/>
      <w:numFmt w:val="decimal"/>
      <w:isLgl/>
      <w:lvlText w:val="%1.%2.%3.%4.%5.%6"/>
      <w:lvlJc w:val="left"/>
      <w:pPr>
        <w:ind w:left="665" w:hanging="1440"/>
      </w:pPr>
      <w:rPr>
        <w:rFonts w:eastAsia="Calibri" w:hint="default"/>
        <w:b/>
        <w:color w:val="auto"/>
      </w:rPr>
    </w:lvl>
    <w:lvl w:ilvl="6">
      <w:start w:val="1"/>
      <w:numFmt w:val="decimal"/>
      <w:isLgl/>
      <w:lvlText w:val="%1.%2.%3.%4.%5.%6.%7"/>
      <w:lvlJc w:val="left"/>
      <w:pPr>
        <w:ind w:left="665" w:hanging="1440"/>
      </w:pPr>
      <w:rPr>
        <w:rFonts w:eastAsia="Calibri" w:hint="default"/>
        <w:b/>
        <w:color w:val="auto"/>
      </w:rPr>
    </w:lvl>
    <w:lvl w:ilvl="7">
      <w:start w:val="1"/>
      <w:numFmt w:val="decimal"/>
      <w:isLgl/>
      <w:lvlText w:val="%1.%2.%3.%4.%5.%6.%7.%8"/>
      <w:lvlJc w:val="left"/>
      <w:pPr>
        <w:ind w:left="1025" w:hanging="1800"/>
      </w:pPr>
      <w:rPr>
        <w:rFonts w:eastAsia="Calibri" w:hint="default"/>
        <w:b/>
        <w:color w:val="auto"/>
      </w:rPr>
    </w:lvl>
    <w:lvl w:ilvl="8">
      <w:start w:val="1"/>
      <w:numFmt w:val="decimal"/>
      <w:isLgl/>
      <w:lvlText w:val="%1.%2.%3.%4.%5.%6.%7.%8.%9"/>
      <w:lvlJc w:val="left"/>
      <w:pPr>
        <w:ind w:left="1025" w:hanging="1800"/>
      </w:pPr>
      <w:rPr>
        <w:rFonts w:eastAsia="Calibri" w:hint="default"/>
        <w:b/>
        <w:color w:val="auto"/>
      </w:rPr>
    </w:lvl>
  </w:abstractNum>
  <w:abstractNum w:abstractNumId="83">
    <w:nsid w:val="57743F4F"/>
    <w:multiLevelType w:val="multilevel"/>
    <w:tmpl w:val="66821B96"/>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84">
    <w:nsid w:val="57BA48DC"/>
    <w:multiLevelType w:val="hybridMultilevel"/>
    <w:tmpl w:val="802CA73A"/>
    <w:lvl w:ilvl="0" w:tplc="019E539E">
      <w:start w:val="1"/>
      <w:numFmt w:val="decimal"/>
      <w:lvlText w:val="%1."/>
      <w:lvlJc w:val="left"/>
      <w:pPr>
        <w:ind w:left="2912" w:hanging="360"/>
      </w:pPr>
      <w:rPr>
        <w:rFonts w:ascii="Bookman Old Style" w:hAnsi="Bookman Old Style" w:hint="default"/>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85">
    <w:nsid w:val="58237355"/>
    <w:multiLevelType w:val="multilevel"/>
    <w:tmpl w:val="B4D860BA"/>
    <w:lvl w:ilvl="0">
      <w:start w:val="3"/>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86">
    <w:nsid w:val="58DD6983"/>
    <w:multiLevelType w:val="multilevel"/>
    <w:tmpl w:val="78CC9EC6"/>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87">
    <w:nsid w:val="59902737"/>
    <w:multiLevelType w:val="hybridMultilevel"/>
    <w:tmpl w:val="F70053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8">
    <w:nsid w:val="5A6A6EB7"/>
    <w:multiLevelType w:val="hybridMultilevel"/>
    <w:tmpl w:val="86A83DA6"/>
    <w:lvl w:ilvl="0" w:tplc="3912E43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nsid w:val="5B701BA2"/>
    <w:multiLevelType w:val="hybridMultilevel"/>
    <w:tmpl w:val="7BAE5532"/>
    <w:lvl w:ilvl="0" w:tplc="0C0A0017">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5C9B7B35"/>
    <w:multiLevelType w:val="multilevel"/>
    <w:tmpl w:val="81484B70"/>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91">
    <w:nsid w:val="5DD75383"/>
    <w:multiLevelType w:val="hybridMultilevel"/>
    <w:tmpl w:val="1410F762"/>
    <w:lvl w:ilvl="0" w:tplc="BAF0295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5E510510"/>
    <w:multiLevelType w:val="hybridMultilevel"/>
    <w:tmpl w:val="0BE8FE34"/>
    <w:lvl w:ilvl="0" w:tplc="FDAEACC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3">
    <w:nsid w:val="5FF17B11"/>
    <w:multiLevelType w:val="hybridMultilevel"/>
    <w:tmpl w:val="59F8E7E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4">
    <w:nsid w:val="6060185A"/>
    <w:multiLevelType w:val="hybridMultilevel"/>
    <w:tmpl w:val="AFC0D4AA"/>
    <w:lvl w:ilvl="0" w:tplc="63DE98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nsid w:val="61DB68D5"/>
    <w:multiLevelType w:val="multilevel"/>
    <w:tmpl w:val="958CC374"/>
    <w:lvl w:ilvl="0">
      <w:start w:val="1"/>
      <w:numFmt w:val="decimal"/>
      <w:lvlText w:val="%1."/>
      <w:lvlJc w:val="left"/>
      <w:pPr>
        <w:ind w:left="360"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96">
    <w:nsid w:val="62CD0C41"/>
    <w:multiLevelType w:val="hybridMultilevel"/>
    <w:tmpl w:val="69D48B74"/>
    <w:lvl w:ilvl="0" w:tplc="BA30737E">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7">
    <w:nsid w:val="62EE0EE2"/>
    <w:multiLevelType w:val="hybridMultilevel"/>
    <w:tmpl w:val="E5441E4A"/>
    <w:lvl w:ilvl="0" w:tplc="59BE60C8">
      <w:start w:val="1"/>
      <w:numFmt w:val="decimal"/>
      <w:lvlText w:val="%1."/>
      <w:lvlJc w:val="left"/>
      <w:pPr>
        <w:tabs>
          <w:tab w:val="num" w:pos="360"/>
        </w:tabs>
        <w:ind w:left="360" w:hanging="360"/>
      </w:pPr>
      <w:rPr>
        <w:lang w:val="es-C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8">
    <w:nsid w:val="63114D87"/>
    <w:multiLevelType w:val="hybridMultilevel"/>
    <w:tmpl w:val="DA08E0E4"/>
    <w:lvl w:ilvl="0" w:tplc="0C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nsid w:val="640267B4"/>
    <w:multiLevelType w:val="multilevel"/>
    <w:tmpl w:val="A6C0A754"/>
    <w:lvl w:ilvl="0">
      <w:start w:val="1"/>
      <w:numFmt w:val="decimal"/>
      <w:lvlText w:val="%1."/>
      <w:lvlJc w:val="left"/>
      <w:pPr>
        <w:ind w:left="360"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100">
    <w:nsid w:val="646A7642"/>
    <w:multiLevelType w:val="hybridMultilevel"/>
    <w:tmpl w:val="2BEA2570"/>
    <w:lvl w:ilvl="0" w:tplc="2D66F8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nsid w:val="680D101A"/>
    <w:multiLevelType w:val="hybridMultilevel"/>
    <w:tmpl w:val="A22C1F46"/>
    <w:lvl w:ilvl="0" w:tplc="211E0142">
      <w:start w:val="1"/>
      <w:numFmt w:val="lowerLetter"/>
      <w:pStyle w:val="Estilo5"/>
      <w:lvlText w:val="%1)"/>
      <w:lvlJc w:val="left"/>
      <w:pPr>
        <w:tabs>
          <w:tab w:val="num" w:pos="360"/>
        </w:tabs>
        <w:ind w:left="360" w:hanging="360"/>
      </w:pPr>
      <w:rPr>
        <w:rFonts w:hint="default"/>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102">
    <w:nsid w:val="68EC6182"/>
    <w:multiLevelType w:val="multilevel"/>
    <w:tmpl w:val="FFD0772E"/>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103">
    <w:nsid w:val="6A47743D"/>
    <w:multiLevelType w:val="hybridMultilevel"/>
    <w:tmpl w:val="20A0F984"/>
    <w:lvl w:ilvl="0" w:tplc="0C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4">
    <w:nsid w:val="6A7E2D71"/>
    <w:multiLevelType w:val="multilevel"/>
    <w:tmpl w:val="81484B70"/>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105">
    <w:nsid w:val="6C7107B1"/>
    <w:multiLevelType w:val="hybridMultilevel"/>
    <w:tmpl w:val="63FAD77A"/>
    <w:lvl w:ilvl="0" w:tplc="2C6EE91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nsid w:val="6F380CA3"/>
    <w:multiLevelType w:val="hybridMultilevel"/>
    <w:tmpl w:val="C4B01304"/>
    <w:lvl w:ilvl="0" w:tplc="9AC4F0A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nsid w:val="6F67173A"/>
    <w:multiLevelType w:val="multilevel"/>
    <w:tmpl w:val="5C9089B8"/>
    <w:lvl w:ilvl="0">
      <w:start w:val="1"/>
      <w:numFmt w:val="decimal"/>
      <w:lvlText w:val="%1."/>
      <w:lvlJc w:val="left"/>
      <w:pPr>
        <w:ind w:left="360"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109">
    <w:nsid w:val="6FCD657A"/>
    <w:multiLevelType w:val="multilevel"/>
    <w:tmpl w:val="6636BD9E"/>
    <w:lvl w:ilvl="0">
      <w:start w:val="1"/>
      <w:numFmt w:val="decimal"/>
      <w:lvlText w:val="%1."/>
      <w:lvlJc w:val="left"/>
      <w:pPr>
        <w:ind w:left="720" w:hanging="72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0">
    <w:nsid w:val="70165C6C"/>
    <w:multiLevelType w:val="multilevel"/>
    <w:tmpl w:val="404AD7C2"/>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111">
    <w:nsid w:val="70245501"/>
    <w:multiLevelType w:val="multilevel"/>
    <w:tmpl w:val="E9723DDA"/>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112">
    <w:nsid w:val="703F0266"/>
    <w:multiLevelType w:val="hybridMultilevel"/>
    <w:tmpl w:val="612EB03C"/>
    <w:lvl w:ilvl="0" w:tplc="570E143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3">
    <w:nsid w:val="76624FDD"/>
    <w:multiLevelType w:val="multilevel"/>
    <w:tmpl w:val="917255FA"/>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114">
    <w:nsid w:val="770E1B38"/>
    <w:multiLevelType w:val="multilevel"/>
    <w:tmpl w:val="BB22B62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5">
    <w:nsid w:val="7826213A"/>
    <w:multiLevelType w:val="multilevel"/>
    <w:tmpl w:val="8EB41744"/>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116">
    <w:nsid w:val="78E94C10"/>
    <w:multiLevelType w:val="multilevel"/>
    <w:tmpl w:val="F03026F0"/>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117">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8">
    <w:nsid w:val="7B216B04"/>
    <w:multiLevelType w:val="hybridMultilevel"/>
    <w:tmpl w:val="77B6E57E"/>
    <w:lvl w:ilvl="0" w:tplc="0C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9">
    <w:nsid w:val="7B5D0067"/>
    <w:multiLevelType w:val="hybridMultilevel"/>
    <w:tmpl w:val="60AAD72A"/>
    <w:lvl w:ilvl="0" w:tplc="0C0A0017">
      <w:start w:val="1"/>
      <w:numFmt w:val="lowerLetter"/>
      <w:lvlText w:val="%1)"/>
      <w:lvlJc w:val="left"/>
      <w:pPr>
        <w:ind w:left="720" w:hanging="360"/>
      </w:pPr>
      <w:rPr>
        <w:rFonts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20">
    <w:nsid w:val="7B6C293E"/>
    <w:multiLevelType w:val="multilevel"/>
    <w:tmpl w:val="A38A83A6"/>
    <w:lvl w:ilvl="0">
      <w:start w:val="1"/>
      <w:numFmt w:val="lowerLetter"/>
      <w:lvlText w:val="%1)"/>
      <w:lvlJc w:val="left"/>
      <w:pPr>
        <w:ind w:left="360" w:hanging="360"/>
      </w:pPr>
      <w:rPr>
        <w:rFonts w:hint="default"/>
        <w:b w:val="0"/>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121">
    <w:nsid w:val="7C7F647D"/>
    <w:multiLevelType w:val="multilevel"/>
    <w:tmpl w:val="675A7F80"/>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122">
    <w:nsid w:val="7D27175D"/>
    <w:multiLevelType w:val="multilevel"/>
    <w:tmpl w:val="8ECEF440"/>
    <w:lvl w:ilvl="0">
      <w:start w:val="1"/>
      <w:numFmt w:val="lowerLetter"/>
      <w:lvlText w:val="%1)"/>
      <w:lvlJc w:val="left"/>
      <w:pPr>
        <w:ind w:left="360" w:hanging="360"/>
      </w:pPr>
      <w:rPr>
        <w:rFonts w:hint="default"/>
      </w:rPr>
    </w:lvl>
    <w:lvl w:ilvl="1">
      <w:start w:val="2"/>
      <w:numFmt w:val="decimal"/>
      <w:isLgl/>
      <w:lvlText w:val="%1.%2"/>
      <w:lvlJc w:val="left"/>
      <w:pPr>
        <w:ind w:left="-319" w:hanging="390"/>
      </w:pPr>
      <w:rPr>
        <w:rFonts w:eastAsia="Calibri" w:hint="default"/>
        <w:b/>
        <w:color w:val="auto"/>
      </w:rPr>
    </w:lvl>
    <w:lvl w:ilvl="2">
      <w:start w:val="1"/>
      <w:numFmt w:val="decimal"/>
      <w:isLgl/>
      <w:lvlText w:val="%1.%2.%3"/>
      <w:lvlJc w:val="left"/>
      <w:pPr>
        <w:ind w:left="11" w:hanging="720"/>
      </w:pPr>
      <w:rPr>
        <w:rFonts w:eastAsia="Calibri" w:hint="default"/>
        <w:b/>
        <w:color w:val="auto"/>
      </w:rPr>
    </w:lvl>
    <w:lvl w:ilvl="3">
      <w:start w:val="1"/>
      <w:numFmt w:val="decimal"/>
      <w:isLgl/>
      <w:lvlText w:val="%1.%2.%3.%4"/>
      <w:lvlJc w:val="left"/>
      <w:pPr>
        <w:ind w:left="371" w:hanging="1080"/>
      </w:pPr>
      <w:rPr>
        <w:rFonts w:eastAsia="Calibri" w:hint="default"/>
        <w:b/>
        <w:color w:val="auto"/>
      </w:rPr>
    </w:lvl>
    <w:lvl w:ilvl="4">
      <w:start w:val="1"/>
      <w:numFmt w:val="decimal"/>
      <w:isLgl/>
      <w:lvlText w:val="%1.%2.%3.%4.%5"/>
      <w:lvlJc w:val="left"/>
      <w:pPr>
        <w:ind w:left="371" w:hanging="1080"/>
      </w:pPr>
      <w:rPr>
        <w:rFonts w:eastAsia="Calibri" w:hint="default"/>
        <w:b/>
        <w:color w:val="auto"/>
      </w:rPr>
    </w:lvl>
    <w:lvl w:ilvl="5">
      <w:start w:val="1"/>
      <w:numFmt w:val="decimal"/>
      <w:isLgl/>
      <w:lvlText w:val="%1.%2.%3.%4.%5.%6"/>
      <w:lvlJc w:val="left"/>
      <w:pPr>
        <w:ind w:left="731" w:hanging="1440"/>
      </w:pPr>
      <w:rPr>
        <w:rFonts w:eastAsia="Calibri" w:hint="default"/>
        <w:b/>
        <w:color w:val="auto"/>
      </w:rPr>
    </w:lvl>
    <w:lvl w:ilvl="6">
      <w:start w:val="1"/>
      <w:numFmt w:val="decimal"/>
      <w:isLgl/>
      <w:lvlText w:val="%1.%2.%3.%4.%5.%6.%7"/>
      <w:lvlJc w:val="left"/>
      <w:pPr>
        <w:ind w:left="731" w:hanging="1440"/>
      </w:pPr>
      <w:rPr>
        <w:rFonts w:eastAsia="Calibri" w:hint="default"/>
        <w:b/>
        <w:color w:val="auto"/>
      </w:rPr>
    </w:lvl>
    <w:lvl w:ilvl="7">
      <w:start w:val="1"/>
      <w:numFmt w:val="decimal"/>
      <w:isLgl/>
      <w:lvlText w:val="%1.%2.%3.%4.%5.%6.%7.%8"/>
      <w:lvlJc w:val="left"/>
      <w:pPr>
        <w:ind w:left="1091" w:hanging="1800"/>
      </w:pPr>
      <w:rPr>
        <w:rFonts w:eastAsia="Calibri" w:hint="default"/>
        <w:b/>
        <w:color w:val="auto"/>
      </w:rPr>
    </w:lvl>
    <w:lvl w:ilvl="8">
      <w:start w:val="1"/>
      <w:numFmt w:val="decimal"/>
      <w:isLgl/>
      <w:lvlText w:val="%1.%2.%3.%4.%5.%6.%7.%8.%9"/>
      <w:lvlJc w:val="left"/>
      <w:pPr>
        <w:ind w:left="1091" w:hanging="1800"/>
      </w:pPr>
      <w:rPr>
        <w:rFonts w:eastAsia="Calibri" w:hint="default"/>
        <w:b/>
        <w:color w:val="auto"/>
      </w:rPr>
    </w:lvl>
  </w:abstractNum>
  <w:abstractNum w:abstractNumId="123">
    <w:nsid w:val="7EB4142E"/>
    <w:multiLevelType w:val="hybridMultilevel"/>
    <w:tmpl w:val="1410F762"/>
    <w:lvl w:ilvl="0" w:tplc="BAF0295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nsid w:val="7F6C385F"/>
    <w:multiLevelType w:val="multilevel"/>
    <w:tmpl w:val="81484B70"/>
    <w:lvl w:ilvl="0">
      <w:start w:val="1"/>
      <w:numFmt w:val="decimal"/>
      <w:lvlText w:val="%1."/>
      <w:lvlJc w:val="left"/>
      <w:pPr>
        <w:ind w:left="360" w:hanging="360"/>
      </w:pPr>
      <w:rPr>
        <w:rFonts w:ascii="Bookman Old Style" w:hAnsi="Bookman Old Style" w:hint="default"/>
        <w:b w:val="0"/>
      </w:rPr>
    </w:lvl>
    <w:lvl w:ilvl="1">
      <w:start w:val="3"/>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num w:numId="1">
    <w:abstractNumId w:val="64"/>
  </w:num>
  <w:num w:numId="2">
    <w:abstractNumId w:val="19"/>
  </w:num>
  <w:num w:numId="3">
    <w:abstractNumId w:val="117"/>
  </w:num>
  <w:num w:numId="4">
    <w:abstractNumId w:val="33"/>
  </w:num>
  <w:num w:numId="5">
    <w:abstractNumId w:val="89"/>
  </w:num>
  <w:num w:numId="6">
    <w:abstractNumId w:val="6"/>
  </w:num>
  <w:num w:numId="7">
    <w:abstractNumId w:val="3"/>
  </w:num>
  <w:num w:numId="8">
    <w:abstractNumId w:val="96"/>
  </w:num>
  <w:num w:numId="9">
    <w:abstractNumId w:val="92"/>
  </w:num>
  <w:num w:numId="10">
    <w:abstractNumId w:val="65"/>
  </w:num>
  <w:num w:numId="11">
    <w:abstractNumId w:val="119"/>
  </w:num>
  <w:num w:numId="12">
    <w:abstractNumId w:val="107"/>
  </w:num>
  <w:num w:numId="13">
    <w:abstractNumId w:val="51"/>
  </w:num>
  <w:num w:numId="14">
    <w:abstractNumId w:val="1"/>
  </w:num>
  <w:num w:numId="15">
    <w:abstractNumId w:val="3"/>
  </w:num>
  <w:num w:numId="16">
    <w:abstractNumId w:val="3"/>
  </w:num>
  <w:num w:numId="17">
    <w:abstractNumId w:val="63"/>
  </w:num>
  <w:num w:numId="18">
    <w:abstractNumId w:val="3"/>
  </w:num>
  <w:num w:numId="19">
    <w:abstractNumId w:val="3"/>
  </w:num>
  <w:num w:numId="20">
    <w:abstractNumId w:val="3"/>
  </w:num>
  <w:num w:numId="21">
    <w:abstractNumId w:val="0"/>
  </w:num>
  <w:num w:numId="22">
    <w:abstractNumId w:val="84"/>
  </w:num>
  <w:num w:numId="23">
    <w:abstractNumId w:val="3"/>
  </w:num>
  <w:num w:numId="24">
    <w:abstractNumId w:val="3"/>
  </w:num>
  <w:num w:numId="25">
    <w:abstractNumId w:val="3"/>
  </w:num>
  <w:num w:numId="26">
    <w:abstractNumId w:val="28"/>
  </w:num>
  <w:num w:numId="27">
    <w:abstractNumId w:val="87"/>
  </w:num>
  <w:num w:numId="28">
    <w:abstractNumId w:val="111"/>
  </w:num>
  <w:num w:numId="29">
    <w:abstractNumId w:val="2"/>
  </w:num>
  <w:num w:numId="30">
    <w:abstractNumId w:val="104"/>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
  </w:num>
  <w:num w:numId="34">
    <w:abstractNumId w:val="3"/>
  </w:num>
  <w:num w:numId="35">
    <w:abstractNumId w:val="3"/>
  </w:num>
  <w:num w:numId="36">
    <w:abstractNumId w:val="3"/>
  </w:num>
  <w:num w:numId="37">
    <w:abstractNumId w:val="30"/>
  </w:num>
  <w:num w:numId="38">
    <w:abstractNumId w:val="124"/>
  </w:num>
  <w:num w:numId="39">
    <w:abstractNumId w:val="3"/>
  </w:num>
  <w:num w:numId="40">
    <w:abstractNumId w:val="90"/>
  </w:num>
  <w:num w:numId="41">
    <w:abstractNumId w:val="3"/>
  </w:num>
  <w:num w:numId="42">
    <w:abstractNumId w:val="3"/>
  </w:num>
  <w:num w:numId="43">
    <w:abstractNumId w:val="58"/>
  </w:num>
  <w:num w:numId="44">
    <w:abstractNumId w:val="101"/>
  </w:num>
  <w:num w:numId="45">
    <w:abstractNumId w:val="23"/>
  </w:num>
  <w:num w:numId="46">
    <w:abstractNumId w:val="44"/>
  </w:num>
  <w:num w:numId="47">
    <w:abstractNumId w:val="69"/>
  </w:num>
  <w:num w:numId="48">
    <w:abstractNumId w:val="3"/>
  </w:num>
  <w:num w:numId="49">
    <w:abstractNumId w:val="53"/>
  </w:num>
  <w:num w:numId="50">
    <w:abstractNumId w:val="109"/>
  </w:num>
  <w:num w:numId="51">
    <w:abstractNumId w:val="37"/>
  </w:num>
  <w:num w:numId="52">
    <w:abstractNumId w:val="73"/>
  </w:num>
  <w:num w:numId="53">
    <w:abstractNumId w:val="9"/>
  </w:num>
  <w:num w:numId="54">
    <w:abstractNumId w:val="3"/>
  </w:num>
  <w:num w:numId="55">
    <w:abstractNumId w:val="11"/>
  </w:num>
  <w:num w:numId="56">
    <w:abstractNumId w:val="3"/>
  </w:num>
  <w:num w:numId="57">
    <w:abstractNumId w:val="3"/>
  </w:num>
  <w:num w:numId="58">
    <w:abstractNumId w:val="3"/>
  </w:num>
  <w:num w:numId="59">
    <w:abstractNumId w:val="3"/>
  </w:num>
  <w:num w:numId="60">
    <w:abstractNumId w:val="54"/>
  </w:num>
  <w:num w:numId="61">
    <w:abstractNumId w:val="3"/>
  </w:num>
  <w:num w:numId="62">
    <w:abstractNumId w:val="77"/>
  </w:num>
  <w:num w:numId="63">
    <w:abstractNumId w:val="80"/>
  </w:num>
  <w:num w:numId="64">
    <w:abstractNumId w:val="3"/>
  </w:num>
  <w:num w:numId="65">
    <w:abstractNumId w:val="3"/>
  </w:num>
  <w:num w:numId="66">
    <w:abstractNumId w:val="39"/>
  </w:num>
  <w:num w:numId="67">
    <w:abstractNumId w:val="75"/>
  </w:num>
  <w:num w:numId="68">
    <w:abstractNumId w:val="62"/>
  </w:num>
  <w:num w:numId="69">
    <w:abstractNumId w:val="21"/>
  </w:num>
  <w:num w:numId="70">
    <w:abstractNumId w:val="3"/>
  </w:num>
  <w:num w:numId="71">
    <w:abstractNumId w:val="27"/>
  </w:num>
  <w:num w:numId="72">
    <w:abstractNumId w:val="114"/>
  </w:num>
  <w:num w:numId="73">
    <w:abstractNumId w:val="98"/>
  </w:num>
  <w:num w:numId="74">
    <w:abstractNumId w:val="106"/>
  </w:num>
  <w:num w:numId="75">
    <w:abstractNumId w:val="3"/>
  </w:num>
  <w:num w:numId="76">
    <w:abstractNumId w:val="85"/>
  </w:num>
  <w:num w:numId="77">
    <w:abstractNumId w:val="103"/>
  </w:num>
  <w:num w:numId="78">
    <w:abstractNumId w:val="18"/>
  </w:num>
  <w:num w:numId="79">
    <w:abstractNumId w:val="82"/>
  </w:num>
  <w:num w:numId="80">
    <w:abstractNumId w:val="55"/>
  </w:num>
  <w:num w:numId="81">
    <w:abstractNumId w:val="3"/>
  </w:num>
  <w:num w:numId="82">
    <w:abstractNumId w:val="3"/>
  </w:num>
  <w:num w:numId="83">
    <w:abstractNumId w:val="3"/>
  </w:num>
  <w:num w:numId="84">
    <w:abstractNumId w:val="118"/>
  </w:num>
  <w:num w:numId="85">
    <w:abstractNumId w:val="59"/>
  </w:num>
  <w:num w:numId="86">
    <w:abstractNumId w:val="57"/>
  </w:num>
  <w:num w:numId="87">
    <w:abstractNumId w:val="10"/>
  </w:num>
  <w:num w:numId="88">
    <w:abstractNumId w:val="52"/>
  </w:num>
  <w:num w:numId="89">
    <w:abstractNumId w:val="5"/>
  </w:num>
  <w:num w:numId="90">
    <w:abstractNumId w:val="3"/>
  </w:num>
  <w:num w:numId="91">
    <w:abstractNumId w:val="3"/>
  </w:num>
  <w:num w:numId="92">
    <w:abstractNumId w:val="29"/>
  </w:num>
  <w:num w:numId="93">
    <w:abstractNumId w:val="74"/>
  </w:num>
  <w:num w:numId="94">
    <w:abstractNumId w:val="110"/>
  </w:num>
  <w:num w:numId="95">
    <w:abstractNumId w:val="76"/>
  </w:num>
  <w:num w:numId="96">
    <w:abstractNumId w:val="66"/>
  </w:num>
  <w:num w:numId="97">
    <w:abstractNumId w:val="102"/>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 w:numId="118">
    <w:abstractNumId w:val="3"/>
  </w:num>
  <w:num w:numId="119">
    <w:abstractNumId w:val="3"/>
  </w:num>
  <w:num w:numId="120">
    <w:abstractNumId w:val="3"/>
  </w:num>
  <w:num w:numId="121">
    <w:abstractNumId w:val="3"/>
  </w:num>
  <w:num w:numId="122">
    <w:abstractNumId w:val="3"/>
  </w:num>
  <w:num w:numId="123">
    <w:abstractNumId w:val="3"/>
  </w:num>
  <w:num w:numId="124">
    <w:abstractNumId w:val="3"/>
  </w:num>
  <w:num w:numId="125">
    <w:abstractNumId w:val="3"/>
  </w:num>
  <w:num w:numId="126">
    <w:abstractNumId w:val="3"/>
  </w:num>
  <w:num w:numId="127">
    <w:abstractNumId w:val="3"/>
  </w:num>
  <w:num w:numId="128">
    <w:abstractNumId w:val="3"/>
  </w:num>
  <w:num w:numId="129">
    <w:abstractNumId w:val="13"/>
  </w:num>
  <w:num w:numId="130">
    <w:abstractNumId w:val="35"/>
  </w:num>
  <w:num w:numId="131">
    <w:abstractNumId w:val="71"/>
  </w:num>
  <w:num w:numId="132">
    <w:abstractNumId w:val="3"/>
  </w:num>
  <w:num w:numId="133">
    <w:abstractNumId w:val="3"/>
  </w:num>
  <w:num w:numId="134">
    <w:abstractNumId w:val="3"/>
  </w:num>
  <w:num w:numId="135">
    <w:abstractNumId w:val="3"/>
  </w:num>
  <w:num w:numId="136">
    <w:abstractNumId w:val="3"/>
  </w:num>
  <w:num w:numId="137">
    <w:abstractNumId w:val="116"/>
  </w:num>
  <w:num w:numId="138">
    <w:abstractNumId w:val="32"/>
  </w:num>
  <w:num w:numId="139">
    <w:abstractNumId w:val="3"/>
  </w:num>
  <w:num w:numId="140">
    <w:abstractNumId w:val="3"/>
  </w:num>
  <w:num w:numId="141">
    <w:abstractNumId w:val="3"/>
  </w:num>
  <w:num w:numId="142">
    <w:abstractNumId w:val="3"/>
  </w:num>
  <w:num w:numId="143">
    <w:abstractNumId w:val="3"/>
  </w:num>
  <w:num w:numId="144">
    <w:abstractNumId w:val="3"/>
  </w:num>
  <w:num w:numId="145">
    <w:abstractNumId w:val="3"/>
  </w:num>
  <w:num w:numId="146">
    <w:abstractNumId w:val="3"/>
  </w:num>
  <w:num w:numId="147">
    <w:abstractNumId w:val="3"/>
  </w:num>
  <w:num w:numId="148">
    <w:abstractNumId w:val="3"/>
  </w:num>
  <w:num w:numId="149">
    <w:abstractNumId w:val="3"/>
  </w:num>
  <w:num w:numId="150">
    <w:abstractNumId w:val="95"/>
  </w:num>
  <w:num w:numId="151">
    <w:abstractNumId w:val="3"/>
  </w:num>
  <w:num w:numId="152">
    <w:abstractNumId w:val="3"/>
  </w:num>
  <w:num w:numId="153">
    <w:abstractNumId w:val="3"/>
  </w:num>
  <w:num w:numId="154">
    <w:abstractNumId w:val="3"/>
  </w:num>
  <w:num w:numId="155">
    <w:abstractNumId w:val="3"/>
  </w:num>
  <w:num w:numId="156">
    <w:abstractNumId w:val="3"/>
  </w:num>
  <w:num w:numId="157">
    <w:abstractNumId w:val="3"/>
  </w:num>
  <w:num w:numId="158">
    <w:abstractNumId w:val="3"/>
  </w:num>
  <w:num w:numId="159">
    <w:abstractNumId w:val="3"/>
  </w:num>
  <w:num w:numId="160">
    <w:abstractNumId w:val="3"/>
  </w:num>
  <w:num w:numId="161">
    <w:abstractNumId w:val="3"/>
  </w:num>
  <w:num w:numId="162">
    <w:abstractNumId w:val="49"/>
  </w:num>
  <w:num w:numId="163">
    <w:abstractNumId w:val="36"/>
  </w:num>
  <w:num w:numId="164">
    <w:abstractNumId w:val="120"/>
  </w:num>
  <w:num w:numId="165">
    <w:abstractNumId w:val="22"/>
  </w:num>
  <w:num w:numId="166">
    <w:abstractNumId w:val="46"/>
  </w:num>
  <w:num w:numId="167">
    <w:abstractNumId w:val="14"/>
  </w:num>
  <w:num w:numId="168">
    <w:abstractNumId w:val="8"/>
  </w:num>
  <w:num w:numId="169">
    <w:abstractNumId w:val="79"/>
  </w:num>
  <w:num w:numId="170">
    <w:abstractNumId w:val="3"/>
  </w:num>
  <w:num w:numId="171">
    <w:abstractNumId w:val="3"/>
  </w:num>
  <w:num w:numId="172">
    <w:abstractNumId w:val="38"/>
  </w:num>
  <w:num w:numId="173">
    <w:abstractNumId w:val="99"/>
  </w:num>
  <w:num w:numId="174">
    <w:abstractNumId w:val="3"/>
  </w:num>
  <w:num w:numId="175">
    <w:abstractNumId w:val="3"/>
  </w:num>
  <w:num w:numId="176">
    <w:abstractNumId w:val="3"/>
  </w:num>
  <w:num w:numId="177">
    <w:abstractNumId w:val="108"/>
  </w:num>
  <w:num w:numId="178">
    <w:abstractNumId w:val="3"/>
  </w:num>
  <w:num w:numId="179">
    <w:abstractNumId w:val="3"/>
  </w:num>
  <w:num w:numId="180">
    <w:abstractNumId w:val="3"/>
  </w:num>
  <w:num w:numId="181">
    <w:abstractNumId w:val="34"/>
  </w:num>
  <w:num w:numId="182">
    <w:abstractNumId w:val="3"/>
  </w:num>
  <w:num w:numId="183">
    <w:abstractNumId w:val="3"/>
  </w:num>
  <w:num w:numId="184">
    <w:abstractNumId w:val="3"/>
  </w:num>
  <w:num w:numId="185">
    <w:abstractNumId w:val="3"/>
  </w:num>
  <w:num w:numId="186">
    <w:abstractNumId w:val="3"/>
  </w:num>
  <w:num w:numId="187">
    <w:abstractNumId w:val="3"/>
  </w:num>
  <w:num w:numId="188">
    <w:abstractNumId w:val="3"/>
  </w:num>
  <w:num w:numId="189">
    <w:abstractNumId w:val="3"/>
  </w:num>
  <w:num w:numId="190">
    <w:abstractNumId w:val="91"/>
  </w:num>
  <w:num w:numId="191">
    <w:abstractNumId w:val="3"/>
  </w:num>
  <w:num w:numId="192">
    <w:abstractNumId w:val="3"/>
  </w:num>
  <w:num w:numId="193">
    <w:abstractNumId w:val="3"/>
  </w:num>
  <w:num w:numId="194">
    <w:abstractNumId w:val="48"/>
  </w:num>
  <w:num w:numId="195">
    <w:abstractNumId w:val="15"/>
  </w:num>
  <w:num w:numId="196">
    <w:abstractNumId w:val="123"/>
  </w:num>
  <w:num w:numId="197">
    <w:abstractNumId w:val="93"/>
  </w:num>
  <w:num w:numId="198">
    <w:abstractNumId w:val="3"/>
  </w:num>
  <w:num w:numId="199">
    <w:abstractNumId w:val="3"/>
  </w:num>
  <w:num w:numId="200">
    <w:abstractNumId w:val="3"/>
  </w:num>
  <w:num w:numId="201">
    <w:abstractNumId w:val="3"/>
  </w:num>
  <w:num w:numId="202">
    <w:abstractNumId w:val="43"/>
  </w:num>
  <w:num w:numId="203">
    <w:abstractNumId w:val="3"/>
  </w:num>
  <w:num w:numId="204">
    <w:abstractNumId w:val="3"/>
  </w:num>
  <w:num w:numId="205">
    <w:abstractNumId w:val="3"/>
  </w:num>
  <w:num w:numId="206">
    <w:abstractNumId w:val="3"/>
  </w:num>
  <w:num w:numId="207">
    <w:abstractNumId w:val="40"/>
  </w:num>
  <w:num w:numId="208">
    <w:abstractNumId w:val="115"/>
  </w:num>
  <w:num w:numId="209">
    <w:abstractNumId w:val="83"/>
  </w:num>
  <w:num w:numId="210">
    <w:abstractNumId w:val="113"/>
  </w:num>
  <w:num w:numId="211">
    <w:abstractNumId w:val="78"/>
  </w:num>
  <w:num w:numId="212">
    <w:abstractNumId w:val="86"/>
  </w:num>
  <w:num w:numId="213">
    <w:abstractNumId w:val="68"/>
  </w:num>
  <w:num w:numId="214">
    <w:abstractNumId w:val="67"/>
  </w:num>
  <w:num w:numId="215">
    <w:abstractNumId w:val="105"/>
  </w:num>
  <w:num w:numId="216">
    <w:abstractNumId w:val="100"/>
  </w:num>
  <w:num w:numId="217">
    <w:abstractNumId w:val="88"/>
  </w:num>
  <w:num w:numId="218">
    <w:abstractNumId w:val="94"/>
  </w:num>
  <w:num w:numId="219">
    <w:abstractNumId w:val="101"/>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72"/>
  </w:num>
  <w:num w:numId="233">
    <w:abstractNumId w:val="4"/>
  </w:num>
  <w:num w:numId="234">
    <w:abstractNumId w:val="26"/>
  </w:num>
  <w:num w:numId="235">
    <w:abstractNumId w:val="122"/>
  </w:num>
  <w:num w:numId="236">
    <w:abstractNumId w:val="41"/>
  </w:num>
  <w:num w:numId="237">
    <w:abstractNumId w:val="20"/>
  </w:num>
  <w:num w:numId="238">
    <w:abstractNumId w:val="61"/>
  </w:num>
  <w:num w:numId="239">
    <w:abstractNumId w:val="70"/>
  </w:num>
  <w:num w:numId="240">
    <w:abstractNumId w:val="81"/>
  </w:num>
  <w:num w:numId="241">
    <w:abstractNumId w:val="12"/>
  </w:num>
  <w:num w:numId="242">
    <w:abstractNumId w:val="60"/>
  </w:num>
  <w:num w:numId="243">
    <w:abstractNumId w:val="47"/>
  </w:num>
  <w:num w:numId="244">
    <w:abstractNumId w:val="24"/>
  </w:num>
  <w:num w:numId="245">
    <w:abstractNumId w:val="112"/>
  </w:num>
  <w:num w:numId="246">
    <w:abstractNumId w:val="3"/>
  </w:num>
  <w:num w:numId="247">
    <w:abstractNumId w:val="3"/>
  </w:num>
  <w:num w:numId="248">
    <w:abstractNumId w:val="17"/>
  </w:num>
  <w:num w:numId="249">
    <w:abstractNumId w:val="121"/>
  </w:num>
  <w:num w:numId="250">
    <w:abstractNumId w:val="16"/>
  </w:num>
  <w:num w:numId="251">
    <w:abstractNumId w:val="7"/>
  </w:num>
  <w:num w:numId="252">
    <w:abstractNumId w:val="97"/>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45"/>
  </w:num>
  <w:num w:numId="255">
    <w:abstractNumId w:val="25"/>
  </w:num>
  <w:num w:numId="256">
    <w:abstractNumId w:val="42"/>
  </w:num>
  <w:num w:numId="257">
    <w:abstractNumId w:val="50"/>
  </w:num>
  <w:num w:numId="258">
    <w:abstractNumId w:val="31"/>
  </w:num>
  <w:numIdMacAtCleanup w:val="2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0A"/>
    <w:rsid w:val="0000119B"/>
    <w:rsid w:val="000023B4"/>
    <w:rsid w:val="000040E8"/>
    <w:rsid w:val="00006AE2"/>
    <w:rsid w:val="000076A1"/>
    <w:rsid w:val="000113FD"/>
    <w:rsid w:val="00012259"/>
    <w:rsid w:val="00014364"/>
    <w:rsid w:val="00016E84"/>
    <w:rsid w:val="000204C1"/>
    <w:rsid w:val="000210ED"/>
    <w:rsid w:val="00025383"/>
    <w:rsid w:val="00037A0F"/>
    <w:rsid w:val="00040089"/>
    <w:rsid w:val="00045938"/>
    <w:rsid w:val="00047416"/>
    <w:rsid w:val="00047503"/>
    <w:rsid w:val="0005376E"/>
    <w:rsid w:val="00055B4B"/>
    <w:rsid w:val="00056DA1"/>
    <w:rsid w:val="00060D54"/>
    <w:rsid w:val="00062372"/>
    <w:rsid w:val="00063657"/>
    <w:rsid w:val="00064508"/>
    <w:rsid w:val="00067061"/>
    <w:rsid w:val="000725ED"/>
    <w:rsid w:val="00073ED7"/>
    <w:rsid w:val="00075DCD"/>
    <w:rsid w:val="00076680"/>
    <w:rsid w:val="0008073E"/>
    <w:rsid w:val="000905C0"/>
    <w:rsid w:val="00091CDB"/>
    <w:rsid w:val="00093974"/>
    <w:rsid w:val="00097E14"/>
    <w:rsid w:val="000A19AC"/>
    <w:rsid w:val="000A54B4"/>
    <w:rsid w:val="000A730D"/>
    <w:rsid w:val="000A787B"/>
    <w:rsid w:val="000B2293"/>
    <w:rsid w:val="000B3743"/>
    <w:rsid w:val="000B3E9E"/>
    <w:rsid w:val="000C04F8"/>
    <w:rsid w:val="000C47E8"/>
    <w:rsid w:val="000C68E0"/>
    <w:rsid w:val="000D26F8"/>
    <w:rsid w:val="000D36E2"/>
    <w:rsid w:val="000D4E6D"/>
    <w:rsid w:val="000D58EB"/>
    <w:rsid w:val="000E0F07"/>
    <w:rsid w:val="000E1253"/>
    <w:rsid w:val="000E1B57"/>
    <w:rsid w:val="000E4308"/>
    <w:rsid w:val="000E7159"/>
    <w:rsid w:val="000F0A49"/>
    <w:rsid w:val="000F3734"/>
    <w:rsid w:val="000F37C9"/>
    <w:rsid w:val="000F5A5D"/>
    <w:rsid w:val="00100C8C"/>
    <w:rsid w:val="0010399D"/>
    <w:rsid w:val="00105B5E"/>
    <w:rsid w:val="00116085"/>
    <w:rsid w:val="001174EA"/>
    <w:rsid w:val="001201B9"/>
    <w:rsid w:val="00121687"/>
    <w:rsid w:val="00122BF0"/>
    <w:rsid w:val="00124A7C"/>
    <w:rsid w:val="00127C93"/>
    <w:rsid w:val="001317FA"/>
    <w:rsid w:val="001369F2"/>
    <w:rsid w:val="00136B90"/>
    <w:rsid w:val="001405C6"/>
    <w:rsid w:val="00141013"/>
    <w:rsid w:val="00147770"/>
    <w:rsid w:val="001508FD"/>
    <w:rsid w:val="00150C75"/>
    <w:rsid w:val="00152C82"/>
    <w:rsid w:val="00154838"/>
    <w:rsid w:val="001548A5"/>
    <w:rsid w:val="00154B7F"/>
    <w:rsid w:val="0015609C"/>
    <w:rsid w:val="00157CE2"/>
    <w:rsid w:val="00162A29"/>
    <w:rsid w:val="001639E4"/>
    <w:rsid w:val="0016547C"/>
    <w:rsid w:val="00167A95"/>
    <w:rsid w:val="001701A5"/>
    <w:rsid w:val="001772E2"/>
    <w:rsid w:val="00177C9B"/>
    <w:rsid w:val="00184114"/>
    <w:rsid w:val="00185E1F"/>
    <w:rsid w:val="001864A9"/>
    <w:rsid w:val="00186EBE"/>
    <w:rsid w:val="00187865"/>
    <w:rsid w:val="001922EF"/>
    <w:rsid w:val="00192CBF"/>
    <w:rsid w:val="00192FBE"/>
    <w:rsid w:val="00192FF1"/>
    <w:rsid w:val="00195FD6"/>
    <w:rsid w:val="00196524"/>
    <w:rsid w:val="001A1689"/>
    <w:rsid w:val="001A2A7B"/>
    <w:rsid w:val="001A2BDB"/>
    <w:rsid w:val="001A4B4F"/>
    <w:rsid w:val="001A4D86"/>
    <w:rsid w:val="001A5F1B"/>
    <w:rsid w:val="001A6435"/>
    <w:rsid w:val="001A76ED"/>
    <w:rsid w:val="001A79A6"/>
    <w:rsid w:val="001B1296"/>
    <w:rsid w:val="001B1C22"/>
    <w:rsid w:val="001B34C6"/>
    <w:rsid w:val="001B6A1A"/>
    <w:rsid w:val="001B7190"/>
    <w:rsid w:val="001C2A2E"/>
    <w:rsid w:val="001C4C90"/>
    <w:rsid w:val="001C5AE4"/>
    <w:rsid w:val="001C7801"/>
    <w:rsid w:val="001D140D"/>
    <w:rsid w:val="001D518F"/>
    <w:rsid w:val="001D7832"/>
    <w:rsid w:val="001E0DE7"/>
    <w:rsid w:val="001E2E9D"/>
    <w:rsid w:val="001E3B05"/>
    <w:rsid w:val="001E3B7C"/>
    <w:rsid w:val="001E49C6"/>
    <w:rsid w:val="001E77E6"/>
    <w:rsid w:val="001F0F39"/>
    <w:rsid w:val="001F3F3C"/>
    <w:rsid w:val="001F596F"/>
    <w:rsid w:val="00204BA1"/>
    <w:rsid w:val="00204FA7"/>
    <w:rsid w:val="0020624B"/>
    <w:rsid w:val="00206915"/>
    <w:rsid w:val="00211A80"/>
    <w:rsid w:val="00211D34"/>
    <w:rsid w:val="00214F04"/>
    <w:rsid w:val="002158D6"/>
    <w:rsid w:val="002170F4"/>
    <w:rsid w:val="00222A78"/>
    <w:rsid w:val="00224144"/>
    <w:rsid w:val="00224B36"/>
    <w:rsid w:val="002250AF"/>
    <w:rsid w:val="00225C2B"/>
    <w:rsid w:val="0022654E"/>
    <w:rsid w:val="00230361"/>
    <w:rsid w:val="00231A90"/>
    <w:rsid w:val="002323A7"/>
    <w:rsid w:val="00232D23"/>
    <w:rsid w:val="00235954"/>
    <w:rsid w:val="00235A8E"/>
    <w:rsid w:val="00237CB4"/>
    <w:rsid w:val="00240D34"/>
    <w:rsid w:val="00241583"/>
    <w:rsid w:val="00242F69"/>
    <w:rsid w:val="00253D15"/>
    <w:rsid w:val="00253E97"/>
    <w:rsid w:val="00256C76"/>
    <w:rsid w:val="00261653"/>
    <w:rsid w:val="0026337E"/>
    <w:rsid w:val="002648C8"/>
    <w:rsid w:val="00266CD6"/>
    <w:rsid w:val="002710DB"/>
    <w:rsid w:val="0027471A"/>
    <w:rsid w:val="0027555A"/>
    <w:rsid w:val="0027644B"/>
    <w:rsid w:val="00276811"/>
    <w:rsid w:val="00277C32"/>
    <w:rsid w:val="00281280"/>
    <w:rsid w:val="0028248D"/>
    <w:rsid w:val="002848ED"/>
    <w:rsid w:val="00293503"/>
    <w:rsid w:val="002953A1"/>
    <w:rsid w:val="00296145"/>
    <w:rsid w:val="002A02C0"/>
    <w:rsid w:val="002A596F"/>
    <w:rsid w:val="002A712A"/>
    <w:rsid w:val="002B11E2"/>
    <w:rsid w:val="002B1CF1"/>
    <w:rsid w:val="002B24B8"/>
    <w:rsid w:val="002B71E0"/>
    <w:rsid w:val="002C1A34"/>
    <w:rsid w:val="002C1F3B"/>
    <w:rsid w:val="002C206D"/>
    <w:rsid w:val="002C3FEA"/>
    <w:rsid w:val="002C4D9F"/>
    <w:rsid w:val="002C4E91"/>
    <w:rsid w:val="002C74A5"/>
    <w:rsid w:val="002D02F0"/>
    <w:rsid w:val="002D3AE9"/>
    <w:rsid w:val="002D4480"/>
    <w:rsid w:val="002D6D02"/>
    <w:rsid w:val="002E3914"/>
    <w:rsid w:val="002F0734"/>
    <w:rsid w:val="002F1F59"/>
    <w:rsid w:val="002F46E7"/>
    <w:rsid w:val="002F4F01"/>
    <w:rsid w:val="003101DA"/>
    <w:rsid w:val="0031211D"/>
    <w:rsid w:val="00312495"/>
    <w:rsid w:val="003142FC"/>
    <w:rsid w:val="00314757"/>
    <w:rsid w:val="003211CE"/>
    <w:rsid w:val="003254C8"/>
    <w:rsid w:val="0032765E"/>
    <w:rsid w:val="00327B96"/>
    <w:rsid w:val="0033199D"/>
    <w:rsid w:val="00332711"/>
    <w:rsid w:val="003345BD"/>
    <w:rsid w:val="0033464F"/>
    <w:rsid w:val="003347B0"/>
    <w:rsid w:val="003355DB"/>
    <w:rsid w:val="003360F8"/>
    <w:rsid w:val="0033681F"/>
    <w:rsid w:val="00336F42"/>
    <w:rsid w:val="0034007B"/>
    <w:rsid w:val="00340E5D"/>
    <w:rsid w:val="00341BBF"/>
    <w:rsid w:val="00350632"/>
    <w:rsid w:val="0035143B"/>
    <w:rsid w:val="0035321E"/>
    <w:rsid w:val="00353665"/>
    <w:rsid w:val="00353943"/>
    <w:rsid w:val="0035403A"/>
    <w:rsid w:val="00356AB1"/>
    <w:rsid w:val="00357971"/>
    <w:rsid w:val="003624C2"/>
    <w:rsid w:val="0036394B"/>
    <w:rsid w:val="003657E2"/>
    <w:rsid w:val="0036694B"/>
    <w:rsid w:val="003675D5"/>
    <w:rsid w:val="00367C6B"/>
    <w:rsid w:val="003709B5"/>
    <w:rsid w:val="00370D00"/>
    <w:rsid w:val="0037201F"/>
    <w:rsid w:val="003729C8"/>
    <w:rsid w:val="00374A6C"/>
    <w:rsid w:val="003759C2"/>
    <w:rsid w:val="0037634F"/>
    <w:rsid w:val="00376AA0"/>
    <w:rsid w:val="00385594"/>
    <w:rsid w:val="00386AA8"/>
    <w:rsid w:val="0039090F"/>
    <w:rsid w:val="00395544"/>
    <w:rsid w:val="00397365"/>
    <w:rsid w:val="00397F58"/>
    <w:rsid w:val="003A31F6"/>
    <w:rsid w:val="003A3D14"/>
    <w:rsid w:val="003A42CF"/>
    <w:rsid w:val="003A43C5"/>
    <w:rsid w:val="003A53DE"/>
    <w:rsid w:val="003A5BE5"/>
    <w:rsid w:val="003A5ED4"/>
    <w:rsid w:val="003B02AE"/>
    <w:rsid w:val="003B03EB"/>
    <w:rsid w:val="003B0EC7"/>
    <w:rsid w:val="003B1A40"/>
    <w:rsid w:val="003B3781"/>
    <w:rsid w:val="003B41F5"/>
    <w:rsid w:val="003B4746"/>
    <w:rsid w:val="003B530A"/>
    <w:rsid w:val="003B716E"/>
    <w:rsid w:val="003B7418"/>
    <w:rsid w:val="003B7C2A"/>
    <w:rsid w:val="003C04B0"/>
    <w:rsid w:val="003C3447"/>
    <w:rsid w:val="003C576E"/>
    <w:rsid w:val="003C6F9D"/>
    <w:rsid w:val="003C7C25"/>
    <w:rsid w:val="003D076C"/>
    <w:rsid w:val="003D2764"/>
    <w:rsid w:val="003E2E4C"/>
    <w:rsid w:val="003F71C5"/>
    <w:rsid w:val="00402D14"/>
    <w:rsid w:val="004055E5"/>
    <w:rsid w:val="00407555"/>
    <w:rsid w:val="004105E0"/>
    <w:rsid w:val="0041145E"/>
    <w:rsid w:val="00413851"/>
    <w:rsid w:val="004153FE"/>
    <w:rsid w:val="00415BAB"/>
    <w:rsid w:val="00415ED2"/>
    <w:rsid w:val="0042068C"/>
    <w:rsid w:val="0042344D"/>
    <w:rsid w:val="004236D5"/>
    <w:rsid w:val="00432DCD"/>
    <w:rsid w:val="00435C80"/>
    <w:rsid w:val="004425B8"/>
    <w:rsid w:val="004433CD"/>
    <w:rsid w:val="004451EB"/>
    <w:rsid w:val="00446F0D"/>
    <w:rsid w:val="00451874"/>
    <w:rsid w:val="00454716"/>
    <w:rsid w:val="00454CEA"/>
    <w:rsid w:val="00457137"/>
    <w:rsid w:val="0045747D"/>
    <w:rsid w:val="0045775A"/>
    <w:rsid w:val="0046146B"/>
    <w:rsid w:val="00462D5D"/>
    <w:rsid w:val="004649A3"/>
    <w:rsid w:val="00465DDE"/>
    <w:rsid w:val="00470185"/>
    <w:rsid w:val="00471113"/>
    <w:rsid w:val="0047122B"/>
    <w:rsid w:val="00472E27"/>
    <w:rsid w:val="00473915"/>
    <w:rsid w:val="00473B7A"/>
    <w:rsid w:val="004769C6"/>
    <w:rsid w:val="0048127E"/>
    <w:rsid w:val="00482C62"/>
    <w:rsid w:val="00483AFF"/>
    <w:rsid w:val="00483BCB"/>
    <w:rsid w:val="004853F4"/>
    <w:rsid w:val="0049012E"/>
    <w:rsid w:val="00490BA6"/>
    <w:rsid w:val="0049242A"/>
    <w:rsid w:val="00492834"/>
    <w:rsid w:val="00492D82"/>
    <w:rsid w:val="00493AA2"/>
    <w:rsid w:val="0049488E"/>
    <w:rsid w:val="00494EC6"/>
    <w:rsid w:val="00495243"/>
    <w:rsid w:val="00495BE7"/>
    <w:rsid w:val="004960E9"/>
    <w:rsid w:val="004973E2"/>
    <w:rsid w:val="004A2E88"/>
    <w:rsid w:val="004A5305"/>
    <w:rsid w:val="004A7B87"/>
    <w:rsid w:val="004B2466"/>
    <w:rsid w:val="004B6016"/>
    <w:rsid w:val="004C210F"/>
    <w:rsid w:val="004C4229"/>
    <w:rsid w:val="004C580D"/>
    <w:rsid w:val="004D1241"/>
    <w:rsid w:val="004D180C"/>
    <w:rsid w:val="004D3D11"/>
    <w:rsid w:val="004D5768"/>
    <w:rsid w:val="004D7634"/>
    <w:rsid w:val="004E02DE"/>
    <w:rsid w:val="004E1727"/>
    <w:rsid w:val="004E54A7"/>
    <w:rsid w:val="004E7AE3"/>
    <w:rsid w:val="004F1174"/>
    <w:rsid w:val="004F247E"/>
    <w:rsid w:val="004F5D89"/>
    <w:rsid w:val="004F74F6"/>
    <w:rsid w:val="004F7861"/>
    <w:rsid w:val="00501C23"/>
    <w:rsid w:val="00504567"/>
    <w:rsid w:val="00506321"/>
    <w:rsid w:val="005115BD"/>
    <w:rsid w:val="00522577"/>
    <w:rsid w:val="005237AD"/>
    <w:rsid w:val="00523EBD"/>
    <w:rsid w:val="005300D3"/>
    <w:rsid w:val="00530977"/>
    <w:rsid w:val="00531D1D"/>
    <w:rsid w:val="0053672A"/>
    <w:rsid w:val="005420EE"/>
    <w:rsid w:val="00543E38"/>
    <w:rsid w:val="00544F82"/>
    <w:rsid w:val="00563A89"/>
    <w:rsid w:val="00565A80"/>
    <w:rsid w:val="00567889"/>
    <w:rsid w:val="0057618F"/>
    <w:rsid w:val="0058011C"/>
    <w:rsid w:val="00582E6D"/>
    <w:rsid w:val="00592E77"/>
    <w:rsid w:val="00593A87"/>
    <w:rsid w:val="00593C4F"/>
    <w:rsid w:val="005946A8"/>
    <w:rsid w:val="00597AF3"/>
    <w:rsid w:val="005A0FBC"/>
    <w:rsid w:val="005A10DD"/>
    <w:rsid w:val="005A14F4"/>
    <w:rsid w:val="005A3ECF"/>
    <w:rsid w:val="005A430E"/>
    <w:rsid w:val="005A4395"/>
    <w:rsid w:val="005A4407"/>
    <w:rsid w:val="005A553F"/>
    <w:rsid w:val="005A59C9"/>
    <w:rsid w:val="005A59EF"/>
    <w:rsid w:val="005A738A"/>
    <w:rsid w:val="005A76E2"/>
    <w:rsid w:val="005A78B4"/>
    <w:rsid w:val="005B0479"/>
    <w:rsid w:val="005B22CD"/>
    <w:rsid w:val="005B3A13"/>
    <w:rsid w:val="005B3D27"/>
    <w:rsid w:val="005B5F36"/>
    <w:rsid w:val="005C372F"/>
    <w:rsid w:val="005C42F7"/>
    <w:rsid w:val="005C5905"/>
    <w:rsid w:val="005C596C"/>
    <w:rsid w:val="005C7051"/>
    <w:rsid w:val="005D27BE"/>
    <w:rsid w:val="005D2DE3"/>
    <w:rsid w:val="005D37DF"/>
    <w:rsid w:val="005D39A3"/>
    <w:rsid w:val="005D7123"/>
    <w:rsid w:val="005E255A"/>
    <w:rsid w:val="005E7EDB"/>
    <w:rsid w:val="005F05BA"/>
    <w:rsid w:val="005F0E67"/>
    <w:rsid w:val="005F1F78"/>
    <w:rsid w:val="005F4D89"/>
    <w:rsid w:val="005F60A6"/>
    <w:rsid w:val="005F76CB"/>
    <w:rsid w:val="0060392A"/>
    <w:rsid w:val="006055C8"/>
    <w:rsid w:val="00611F02"/>
    <w:rsid w:val="00612DAF"/>
    <w:rsid w:val="006135D5"/>
    <w:rsid w:val="00614EBE"/>
    <w:rsid w:val="00621681"/>
    <w:rsid w:val="006217DA"/>
    <w:rsid w:val="0062435B"/>
    <w:rsid w:val="0062451D"/>
    <w:rsid w:val="00625DC6"/>
    <w:rsid w:val="00631E99"/>
    <w:rsid w:val="006342CC"/>
    <w:rsid w:val="00635277"/>
    <w:rsid w:val="0064060B"/>
    <w:rsid w:val="00640E81"/>
    <w:rsid w:val="00645AC3"/>
    <w:rsid w:val="00645B75"/>
    <w:rsid w:val="006505FE"/>
    <w:rsid w:val="00651821"/>
    <w:rsid w:val="0065185E"/>
    <w:rsid w:val="00651B1A"/>
    <w:rsid w:val="006520AE"/>
    <w:rsid w:val="00653415"/>
    <w:rsid w:val="00653F6D"/>
    <w:rsid w:val="00654384"/>
    <w:rsid w:val="006546DA"/>
    <w:rsid w:val="00655394"/>
    <w:rsid w:val="006572AC"/>
    <w:rsid w:val="006675CD"/>
    <w:rsid w:val="006702C0"/>
    <w:rsid w:val="0067096C"/>
    <w:rsid w:val="00671DBF"/>
    <w:rsid w:val="00676CDB"/>
    <w:rsid w:val="00677315"/>
    <w:rsid w:val="00682E95"/>
    <w:rsid w:val="00684D9B"/>
    <w:rsid w:val="00686609"/>
    <w:rsid w:val="0068764C"/>
    <w:rsid w:val="0069439A"/>
    <w:rsid w:val="00695C4C"/>
    <w:rsid w:val="0069615B"/>
    <w:rsid w:val="00697556"/>
    <w:rsid w:val="006A0843"/>
    <w:rsid w:val="006A23C4"/>
    <w:rsid w:val="006B0DA1"/>
    <w:rsid w:val="006B216F"/>
    <w:rsid w:val="006B327F"/>
    <w:rsid w:val="006B4C2B"/>
    <w:rsid w:val="006B623A"/>
    <w:rsid w:val="006B6D47"/>
    <w:rsid w:val="006C4EE6"/>
    <w:rsid w:val="006C6267"/>
    <w:rsid w:val="006D4A50"/>
    <w:rsid w:val="006D7CBC"/>
    <w:rsid w:val="006E622E"/>
    <w:rsid w:val="006E6AA8"/>
    <w:rsid w:val="006F0AC3"/>
    <w:rsid w:val="006F28BA"/>
    <w:rsid w:val="006F374F"/>
    <w:rsid w:val="006F3863"/>
    <w:rsid w:val="006F6D95"/>
    <w:rsid w:val="006F7106"/>
    <w:rsid w:val="00702BCC"/>
    <w:rsid w:val="00706F13"/>
    <w:rsid w:val="007072E8"/>
    <w:rsid w:val="0071291F"/>
    <w:rsid w:val="0071353C"/>
    <w:rsid w:val="00714323"/>
    <w:rsid w:val="0071618D"/>
    <w:rsid w:val="00716A6B"/>
    <w:rsid w:val="00720E33"/>
    <w:rsid w:val="00723392"/>
    <w:rsid w:val="00725FA4"/>
    <w:rsid w:val="00733DF1"/>
    <w:rsid w:val="00735D2A"/>
    <w:rsid w:val="00740446"/>
    <w:rsid w:val="00741092"/>
    <w:rsid w:val="007438A9"/>
    <w:rsid w:val="0074491E"/>
    <w:rsid w:val="0074499F"/>
    <w:rsid w:val="00745B83"/>
    <w:rsid w:val="007472F8"/>
    <w:rsid w:val="0075146E"/>
    <w:rsid w:val="00757DCA"/>
    <w:rsid w:val="007670E5"/>
    <w:rsid w:val="00772F3F"/>
    <w:rsid w:val="00773050"/>
    <w:rsid w:val="00773D53"/>
    <w:rsid w:val="00773F9C"/>
    <w:rsid w:val="00775964"/>
    <w:rsid w:val="007761B9"/>
    <w:rsid w:val="007805AF"/>
    <w:rsid w:val="00782D7B"/>
    <w:rsid w:val="007944C7"/>
    <w:rsid w:val="00795BFB"/>
    <w:rsid w:val="00796DE4"/>
    <w:rsid w:val="00797759"/>
    <w:rsid w:val="007A0C93"/>
    <w:rsid w:val="007A1AD8"/>
    <w:rsid w:val="007A2A40"/>
    <w:rsid w:val="007A2DFF"/>
    <w:rsid w:val="007A3815"/>
    <w:rsid w:val="007A3E4C"/>
    <w:rsid w:val="007A4A20"/>
    <w:rsid w:val="007A6B8B"/>
    <w:rsid w:val="007A6E12"/>
    <w:rsid w:val="007A7EAC"/>
    <w:rsid w:val="007B0C13"/>
    <w:rsid w:val="007B2760"/>
    <w:rsid w:val="007B3DE3"/>
    <w:rsid w:val="007C30F2"/>
    <w:rsid w:val="007C4D7D"/>
    <w:rsid w:val="007C50A2"/>
    <w:rsid w:val="007D215F"/>
    <w:rsid w:val="007D3E40"/>
    <w:rsid w:val="007D5BE8"/>
    <w:rsid w:val="007D7633"/>
    <w:rsid w:val="007E21FB"/>
    <w:rsid w:val="007E48F7"/>
    <w:rsid w:val="007E591A"/>
    <w:rsid w:val="007E680A"/>
    <w:rsid w:val="007E7C33"/>
    <w:rsid w:val="007F0EDE"/>
    <w:rsid w:val="007F4F66"/>
    <w:rsid w:val="007F5715"/>
    <w:rsid w:val="007F5CD3"/>
    <w:rsid w:val="007F6D6F"/>
    <w:rsid w:val="008008D7"/>
    <w:rsid w:val="00800C10"/>
    <w:rsid w:val="008018D7"/>
    <w:rsid w:val="00802147"/>
    <w:rsid w:val="00802F1E"/>
    <w:rsid w:val="00806C01"/>
    <w:rsid w:val="008115E9"/>
    <w:rsid w:val="008123AD"/>
    <w:rsid w:val="008148CC"/>
    <w:rsid w:val="008169D9"/>
    <w:rsid w:val="00816C2B"/>
    <w:rsid w:val="008211A4"/>
    <w:rsid w:val="00824315"/>
    <w:rsid w:val="008342A2"/>
    <w:rsid w:val="00845A85"/>
    <w:rsid w:val="00854D7A"/>
    <w:rsid w:val="008570C8"/>
    <w:rsid w:val="0085764A"/>
    <w:rsid w:val="00860C35"/>
    <w:rsid w:val="00862359"/>
    <w:rsid w:val="00866341"/>
    <w:rsid w:val="0086679F"/>
    <w:rsid w:val="00866C87"/>
    <w:rsid w:val="00867B6B"/>
    <w:rsid w:val="00871E2C"/>
    <w:rsid w:val="00873150"/>
    <w:rsid w:val="00876308"/>
    <w:rsid w:val="0087657D"/>
    <w:rsid w:val="00876688"/>
    <w:rsid w:val="0087796A"/>
    <w:rsid w:val="00877BC6"/>
    <w:rsid w:val="008800B0"/>
    <w:rsid w:val="008807D5"/>
    <w:rsid w:val="00880832"/>
    <w:rsid w:val="0088344A"/>
    <w:rsid w:val="0088579D"/>
    <w:rsid w:val="00885FA6"/>
    <w:rsid w:val="00886EE1"/>
    <w:rsid w:val="0088727D"/>
    <w:rsid w:val="00887724"/>
    <w:rsid w:val="008878B1"/>
    <w:rsid w:val="00887F42"/>
    <w:rsid w:val="008930F8"/>
    <w:rsid w:val="00896854"/>
    <w:rsid w:val="00896C1A"/>
    <w:rsid w:val="00897C75"/>
    <w:rsid w:val="008A2CD1"/>
    <w:rsid w:val="008A58A5"/>
    <w:rsid w:val="008A6627"/>
    <w:rsid w:val="008A727A"/>
    <w:rsid w:val="008B4F6B"/>
    <w:rsid w:val="008B66EB"/>
    <w:rsid w:val="008C1130"/>
    <w:rsid w:val="008C23FB"/>
    <w:rsid w:val="008C32C2"/>
    <w:rsid w:val="008C41A1"/>
    <w:rsid w:val="008D1251"/>
    <w:rsid w:val="008D18E6"/>
    <w:rsid w:val="008D266B"/>
    <w:rsid w:val="008D2C57"/>
    <w:rsid w:val="008D4E66"/>
    <w:rsid w:val="008D6F4E"/>
    <w:rsid w:val="008D72C8"/>
    <w:rsid w:val="008D7A9B"/>
    <w:rsid w:val="008E016C"/>
    <w:rsid w:val="008E01BB"/>
    <w:rsid w:val="008E76AC"/>
    <w:rsid w:val="008F21F6"/>
    <w:rsid w:val="008F2762"/>
    <w:rsid w:val="008F3AD1"/>
    <w:rsid w:val="008F7DF8"/>
    <w:rsid w:val="00902D65"/>
    <w:rsid w:val="00907F6E"/>
    <w:rsid w:val="0091003E"/>
    <w:rsid w:val="00910996"/>
    <w:rsid w:val="00910ED3"/>
    <w:rsid w:val="0091156D"/>
    <w:rsid w:val="00914A71"/>
    <w:rsid w:val="00915128"/>
    <w:rsid w:val="009224BC"/>
    <w:rsid w:val="00922D62"/>
    <w:rsid w:val="0092365D"/>
    <w:rsid w:val="0092368C"/>
    <w:rsid w:val="009255F3"/>
    <w:rsid w:val="00926064"/>
    <w:rsid w:val="00926FA7"/>
    <w:rsid w:val="00930458"/>
    <w:rsid w:val="0093139A"/>
    <w:rsid w:val="00946D79"/>
    <w:rsid w:val="00947BD1"/>
    <w:rsid w:val="00951F79"/>
    <w:rsid w:val="00960480"/>
    <w:rsid w:val="0096199E"/>
    <w:rsid w:val="00961D8B"/>
    <w:rsid w:val="009624C2"/>
    <w:rsid w:val="00963204"/>
    <w:rsid w:val="00963F52"/>
    <w:rsid w:val="00964CE3"/>
    <w:rsid w:val="00965B0B"/>
    <w:rsid w:val="009717CD"/>
    <w:rsid w:val="00972A31"/>
    <w:rsid w:val="00972BAF"/>
    <w:rsid w:val="00974AB5"/>
    <w:rsid w:val="00982DA1"/>
    <w:rsid w:val="00983A36"/>
    <w:rsid w:val="0098591F"/>
    <w:rsid w:val="00986778"/>
    <w:rsid w:val="0098706D"/>
    <w:rsid w:val="009872AC"/>
    <w:rsid w:val="009916E2"/>
    <w:rsid w:val="009935FB"/>
    <w:rsid w:val="00994AB6"/>
    <w:rsid w:val="00997E2A"/>
    <w:rsid w:val="00997EB8"/>
    <w:rsid w:val="00997EF8"/>
    <w:rsid w:val="009A3088"/>
    <w:rsid w:val="009A3947"/>
    <w:rsid w:val="009A4299"/>
    <w:rsid w:val="009A6443"/>
    <w:rsid w:val="009B068E"/>
    <w:rsid w:val="009B3D08"/>
    <w:rsid w:val="009C097E"/>
    <w:rsid w:val="009C2B70"/>
    <w:rsid w:val="009C4723"/>
    <w:rsid w:val="009C65DF"/>
    <w:rsid w:val="009C706B"/>
    <w:rsid w:val="009C70EE"/>
    <w:rsid w:val="009D0960"/>
    <w:rsid w:val="009E1437"/>
    <w:rsid w:val="009E1671"/>
    <w:rsid w:val="009F4A54"/>
    <w:rsid w:val="009F4BEC"/>
    <w:rsid w:val="00A010D2"/>
    <w:rsid w:val="00A06AAB"/>
    <w:rsid w:val="00A0784B"/>
    <w:rsid w:val="00A156A7"/>
    <w:rsid w:val="00A171FA"/>
    <w:rsid w:val="00A174C6"/>
    <w:rsid w:val="00A22C01"/>
    <w:rsid w:val="00A2456A"/>
    <w:rsid w:val="00A24790"/>
    <w:rsid w:val="00A25FD7"/>
    <w:rsid w:val="00A30923"/>
    <w:rsid w:val="00A31C4C"/>
    <w:rsid w:val="00A32EB1"/>
    <w:rsid w:val="00A357B5"/>
    <w:rsid w:val="00A358AB"/>
    <w:rsid w:val="00A402E3"/>
    <w:rsid w:val="00A407DC"/>
    <w:rsid w:val="00A430B0"/>
    <w:rsid w:val="00A43AFF"/>
    <w:rsid w:val="00A477A6"/>
    <w:rsid w:val="00A5133F"/>
    <w:rsid w:val="00A51E70"/>
    <w:rsid w:val="00A52D2C"/>
    <w:rsid w:val="00A56375"/>
    <w:rsid w:val="00A579A1"/>
    <w:rsid w:val="00A60DB0"/>
    <w:rsid w:val="00A60F37"/>
    <w:rsid w:val="00A63714"/>
    <w:rsid w:val="00A65619"/>
    <w:rsid w:val="00A659AD"/>
    <w:rsid w:val="00A70017"/>
    <w:rsid w:val="00A7064D"/>
    <w:rsid w:val="00A707FD"/>
    <w:rsid w:val="00A71E6F"/>
    <w:rsid w:val="00A724E1"/>
    <w:rsid w:val="00A72AD7"/>
    <w:rsid w:val="00A74D46"/>
    <w:rsid w:val="00A7793A"/>
    <w:rsid w:val="00A808AF"/>
    <w:rsid w:val="00A817E8"/>
    <w:rsid w:val="00A83A0E"/>
    <w:rsid w:val="00A85716"/>
    <w:rsid w:val="00A85C33"/>
    <w:rsid w:val="00A86DD5"/>
    <w:rsid w:val="00A871C1"/>
    <w:rsid w:val="00A87321"/>
    <w:rsid w:val="00A92FE5"/>
    <w:rsid w:val="00A93732"/>
    <w:rsid w:val="00A938BD"/>
    <w:rsid w:val="00A97BD1"/>
    <w:rsid w:val="00AA0BEA"/>
    <w:rsid w:val="00AA295E"/>
    <w:rsid w:val="00AA2C28"/>
    <w:rsid w:val="00AA6583"/>
    <w:rsid w:val="00AA71B4"/>
    <w:rsid w:val="00AB0CB6"/>
    <w:rsid w:val="00AB41C9"/>
    <w:rsid w:val="00AB43D1"/>
    <w:rsid w:val="00AB59ED"/>
    <w:rsid w:val="00AB6CA7"/>
    <w:rsid w:val="00AC1520"/>
    <w:rsid w:val="00AC3EC7"/>
    <w:rsid w:val="00AC5E03"/>
    <w:rsid w:val="00AC619A"/>
    <w:rsid w:val="00AC7098"/>
    <w:rsid w:val="00AC7D4D"/>
    <w:rsid w:val="00AC7DEB"/>
    <w:rsid w:val="00AD01E4"/>
    <w:rsid w:val="00AD0858"/>
    <w:rsid w:val="00AD3BC4"/>
    <w:rsid w:val="00AE567D"/>
    <w:rsid w:val="00AE7340"/>
    <w:rsid w:val="00AF1BBD"/>
    <w:rsid w:val="00AF222A"/>
    <w:rsid w:val="00AF3769"/>
    <w:rsid w:val="00AF6573"/>
    <w:rsid w:val="00B00247"/>
    <w:rsid w:val="00B00A96"/>
    <w:rsid w:val="00B02DA1"/>
    <w:rsid w:val="00B06429"/>
    <w:rsid w:val="00B064FB"/>
    <w:rsid w:val="00B0735F"/>
    <w:rsid w:val="00B10207"/>
    <w:rsid w:val="00B11640"/>
    <w:rsid w:val="00B13A74"/>
    <w:rsid w:val="00B141E7"/>
    <w:rsid w:val="00B14620"/>
    <w:rsid w:val="00B235A2"/>
    <w:rsid w:val="00B33A91"/>
    <w:rsid w:val="00B34DF9"/>
    <w:rsid w:val="00B351B4"/>
    <w:rsid w:val="00B4045F"/>
    <w:rsid w:val="00B41266"/>
    <w:rsid w:val="00B41ADF"/>
    <w:rsid w:val="00B427F0"/>
    <w:rsid w:val="00B46BCA"/>
    <w:rsid w:val="00B54B7B"/>
    <w:rsid w:val="00B55DD5"/>
    <w:rsid w:val="00B56008"/>
    <w:rsid w:val="00B562DA"/>
    <w:rsid w:val="00B57057"/>
    <w:rsid w:val="00B601BE"/>
    <w:rsid w:val="00B60305"/>
    <w:rsid w:val="00B61258"/>
    <w:rsid w:val="00B61D4C"/>
    <w:rsid w:val="00B61ED1"/>
    <w:rsid w:val="00B6392B"/>
    <w:rsid w:val="00B64EB6"/>
    <w:rsid w:val="00B66693"/>
    <w:rsid w:val="00B676BC"/>
    <w:rsid w:val="00B70075"/>
    <w:rsid w:val="00B71953"/>
    <w:rsid w:val="00B774C9"/>
    <w:rsid w:val="00B7799D"/>
    <w:rsid w:val="00B81D75"/>
    <w:rsid w:val="00B838AF"/>
    <w:rsid w:val="00B868A0"/>
    <w:rsid w:val="00B86D6F"/>
    <w:rsid w:val="00B87806"/>
    <w:rsid w:val="00B87BBC"/>
    <w:rsid w:val="00B87EC9"/>
    <w:rsid w:val="00B9132C"/>
    <w:rsid w:val="00B91ECA"/>
    <w:rsid w:val="00B92EAC"/>
    <w:rsid w:val="00B97E75"/>
    <w:rsid w:val="00BA06FD"/>
    <w:rsid w:val="00BA4414"/>
    <w:rsid w:val="00BA7C9B"/>
    <w:rsid w:val="00BB66EF"/>
    <w:rsid w:val="00BC18F3"/>
    <w:rsid w:val="00BC197F"/>
    <w:rsid w:val="00BC2971"/>
    <w:rsid w:val="00BC38FD"/>
    <w:rsid w:val="00BC6E9E"/>
    <w:rsid w:val="00BC7C8E"/>
    <w:rsid w:val="00BD16A7"/>
    <w:rsid w:val="00BD3306"/>
    <w:rsid w:val="00BD61AB"/>
    <w:rsid w:val="00BD6E6B"/>
    <w:rsid w:val="00BE168A"/>
    <w:rsid w:val="00BE26BF"/>
    <w:rsid w:val="00BE3816"/>
    <w:rsid w:val="00BE74B3"/>
    <w:rsid w:val="00BF14EE"/>
    <w:rsid w:val="00BF6515"/>
    <w:rsid w:val="00C034CB"/>
    <w:rsid w:val="00C051A8"/>
    <w:rsid w:val="00C054BC"/>
    <w:rsid w:val="00C06839"/>
    <w:rsid w:val="00C07F8F"/>
    <w:rsid w:val="00C10994"/>
    <w:rsid w:val="00C12AD7"/>
    <w:rsid w:val="00C12DAE"/>
    <w:rsid w:val="00C17897"/>
    <w:rsid w:val="00C20249"/>
    <w:rsid w:val="00C24E2C"/>
    <w:rsid w:val="00C25071"/>
    <w:rsid w:val="00C25B0A"/>
    <w:rsid w:val="00C30E16"/>
    <w:rsid w:val="00C31FCD"/>
    <w:rsid w:val="00C37E05"/>
    <w:rsid w:val="00C409D5"/>
    <w:rsid w:val="00C434A5"/>
    <w:rsid w:val="00C44666"/>
    <w:rsid w:val="00C44D02"/>
    <w:rsid w:val="00C46F2C"/>
    <w:rsid w:val="00C47FCD"/>
    <w:rsid w:val="00C503CC"/>
    <w:rsid w:val="00C5377D"/>
    <w:rsid w:val="00C56593"/>
    <w:rsid w:val="00C565A9"/>
    <w:rsid w:val="00C6234B"/>
    <w:rsid w:val="00C63EAE"/>
    <w:rsid w:val="00C64847"/>
    <w:rsid w:val="00C72C95"/>
    <w:rsid w:val="00C73A57"/>
    <w:rsid w:val="00C750AB"/>
    <w:rsid w:val="00C7629F"/>
    <w:rsid w:val="00C76456"/>
    <w:rsid w:val="00C81AA6"/>
    <w:rsid w:val="00C82391"/>
    <w:rsid w:val="00C8400C"/>
    <w:rsid w:val="00C85AF7"/>
    <w:rsid w:val="00C8661B"/>
    <w:rsid w:val="00C90083"/>
    <w:rsid w:val="00C90D71"/>
    <w:rsid w:val="00C9347D"/>
    <w:rsid w:val="00C940F4"/>
    <w:rsid w:val="00C9413A"/>
    <w:rsid w:val="00C961ED"/>
    <w:rsid w:val="00C97E49"/>
    <w:rsid w:val="00CA0EC4"/>
    <w:rsid w:val="00CA139A"/>
    <w:rsid w:val="00CA2899"/>
    <w:rsid w:val="00CA6E8D"/>
    <w:rsid w:val="00CA7569"/>
    <w:rsid w:val="00CA77FB"/>
    <w:rsid w:val="00CB11D3"/>
    <w:rsid w:val="00CB24F6"/>
    <w:rsid w:val="00CB357B"/>
    <w:rsid w:val="00CB379B"/>
    <w:rsid w:val="00CB3874"/>
    <w:rsid w:val="00CB4129"/>
    <w:rsid w:val="00CB5DD0"/>
    <w:rsid w:val="00CB5F65"/>
    <w:rsid w:val="00CB6723"/>
    <w:rsid w:val="00CC2E37"/>
    <w:rsid w:val="00CC3678"/>
    <w:rsid w:val="00CC51D4"/>
    <w:rsid w:val="00CC5C8B"/>
    <w:rsid w:val="00CC65DA"/>
    <w:rsid w:val="00CD7F20"/>
    <w:rsid w:val="00CE0BBD"/>
    <w:rsid w:val="00CE217C"/>
    <w:rsid w:val="00CE3C73"/>
    <w:rsid w:val="00CE5D11"/>
    <w:rsid w:val="00CE7727"/>
    <w:rsid w:val="00CF126A"/>
    <w:rsid w:val="00CF12E7"/>
    <w:rsid w:val="00CF21B9"/>
    <w:rsid w:val="00CF2F2C"/>
    <w:rsid w:val="00CF4F5D"/>
    <w:rsid w:val="00CF58AC"/>
    <w:rsid w:val="00CF6BF9"/>
    <w:rsid w:val="00D00283"/>
    <w:rsid w:val="00D0051D"/>
    <w:rsid w:val="00D00539"/>
    <w:rsid w:val="00D03511"/>
    <w:rsid w:val="00D0354E"/>
    <w:rsid w:val="00D03800"/>
    <w:rsid w:val="00D03C5A"/>
    <w:rsid w:val="00D0462C"/>
    <w:rsid w:val="00D065D3"/>
    <w:rsid w:val="00D07C9E"/>
    <w:rsid w:val="00D10716"/>
    <w:rsid w:val="00D10732"/>
    <w:rsid w:val="00D10A0B"/>
    <w:rsid w:val="00D14C94"/>
    <w:rsid w:val="00D166A2"/>
    <w:rsid w:val="00D226F9"/>
    <w:rsid w:val="00D231F9"/>
    <w:rsid w:val="00D2778B"/>
    <w:rsid w:val="00D3260F"/>
    <w:rsid w:val="00D342A6"/>
    <w:rsid w:val="00D34913"/>
    <w:rsid w:val="00D34E3A"/>
    <w:rsid w:val="00D365D0"/>
    <w:rsid w:val="00D4069E"/>
    <w:rsid w:val="00D4266E"/>
    <w:rsid w:val="00D433C9"/>
    <w:rsid w:val="00D44DC5"/>
    <w:rsid w:val="00D45C95"/>
    <w:rsid w:val="00D464BF"/>
    <w:rsid w:val="00D471B4"/>
    <w:rsid w:val="00D5010A"/>
    <w:rsid w:val="00D50D88"/>
    <w:rsid w:val="00D518CD"/>
    <w:rsid w:val="00D53E26"/>
    <w:rsid w:val="00D62375"/>
    <w:rsid w:val="00D629B3"/>
    <w:rsid w:val="00D63423"/>
    <w:rsid w:val="00D65761"/>
    <w:rsid w:val="00D74BD7"/>
    <w:rsid w:val="00D76D14"/>
    <w:rsid w:val="00D80023"/>
    <w:rsid w:val="00D8151C"/>
    <w:rsid w:val="00D82DA9"/>
    <w:rsid w:val="00D832D0"/>
    <w:rsid w:val="00D83EBD"/>
    <w:rsid w:val="00D84794"/>
    <w:rsid w:val="00D90F43"/>
    <w:rsid w:val="00D9102B"/>
    <w:rsid w:val="00D953FB"/>
    <w:rsid w:val="00D96DCB"/>
    <w:rsid w:val="00DA1FC0"/>
    <w:rsid w:val="00DA2339"/>
    <w:rsid w:val="00DA29A3"/>
    <w:rsid w:val="00DA2FDC"/>
    <w:rsid w:val="00DA320E"/>
    <w:rsid w:val="00DA3CC4"/>
    <w:rsid w:val="00DA50FB"/>
    <w:rsid w:val="00DA6FBD"/>
    <w:rsid w:val="00DB2378"/>
    <w:rsid w:val="00DB2E37"/>
    <w:rsid w:val="00DB35CB"/>
    <w:rsid w:val="00DB3B84"/>
    <w:rsid w:val="00DB717F"/>
    <w:rsid w:val="00DC2127"/>
    <w:rsid w:val="00DC43D0"/>
    <w:rsid w:val="00DC663C"/>
    <w:rsid w:val="00DC6A98"/>
    <w:rsid w:val="00DD4F0E"/>
    <w:rsid w:val="00DD764F"/>
    <w:rsid w:val="00DE32AF"/>
    <w:rsid w:val="00DF0EA3"/>
    <w:rsid w:val="00DF1CE9"/>
    <w:rsid w:val="00DF20AA"/>
    <w:rsid w:val="00DF33E5"/>
    <w:rsid w:val="00DF4B43"/>
    <w:rsid w:val="00DF544C"/>
    <w:rsid w:val="00DF78A1"/>
    <w:rsid w:val="00E04EB4"/>
    <w:rsid w:val="00E052E6"/>
    <w:rsid w:val="00E05E0A"/>
    <w:rsid w:val="00E0661E"/>
    <w:rsid w:val="00E069BC"/>
    <w:rsid w:val="00E07593"/>
    <w:rsid w:val="00E13ADC"/>
    <w:rsid w:val="00E15545"/>
    <w:rsid w:val="00E16215"/>
    <w:rsid w:val="00E201AA"/>
    <w:rsid w:val="00E20A6C"/>
    <w:rsid w:val="00E236F5"/>
    <w:rsid w:val="00E23924"/>
    <w:rsid w:val="00E25E37"/>
    <w:rsid w:val="00E3081A"/>
    <w:rsid w:val="00E3491E"/>
    <w:rsid w:val="00E37240"/>
    <w:rsid w:val="00E401C0"/>
    <w:rsid w:val="00E42A71"/>
    <w:rsid w:val="00E43E33"/>
    <w:rsid w:val="00E4431D"/>
    <w:rsid w:val="00E450A9"/>
    <w:rsid w:val="00E458A9"/>
    <w:rsid w:val="00E51C66"/>
    <w:rsid w:val="00E51E9D"/>
    <w:rsid w:val="00E534CF"/>
    <w:rsid w:val="00E53594"/>
    <w:rsid w:val="00E53D9F"/>
    <w:rsid w:val="00E53F19"/>
    <w:rsid w:val="00E54CC1"/>
    <w:rsid w:val="00E60668"/>
    <w:rsid w:val="00E60684"/>
    <w:rsid w:val="00E642E2"/>
    <w:rsid w:val="00E64B8B"/>
    <w:rsid w:val="00E670C2"/>
    <w:rsid w:val="00E678CC"/>
    <w:rsid w:val="00E723A2"/>
    <w:rsid w:val="00E7392D"/>
    <w:rsid w:val="00E7744C"/>
    <w:rsid w:val="00E81CB4"/>
    <w:rsid w:val="00E82DC3"/>
    <w:rsid w:val="00E8585B"/>
    <w:rsid w:val="00E85DA8"/>
    <w:rsid w:val="00E947BC"/>
    <w:rsid w:val="00EA1D19"/>
    <w:rsid w:val="00EA24C2"/>
    <w:rsid w:val="00EA3F15"/>
    <w:rsid w:val="00EA7847"/>
    <w:rsid w:val="00EB17F3"/>
    <w:rsid w:val="00EB4198"/>
    <w:rsid w:val="00EC4B53"/>
    <w:rsid w:val="00EC53EC"/>
    <w:rsid w:val="00ED0A06"/>
    <w:rsid w:val="00ED3313"/>
    <w:rsid w:val="00ED4A9C"/>
    <w:rsid w:val="00ED6D8C"/>
    <w:rsid w:val="00EE2E6E"/>
    <w:rsid w:val="00EE3C00"/>
    <w:rsid w:val="00EE4AD8"/>
    <w:rsid w:val="00EF09EF"/>
    <w:rsid w:val="00EF14CA"/>
    <w:rsid w:val="00EF3A10"/>
    <w:rsid w:val="00EF5307"/>
    <w:rsid w:val="00EF58AC"/>
    <w:rsid w:val="00F049F5"/>
    <w:rsid w:val="00F0759E"/>
    <w:rsid w:val="00F11977"/>
    <w:rsid w:val="00F122D2"/>
    <w:rsid w:val="00F156F7"/>
    <w:rsid w:val="00F26D08"/>
    <w:rsid w:val="00F37070"/>
    <w:rsid w:val="00F37454"/>
    <w:rsid w:val="00F458F8"/>
    <w:rsid w:val="00F46509"/>
    <w:rsid w:val="00F5028C"/>
    <w:rsid w:val="00F506A2"/>
    <w:rsid w:val="00F538A3"/>
    <w:rsid w:val="00F555FF"/>
    <w:rsid w:val="00F605A7"/>
    <w:rsid w:val="00F72CE0"/>
    <w:rsid w:val="00F7369B"/>
    <w:rsid w:val="00F77D4B"/>
    <w:rsid w:val="00F821A3"/>
    <w:rsid w:val="00F82760"/>
    <w:rsid w:val="00F87BF3"/>
    <w:rsid w:val="00F9166B"/>
    <w:rsid w:val="00F9314A"/>
    <w:rsid w:val="00F9505C"/>
    <w:rsid w:val="00FA0101"/>
    <w:rsid w:val="00FA234B"/>
    <w:rsid w:val="00FA4696"/>
    <w:rsid w:val="00FA4898"/>
    <w:rsid w:val="00FA4B34"/>
    <w:rsid w:val="00FA5BF9"/>
    <w:rsid w:val="00FA73F0"/>
    <w:rsid w:val="00FB177E"/>
    <w:rsid w:val="00FB53D4"/>
    <w:rsid w:val="00FC003E"/>
    <w:rsid w:val="00FC03F5"/>
    <w:rsid w:val="00FC1BB4"/>
    <w:rsid w:val="00FC1F37"/>
    <w:rsid w:val="00FC58EF"/>
    <w:rsid w:val="00FC5B5C"/>
    <w:rsid w:val="00FC78D7"/>
    <w:rsid w:val="00FD18B3"/>
    <w:rsid w:val="00FD33DF"/>
    <w:rsid w:val="00FD3AD2"/>
    <w:rsid w:val="00FD4E65"/>
    <w:rsid w:val="00FD6ACD"/>
    <w:rsid w:val="00FD71B7"/>
    <w:rsid w:val="00FD7FF1"/>
    <w:rsid w:val="00FE18F4"/>
    <w:rsid w:val="00FE323E"/>
    <w:rsid w:val="00FE39D7"/>
    <w:rsid w:val="00FE51C5"/>
    <w:rsid w:val="00FF060C"/>
    <w:rsid w:val="00FF121E"/>
    <w:rsid w:val="00FF2B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D1"/>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iPriority w:val="9"/>
    <w:semiHidden/>
    <w:unhideWhenUsed/>
    <w:qFormat/>
    <w:rsid w:val="005A4395"/>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C20249"/>
    <w:pPr>
      <w:spacing w:before="240" w:after="60"/>
      <w:ind w:left="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customStyle="1" w:styleId="Estilo2">
    <w:name w:val="Estilo2"/>
    <w:basedOn w:val="Estilo1"/>
    <w:link w:val="Estilo2Car"/>
    <w:rsid w:val="00D34E3A"/>
    <w:pPr>
      <w:keepNext/>
      <w:widowControl w:val="0"/>
      <w:numPr>
        <w:numId w:val="7"/>
      </w:numPr>
      <w:shd w:val="clear" w:color="auto" w:fill="auto"/>
      <w:adjustRightInd w:val="0"/>
      <w:jc w:val="both"/>
      <w:textAlignment w:val="baseline"/>
      <w:outlineLvl w:val="0"/>
    </w:pPr>
    <w:rPr>
      <w:rFonts w:ascii="Bookman Old Style" w:hAnsi="Bookman Old Style"/>
      <w:b/>
      <w:bCs/>
      <w:color w:val="auto"/>
      <w:sz w:val="24"/>
      <w:szCs w:val="24"/>
      <w:lang w:val="es-ES" w:eastAsia="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stilo2Car">
    <w:name w:val="Estilo2 Car"/>
    <w:link w:val="Estilo2"/>
    <w:rsid w:val="00D34E3A"/>
    <w:rPr>
      <w:rFonts w:ascii="Bookman Old Style" w:hAnsi="Bookman Old Style"/>
      <w:b/>
      <w:bCs/>
      <w:sz w:val="24"/>
      <w:szCs w:val="24"/>
      <w:lang w:eastAsia="ar-SA"/>
    </w:rPr>
  </w:style>
  <w:style w:type="paragraph" w:styleId="Mapadeldocumento">
    <w:name w:val="Document Map"/>
    <w:basedOn w:val="Normal"/>
    <w:link w:val="MapadeldocumentoCar"/>
    <w:uiPriority w:val="99"/>
    <w:semiHidden/>
    <w:unhideWhenUsed/>
    <w:rsid w:val="00D34E3A"/>
    <w:rPr>
      <w:rFonts w:ascii="Tahoma" w:hAnsi="Tahoma" w:cs="Tahoma"/>
      <w:sz w:val="16"/>
      <w:szCs w:val="16"/>
    </w:rPr>
  </w:style>
  <w:style w:type="character" w:customStyle="1" w:styleId="MapadeldocumentoCar">
    <w:name w:val="Mapa del documento Car"/>
    <w:link w:val="Mapadeldocumento"/>
    <w:uiPriority w:val="99"/>
    <w:semiHidden/>
    <w:rsid w:val="00D34E3A"/>
    <w:rPr>
      <w:rFonts w:ascii="Tahoma" w:hAnsi="Tahoma" w:cs="Tahoma"/>
      <w:sz w:val="16"/>
      <w:szCs w:val="16"/>
      <w:lang w:val="es-ES" w:eastAsia="es-ES"/>
    </w:rPr>
  </w:style>
  <w:style w:type="character" w:styleId="Refdecomentario">
    <w:name w:val="annotation reference"/>
    <w:uiPriority w:val="99"/>
    <w:semiHidden/>
    <w:unhideWhenUsed/>
    <w:rsid w:val="002C4E91"/>
    <w:rPr>
      <w:sz w:val="16"/>
      <w:szCs w:val="16"/>
    </w:rPr>
  </w:style>
  <w:style w:type="paragraph" w:styleId="Textocomentario">
    <w:name w:val="annotation text"/>
    <w:basedOn w:val="Normal"/>
    <w:link w:val="TextocomentarioCar"/>
    <w:uiPriority w:val="99"/>
    <w:semiHidden/>
    <w:unhideWhenUsed/>
    <w:rsid w:val="002C4E91"/>
    <w:rPr>
      <w:sz w:val="20"/>
      <w:szCs w:val="20"/>
    </w:rPr>
  </w:style>
  <w:style w:type="character" w:customStyle="1" w:styleId="TextocomentarioCar">
    <w:name w:val="Texto comentario Car"/>
    <w:link w:val="Textocomentario"/>
    <w:uiPriority w:val="99"/>
    <w:semiHidden/>
    <w:rsid w:val="002C4E91"/>
    <w:rPr>
      <w:lang w:val="es-ES" w:eastAsia="es-ES"/>
    </w:rPr>
  </w:style>
  <w:style w:type="paragraph" w:styleId="Asuntodelcomentario">
    <w:name w:val="annotation subject"/>
    <w:basedOn w:val="Textocomentario"/>
    <w:next w:val="Textocomentario"/>
    <w:link w:val="AsuntodelcomentarioCar"/>
    <w:uiPriority w:val="99"/>
    <w:semiHidden/>
    <w:unhideWhenUsed/>
    <w:rsid w:val="002C4E91"/>
    <w:rPr>
      <w:b/>
      <w:bCs/>
    </w:rPr>
  </w:style>
  <w:style w:type="character" w:customStyle="1" w:styleId="AsuntodelcomentarioCar">
    <w:name w:val="Asunto del comentario Car"/>
    <w:link w:val="Asuntodelcomentario"/>
    <w:uiPriority w:val="99"/>
    <w:semiHidden/>
    <w:rsid w:val="002C4E91"/>
    <w:rPr>
      <w:b/>
      <w:bCs/>
      <w:lang w:val="es-ES" w:eastAsia="es-ES"/>
    </w:rPr>
  </w:style>
  <w:style w:type="paragraph" w:styleId="NormalWeb">
    <w:name w:val="Normal (Web)"/>
    <w:basedOn w:val="Normal"/>
    <w:uiPriority w:val="99"/>
    <w:unhideWhenUsed/>
    <w:rsid w:val="008C23FB"/>
    <w:pPr>
      <w:spacing w:before="100" w:beforeAutospacing="1" w:after="100" w:afterAutospacing="1"/>
      <w:ind w:left="0"/>
    </w:pPr>
  </w:style>
  <w:style w:type="paragraph" w:styleId="Textonotaalfinal">
    <w:name w:val="endnote text"/>
    <w:basedOn w:val="Normal"/>
    <w:link w:val="TextonotaalfinalCar"/>
    <w:uiPriority w:val="99"/>
    <w:semiHidden/>
    <w:unhideWhenUsed/>
    <w:rsid w:val="002C206D"/>
    <w:rPr>
      <w:sz w:val="20"/>
      <w:szCs w:val="20"/>
    </w:rPr>
  </w:style>
  <w:style w:type="character" w:customStyle="1" w:styleId="TextonotaalfinalCar">
    <w:name w:val="Texto nota al final Car"/>
    <w:link w:val="Textonotaalfinal"/>
    <w:uiPriority w:val="99"/>
    <w:semiHidden/>
    <w:rsid w:val="002C206D"/>
    <w:rPr>
      <w:lang w:val="es-ES" w:eastAsia="es-ES"/>
    </w:rPr>
  </w:style>
  <w:style w:type="character" w:styleId="Refdenotaalfinal">
    <w:name w:val="endnote reference"/>
    <w:uiPriority w:val="99"/>
    <w:semiHidden/>
    <w:unhideWhenUsed/>
    <w:rsid w:val="002C206D"/>
    <w:rPr>
      <w:vertAlign w:val="superscript"/>
    </w:rPr>
  </w:style>
  <w:style w:type="paragraph" w:styleId="Textonotapie">
    <w:name w:val="footnote text"/>
    <w:aliases w:val="fn,footnote text"/>
    <w:basedOn w:val="Normal"/>
    <w:link w:val="TextonotapieCar"/>
    <w:uiPriority w:val="99"/>
    <w:semiHidden/>
    <w:rsid w:val="004433CD"/>
    <w:pPr>
      <w:ind w:left="0"/>
      <w:jc w:val="both"/>
    </w:pPr>
    <w:rPr>
      <w:rFonts w:ascii="Bookman Old Style" w:hAnsi="Bookman Old Style"/>
      <w:szCs w:val="20"/>
      <w:lang w:val="en-US"/>
    </w:rPr>
  </w:style>
  <w:style w:type="character" w:customStyle="1" w:styleId="TextonotapieCar">
    <w:name w:val="Texto nota pie Car"/>
    <w:aliases w:val="fn Car,footnote text Car"/>
    <w:link w:val="Textonotapie"/>
    <w:uiPriority w:val="99"/>
    <w:semiHidden/>
    <w:rsid w:val="004433CD"/>
    <w:rPr>
      <w:rFonts w:ascii="Bookman Old Style" w:hAnsi="Bookman Old Style"/>
      <w:sz w:val="24"/>
      <w:lang w:val="en-US" w:eastAsia="es-ES"/>
    </w:rPr>
  </w:style>
  <w:style w:type="character" w:styleId="Refdenotaalpie">
    <w:name w:val="footnote reference"/>
    <w:uiPriority w:val="99"/>
    <w:semiHidden/>
    <w:rsid w:val="004433CD"/>
    <w:rPr>
      <w:vertAlign w:val="superscript"/>
    </w:rPr>
  </w:style>
  <w:style w:type="paragraph" w:customStyle="1" w:styleId="Estilo4">
    <w:name w:val="Estilo4"/>
    <w:basedOn w:val="Normal"/>
    <w:link w:val="Estilo4Car"/>
    <w:qFormat/>
    <w:rsid w:val="00FC1BB4"/>
    <w:pPr>
      <w:keepNext/>
      <w:ind w:left="0"/>
      <w:jc w:val="center"/>
      <w:outlineLvl w:val="0"/>
    </w:pPr>
    <w:rPr>
      <w:rFonts w:ascii="Arial" w:hAnsi="Arial"/>
      <w:b/>
      <w:kern w:val="28"/>
      <w:sz w:val="22"/>
      <w:szCs w:val="22"/>
      <w:lang w:val="es-ES_tradnl" w:eastAsia="es-CO"/>
    </w:rPr>
  </w:style>
  <w:style w:type="character" w:customStyle="1" w:styleId="Estilo4Car">
    <w:name w:val="Estilo4 Car"/>
    <w:link w:val="Estilo4"/>
    <w:rsid w:val="00FC1BB4"/>
    <w:rPr>
      <w:rFonts w:ascii="Arial" w:hAnsi="Arial"/>
      <w:b/>
      <w:kern w:val="28"/>
      <w:sz w:val="22"/>
      <w:szCs w:val="22"/>
      <w:lang w:val="es-ES_tradnl"/>
    </w:rPr>
  </w:style>
  <w:style w:type="paragraph" w:customStyle="1" w:styleId="Estilo5">
    <w:name w:val="Estilo5"/>
    <w:basedOn w:val="Estilo1"/>
    <w:qFormat/>
    <w:rsid w:val="00FC1BB4"/>
    <w:pPr>
      <w:keepNext/>
      <w:numPr>
        <w:numId w:val="44"/>
      </w:numPr>
      <w:shd w:val="clear" w:color="auto" w:fill="auto"/>
      <w:spacing w:before="240" w:after="60"/>
      <w:jc w:val="both"/>
      <w:outlineLvl w:val="0"/>
    </w:pPr>
    <w:rPr>
      <w:rFonts w:ascii="Arial" w:hAnsi="Arial"/>
      <w:b/>
      <w:color w:val="auto"/>
      <w:kern w:val="28"/>
      <w:sz w:val="22"/>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paragraph" w:styleId="Revisin">
    <w:name w:val="Revision"/>
    <w:hidden/>
    <w:uiPriority w:val="99"/>
    <w:semiHidden/>
    <w:rsid w:val="00DA29A3"/>
    <w:rPr>
      <w:sz w:val="24"/>
      <w:szCs w:val="24"/>
      <w:lang w:val="es-ES" w:eastAsia="es-ES"/>
    </w:rPr>
  </w:style>
  <w:style w:type="character" w:customStyle="1" w:styleId="Ttulo2Car">
    <w:name w:val="Título 2 Car"/>
    <w:link w:val="Ttulo2"/>
    <w:uiPriority w:val="9"/>
    <w:semiHidden/>
    <w:rsid w:val="005A4395"/>
    <w:rPr>
      <w:rFonts w:ascii="Cambria" w:eastAsia="Times New Roman" w:hAnsi="Cambria" w:cs="Times New Roman"/>
      <w:b/>
      <w:bCs/>
      <w:i/>
      <w:iCs/>
      <w:sz w:val="28"/>
      <w:szCs w:val="28"/>
      <w:lang w:val="es-ES" w:eastAsia="es-ES"/>
    </w:rPr>
  </w:style>
  <w:style w:type="paragraph" w:customStyle="1" w:styleId="Estilo8">
    <w:name w:val="Estilo8"/>
    <w:basedOn w:val="Normal"/>
    <w:qFormat/>
    <w:rsid w:val="009C097E"/>
    <w:pPr>
      <w:ind w:left="0"/>
    </w:pPr>
    <w:rPr>
      <w:rFonts w:ascii="Arial" w:hAnsi="Arial" w:cs="Arial"/>
      <w:sz w:val="22"/>
      <w:szCs w:val="22"/>
      <w:lang w:val="es-ES_tradnl" w:eastAsia="es-CO"/>
    </w:rPr>
  </w:style>
  <w:style w:type="paragraph" w:customStyle="1" w:styleId="Textoindependiente21">
    <w:name w:val="Texto independiente 21"/>
    <w:basedOn w:val="Normal"/>
    <w:rsid w:val="00454716"/>
    <w:pPr>
      <w:overflowPunct w:val="0"/>
      <w:autoSpaceDE w:val="0"/>
      <w:autoSpaceDN w:val="0"/>
      <w:adjustRightInd w:val="0"/>
      <w:ind w:left="0" w:right="20"/>
      <w:jc w:val="both"/>
      <w:textAlignment w:val="baseline"/>
    </w:pPr>
    <w:rPr>
      <w:rFonts w:ascii="Bookman Old Style" w:hAnsi="Bookman Old Style"/>
      <w:sz w:val="22"/>
      <w:szCs w:val="20"/>
      <w:lang w:val="es-ES_tradnl"/>
    </w:rPr>
  </w:style>
  <w:style w:type="character" w:customStyle="1" w:styleId="Ttulo7Car">
    <w:name w:val="Título 7 Car"/>
    <w:link w:val="Ttulo7"/>
    <w:uiPriority w:val="9"/>
    <w:semiHidden/>
    <w:rsid w:val="00C20249"/>
    <w:rPr>
      <w:rFonts w:ascii="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D1"/>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iPriority w:val="9"/>
    <w:semiHidden/>
    <w:unhideWhenUsed/>
    <w:qFormat/>
    <w:rsid w:val="005A4395"/>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C20249"/>
    <w:pPr>
      <w:spacing w:before="240" w:after="60"/>
      <w:ind w:left="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customStyle="1" w:styleId="Estilo2">
    <w:name w:val="Estilo2"/>
    <w:basedOn w:val="Estilo1"/>
    <w:link w:val="Estilo2Car"/>
    <w:rsid w:val="00D34E3A"/>
    <w:pPr>
      <w:keepNext/>
      <w:widowControl w:val="0"/>
      <w:numPr>
        <w:numId w:val="7"/>
      </w:numPr>
      <w:shd w:val="clear" w:color="auto" w:fill="auto"/>
      <w:adjustRightInd w:val="0"/>
      <w:jc w:val="both"/>
      <w:textAlignment w:val="baseline"/>
      <w:outlineLvl w:val="0"/>
    </w:pPr>
    <w:rPr>
      <w:rFonts w:ascii="Bookman Old Style" w:hAnsi="Bookman Old Style"/>
      <w:b/>
      <w:bCs/>
      <w:color w:val="auto"/>
      <w:sz w:val="24"/>
      <w:szCs w:val="24"/>
      <w:lang w:val="es-ES" w:eastAsia="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stilo2Car">
    <w:name w:val="Estilo2 Car"/>
    <w:link w:val="Estilo2"/>
    <w:rsid w:val="00D34E3A"/>
    <w:rPr>
      <w:rFonts w:ascii="Bookman Old Style" w:hAnsi="Bookman Old Style"/>
      <w:b/>
      <w:bCs/>
      <w:sz w:val="24"/>
      <w:szCs w:val="24"/>
      <w:lang w:eastAsia="ar-SA"/>
    </w:rPr>
  </w:style>
  <w:style w:type="paragraph" w:styleId="Mapadeldocumento">
    <w:name w:val="Document Map"/>
    <w:basedOn w:val="Normal"/>
    <w:link w:val="MapadeldocumentoCar"/>
    <w:uiPriority w:val="99"/>
    <w:semiHidden/>
    <w:unhideWhenUsed/>
    <w:rsid w:val="00D34E3A"/>
    <w:rPr>
      <w:rFonts w:ascii="Tahoma" w:hAnsi="Tahoma" w:cs="Tahoma"/>
      <w:sz w:val="16"/>
      <w:szCs w:val="16"/>
    </w:rPr>
  </w:style>
  <w:style w:type="character" w:customStyle="1" w:styleId="MapadeldocumentoCar">
    <w:name w:val="Mapa del documento Car"/>
    <w:link w:val="Mapadeldocumento"/>
    <w:uiPriority w:val="99"/>
    <w:semiHidden/>
    <w:rsid w:val="00D34E3A"/>
    <w:rPr>
      <w:rFonts w:ascii="Tahoma" w:hAnsi="Tahoma" w:cs="Tahoma"/>
      <w:sz w:val="16"/>
      <w:szCs w:val="16"/>
      <w:lang w:val="es-ES" w:eastAsia="es-ES"/>
    </w:rPr>
  </w:style>
  <w:style w:type="character" w:styleId="Refdecomentario">
    <w:name w:val="annotation reference"/>
    <w:uiPriority w:val="99"/>
    <w:semiHidden/>
    <w:unhideWhenUsed/>
    <w:rsid w:val="002C4E91"/>
    <w:rPr>
      <w:sz w:val="16"/>
      <w:szCs w:val="16"/>
    </w:rPr>
  </w:style>
  <w:style w:type="paragraph" w:styleId="Textocomentario">
    <w:name w:val="annotation text"/>
    <w:basedOn w:val="Normal"/>
    <w:link w:val="TextocomentarioCar"/>
    <w:uiPriority w:val="99"/>
    <w:semiHidden/>
    <w:unhideWhenUsed/>
    <w:rsid w:val="002C4E91"/>
    <w:rPr>
      <w:sz w:val="20"/>
      <w:szCs w:val="20"/>
    </w:rPr>
  </w:style>
  <w:style w:type="character" w:customStyle="1" w:styleId="TextocomentarioCar">
    <w:name w:val="Texto comentario Car"/>
    <w:link w:val="Textocomentario"/>
    <w:uiPriority w:val="99"/>
    <w:semiHidden/>
    <w:rsid w:val="002C4E91"/>
    <w:rPr>
      <w:lang w:val="es-ES" w:eastAsia="es-ES"/>
    </w:rPr>
  </w:style>
  <w:style w:type="paragraph" w:styleId="Asuntodelcomentario">
    <w:name w:val="annotation subject"/>
    <w:basedOn w:val="Textocomentario"/>
    <w:next w:val="Textocomentario"/>
    <w:link w:val="AsuntodelcomentarioCar"/>
    <w:uiPriority w:val="99"/>
    <w:semiHidden/>
    <w:unhideWhenUsed/>
    <w:rsid w:val="002C4E91"/>
    <w:rPr>
      <w:b/>
      <w:bCs/>
    </w:rPr>
  </w:style>
  <w:style w:type="character" w:customStyle="1" w:styleId="AsuntodelcomentarioCar">
    <w:name w:val="Asunto del comentario Car"/>
    <w:link w:val="Asuntodelcomentario"/>
    <w:uiPriority w:val="99"/>
    <w:semiHidden/>
    <w:rsid w:val="002C4E91"/>
    <w:rPr>
      <w:b/>
      <w:bCs/>
      <w:lang w:val="es-ES" w:eastAsia="es-ES"/>
    </w:rPr>
  </w:style>
  <w:style w:type="paragraph" w:styleId="NormalWeb">
    <w:name w:val="Normal (Web)"/>
    <w:basedOn w:val="Normal"/>
    <w:uiPriority w:val="99"/>
    <w:unhideWhenUsed/>
    <w:rsid w:val="008C23FB"/>
    <w:pPr>
      <w:spacing w:before="100" w:beforeAutospacing="1" w:after="100" w:afterAutospacing="1"/>
      <w:ind w:left="0"/>
    </w:pPr>
  </w:style>
  <w:style w:type="paragraph" w:styleId="Textonotaalfinal">
    <w:name w:val="endnote text"/>
    <w:basedOn w:val="Normal"/>
    <w:link w:val="TextonotaalfinalCar"/>
    <w:uiPriority w:val="99"/>
    <w:semiHidden/>
    <w:unhideWhenUsed/>
    <w:rsid w:val="002C206D"/>
    <w:rPr>
      <w:sz w:val="20"/>
      <w:szCs w:val="20"/>
    </w:rPr>
  </w:style>
  <w:style w:type="character" w:customStyle="1" w:styleId="TextonotaalfinalCar">
    <w:name w:val="Texto nota al final Car"/>
    <w:link w:val="Textonotaalfinal"/>
    <w:uiPriority w:val="99"/>
    <w:semiHidden/>
    <w:rsid w:val="002C206D"/>
    <w:rPr>
      <w:lang w:val="es-ES" w:eastAsia="es-ES"/>
    </w:rPr>
  </w:style>
  <w:style w:type="character" w:styleId="Refdenotaalfinal">
    <w:name w:val="endnote reference"/>
    <w:uiPriority w:val="99"/>
    <w:semiHidden/>
    <w:unhideWhenUsed/>
    <w:rsid w:val="002C206D"/>
    <w:rPr>
      <w:vertAlign w:val="superscript"/>
    </w:rPr>
  </w:style>
  <w:style w:type="paragraph" w:styleId="Textonotapie">
    <w:name w:val="footnote text"/>
    <w:aliases w:val="fn,footnote text"/>
    <w:basedOn w:val="Normal"/>
    <w:link w:val="TextonotapieCar"/>
    <w:uiPriority w:val="99"/>
    <w:semiHidden/>
    <w:rsid w:val="004433CD"/>
    <w:pPr>
      <w:ind w:left="0"/>
      <w:jc w:val="both"/>
    </w:pPr>
    <w:rPr>
      <w:rFonts w:ascii="Bookman Old Style" w:hAnsi="Bookman Old Style"/>
      <w:szCs w:val="20"/>
      <w:lang w:val="en-US"/>
    </w:rPr>
  </w:style>
  <w:style w:type="character" w:customStyle="1" w:styleId="TextonotapieCar">
    <w:name w:val="Texto nota pie Car"/>
    <w:aliases w:val="fn Car,footnote text Car"/>
    <w:link w:val="Textonotapie"/>
    <w:uiPriority w:val="99"/>
    <w:semiHidden/>
    <w:rsid w:val="004433CD"/>
    <w:rPr>
      <w:rFonts w:ascii="Bookman Old Style" w:hAnsi="Bookman Old Style"/>
      <w:sz w:val="24"/>
      <w:lang w:val="en-US" w:eastAsia="es-ES"/>
    </w:rPr>
  </w:style>
  <w:style w:type="character" w:styleId="Refdenotaalpie">
    <w:name w:val="footnote reference"/>
    <w:uiPriority w:val="99"/>
    <w:semiHidden/>
    <w:rsid w:val="004433CD"/>
    <w:rPr>
      <w:vertAlign w:val="superscript"/>
    </w:rPr>
  </w:style>
  <w:style w:type="paragraph" w:customStyle="1" w:styleId="Estilo4">
    <w:name w:val="Estilo4"/>
    <w:basedOn w:val="Normal"/>
    <w:link w:val="Estilo4Car"/>
    <w:qFormat/>
    <w:rsid w:val="00FC1BB4"/>
    <w:pPr>
      <w:keepNext/>
      <w:ind w:left="0"/>
      <w:jc w:val="center"/>
      <w:outlineLvl w:val="0"/>
    </w:pPr>
    <w:rPr>
      <w:rFonts w:ascii="Arial" w:hAnsi="Arial"/>
      <w:b/>
      <w:kern w:val="28"/>
      <w:sz w:val="22"/>
      <w:szCs w:val="22"/>
      <w:lang w:val="es-ES_tradnl" w:eastAsia="es-CO"/>
    </w:rPr>
  </w:style>
  <w:style w:type="character" w:customStyle="1" w:styleId="Estilo4Car">
    <w:name w:val="Estilo4 Car"/>
    <w:link w:val="Estilo4"/>
    <w:rsid w:val="00FC1BB4"/>
    <w:rPr>
      <w:rFonts w:ascii="Arial" w:hAnsi="Arial"/>
      <w:b/>
      <w:kern w:val="28"/>
      <w:sz w:val="22"/>
      <w:szCs w:val="22"/>
      <w:lang w:val="es-ES_tradnl"/>
    </w:rPr>
  </w:style>
  <w:style w:type="paragraph" w:customStyle="1" w:styleId="Estilo5">
    <w:name w:val="Estilo5"/>
    <w:basedOn w:val="Estilo1"/>
    <w:qFormat/>
    <w:rsid w:val="00FC1BB4"/>
    <w:pPr>
      <w:keepNext/>
      <w:numPr>
        <w:numId w:val="44"/>
      </w:numPr>
      <w:shd w:val="clear" w:color="auto" w:fill="auto"/>
      <w:spacing w:before="240" w:after="60"/>
      <w:jc w:val="both"/>
      <w:outlineLvl w:val="0"/>
    </w:pPr>
    <w:rPr>
      <w:rFonts w:ascii="Arial" w:hAnsi="Arial"/>
      <w:b/>
      <w:color w:val="auto"/>
      <w:kern w:val="28"/>
      <w:sz w:val="22"/>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paragraph" w:styleId="Revisin">
    <w:name w:val="Revision"/>
    <w:hidden/>
    <w:uiPriority w:val="99"/>
    <w:semiHidden/>
    <w:rsid w:val="00DA29A3"/>
    <w:rPr>
      <w:sz w:val="24"/>
      <w:szCs w:val="24"/>
      <w:lang w:val="es-ES" w:eastAsia="es-ES"/>
    </w:rPr>
  </w:style>
  <w:style w:type="character" w:customStyle="1" w:styleId="Ttulo2Car">
    <w:name w:val="Título 2 Car"/>
    <w:link w:val="Ttulo2"/>
    <w:uiPriority w:val="9"/>
    <w:semiHidden/>
    <w:rsid w:val="005A4395"/>
    <w:rPr>
      <w:rFonts w:ascii="Cambria" w:eastAsia="Times New Roman" w:hAnsi="Cambria" w:cs="Times New Roman"/>
      <w:b/>
      <w:bCs/>
      <w:i/>
      <w:iCs/>
      <w:sz w:val="28"/>
      <w:szCs w:val="28"/>
      <w:lang w:val="es-ES" w:eastAsia="es-ES"/>
    </w:rPr>
  </w:style>
  <w:style w:type="paragraph" w:customStyle="1" w:styleId="Estilo8">
    <w:name w:val="Estilo8"/>
    <w:basedOn w:val="Normal"/>
    <w:qFormat/>
    <w:rsid w:val="009C097E"/>
    <w:pPr>
      <w:ind w:left="0"/>
    </w:pPr>
    <w:rPr>
      <w:rFonts w:ascii="Arial" w:hAnsi="Arial" w:cs="Arial"/>
      <w:sz w:val="22"/>
      <w:szCs w:val="22"/>
      <w:lang w:val="es-ES_tradnl" w:eastAsia="es-CO"/>
    </w:rPr>
  </w:style>
  <w:style w:type="paragraph" w:customStyle="1" w:styleId="Textoindependiente21">
    <w:name w:val="Texto independiente 21"/>
    <w:basedOn w:val="Normal"/>
    <w:rsid w:val="00454716"/>
    <w:pPr>
      <w:overflowPunct w:val="0"/>
      <w:autoSpaceDE w:val="0"/>
      <w:autoSpaceDN w:val="0"/>
      <w:adjustRightInd w:val="0"/>
      <w:ind w:left="0" w:right="20"/>
      <w:jc w:val="both"/>
      <w:textAlignment w:val="baseline"/>
    </w:pPr>
    <w:rPr>
      <w:rFonts w:ascii="Bookman Old Style" w:hAnsi="Bookman Old Style"/>
      <w:sz w:val="22"/>
      <w:szCs w:val="20"/>
      <w:lang w:val="es-ES_tradnl"/>
    </w:rPr>
  </w:style>
  <w:style w:type="character" w:customStyle="1" w:styleId="Ttulo7Car">
    <w:name w:val="Título 7 Car"/>
    <w:link w:val="Ttulo7"/>
    <w:uiPriority w:val="9"/>
    <w:semiHidden/>
    <w:rsid w:val="00C20249"/>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342862">
      <w:bodyDiv w:val="1"/>
      <w:marLeft w:val="0"/>
      <w:marRight w:val="0"/>
      <w:marTop w:val="0"/>
      <w:marBottom w:val="0"/>
      <w:divBdr>
        <w:top w:val="none" w:sz="0" w:space="0" w:color="auto"/>
        <w:left w:val="none" w:sz="0" w:space="0" w:color="auto"/>
        <w:bottom w:val="none" w:sz="0" w:space="0" w:color="auto"/>
        <w:right w:val="none" w:sz="0" w:space="0" w:color="auto"/>
      </w:divBdr>
    </w:div>
    <w:div w:id="632911409">
      <w:bodyDiv w:val="1"/>
      <w:marLeft w:val="0"/>
      <w:marRight w:val="0"/>
      <w:marTop w:val="0"/>
      <w:marBottom w:val="0"/>
      <w:divBdr>
        <w:top w:val="none" w:sz="0" w:space="0" w:color="auto"/>
        <w:left w:val="none" w:sz="0" w:space="0" w:color="auto"/>
        <w:bottom w:val="none" w:sz="0" w:space="0" w:color="auto"/>
        <w:right w:val="none" w:sz="0" w:space="0" w:color="auto"/>
      </w:divBdr>
    </w:div>
    <w:div w:id="664279910">
      <w:bodyDiv w:val="1"/>
      <w:marLeft w:val="0"/>
      <w:marRight w:val="0"/>
      <w:marTop w:val="0"/>
      <w:marBottom w:val="0"/>
      <w:divBdr>
        <w:top w:val="none" w:sz="0" w:space="0" w:color="auto"/>
        <w:left w:val="none" w:sz="0" w:space="0" w:color="auto"/>
        <w:bottom w:val="none" w:sz="0" w:space="0" w:color="auto"/>
        <w:right w:val="none" w:sz="0" w:space="0" w:color="auto"/>
      </w:divBdr>
    </w:div>
    <w:div w:id="969868952">
      <w:bodyDiv w:val="1"/>
      <w:marLeft w:val="0"/>
      <w:marRight w:val="0"/>
      <w:marTop w:val="0"/>
      <w:marBottom w:val="0"/>
      <w:divBdr>
        <w:top w:val="none" w:sz="0" w:space="0" w:color="auto"/>
        <w:left w:val="none" w:sz="0" w:space="0" w:color="auto"/>
        <w:bottom w:val="none" w:sz="0" w:space="0" w:color="auto"/>
        <w:right w:val="none" w:sz="0" w:space="0" w:color="auto"/>
      </w:divBdr>
    </w:div>
    <w:div w:id="1064134450">
      <w:bodyDiv w:val="1"/>
      <w:marLeft w:val="0"/>
      <w:marRight w:val="0"/>
      <w:marTop w:val="0"/>
      <w:marBottom w:val="0"/>
      <w:divBdr>
        <w:top w:val="none" w:sz="0" w:space="0" w:color="auto"/>
        <w:left w:val="none" w:sz="0" w:space="0" w:color="auto"/>
        <w:bottom w:val="none" w:sz="0" w:space="0" w:color="auto"/>
        <w:right w:val="none" w:sz="0" w:space="0" w:color="auto"/>
      </w:divBdr>
    </w:div>
    <w:div w:id="1348948210">
      <w:bodyDiv w:val="1"/>
      <w:marLeft w:val="0"/>
      <w:marRight w:val="0"/>
      <w:marTop w:val="0"/>
      <w:marBottom w:val="0"/>
      <w:divBdr>
        <w:top w:val="none" w:sz="0" w:space="0" w:color="auto"/>
        <w:left w:val="none" w:sz="0" w:space="0" w:color="auto"/>
        <w:bottom w:val="none" w:sz="0" w:space="0" w:color="auto"/>
        <w:right w:val="none" w:sz="0" w:space="0" w:color="auto"/>
      </w:divBdr>
    </w:div>
    <w:div w:id="1362054870">
      <w:bodyDiv w:val="1"/>
      <w:marLeft w:val="0"/>
      <w:marRight w:val="0"/>
      <w:marTop w:val="0"/>
      <w:marBottom w:val="0"/>
      <w:divBdr>
        <w:top w:val="none" w:sz="0" w:space="0" w:color="auto"/>
        <w:left w:val="none" w:sz="0" w:space="0" w:color="auto"/>
        <w:bottom w:val="none" w:sz="0" w:space="0" w:color="auto"/>
        <w:right w:val="none" w:sz="0" w:space="0" w:color="auto"/>
      </w:divBdr>
    </w:div>
    <w:div w:id="1384253145">
      <w:bodyDiv w:val="1"/>
      <w:marLeft w:val="0"/>
      <w:marRight w:val="0"/>
      <w:marTop w:val="0"/>
      <w:marBottom w:val="0"/>
      <w:divBdr>
        <w:top w:val="none" w:sz="0" w:space="0" w:color="auto"/>
        <w:left w:val="none" w:sz="0" w:space="0" w:color="auto"/>
        <w:bottom w:val="none" w:sz="0" w:space="0" w:color="auto"/>
        <w:right w:val="none" w:sz="0" w:space="0" w:color="auto"/>
      </w:divBdr>
    </w:div>
    <w:div w:id="1601985912">
      <w:bodyDiv w:val="1"/>
      <w:marLeft w:val="0"/>
      <w:marRight w:val="0"/>
      <w:marTop w:val="0"/>
      <w:marBottom w:val="0"/>
      <w:divBdr>
        <w:top w:val="none" w:sz="0" w:space="0" w:color="auto"/>
        <w:left w:val="none" w:sz="0" w:space="0" w:color="auto"/>
        <w:bottom w:val="none" w:sz="0" w:space="0" w:color="auto"/>
        <w:right w:val="none" w:sz="0" w:space="0" w:color="auto"/>
      </w:divBdr>
      <w:divsChild>
        <w:div w:id="59448130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RMACION_CREG\INFORMACI&#211;N\PLANTILLAS\PLANTILLA%20RESOLUCI&#211;N%20AG-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6AF7B-5168-4497-BBF7-C8AA88E0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RESOLUCIÓN AG-1</Template>
  <TotalTime>1</TotalTime>
  <Pages>12</Pages>
  <Words>4569</Words>
  <Characters>25130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mpecheverri</dc:creator>
  <cp:lastModifiedBy>Luz Stella Rojas Macias</cp:lastModifiedBy>
  <cp:revision>2</cp:revision>
  <cp:lastPrinted>2011-12-07T22:02:00Z</cp:lastPrinted>
  <dcterms:created xsi:type="dcterms:W3CDTF">2011-12-21T21:51:00Z</dcterms:created>
  <dcterms:modified xsi:type="dcterms:W3CDTF">2011-12-21T21:51:00Z</dcterms:modified>
</cp:coreProperties>
</file>