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19" w:rsidRPr="00DF40E1" w:rsidRDefault="00822579" w:rsidP="00A71B19">
      <w:r w:rsidRPr="008225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197.15pt;margin-top:-55.55pt;width:52.5pt;height:48.75pt;z-index:251660288" fillcolor="#0c9">
            <v:imagedata r:id="rId8" o:title=""/>
          </v:shape>
          <o:OLEObject Type="Embed" ProgID="PBrush" ShapeID="_x0000_s1043" DrawAspect="Content" ObjectID="_1355119480" r:id="rId9"/>
        </w:pict>
      </w:r>
    </w:p>
    <w:p w:rsidR="00A71B19" w:rsidRPr="00DF40E1" w:rsidRDefault="00A71B19" w:rsidP="00A71B19"/>
    <w:p w:rsidR="00A71B19" w:rsidRPr="00DF40E1" w:rsidRDefault="00A71B19" w:rsidP="00A71B19">
      <w:pPr>
        <w:jc w:val="center"/>
        <w:rPr>
          <w:b/>
          <w:noProof/>
        </w:rPr>
      </w:pPr>
      <w:r w:rsidRPr="00DF40E1">
        <w:t>Ministerio de Minas y Energía</w:t>
      </w:r>
    </w:p>
    <w:p w:rsidR="00A71B19" w:rsidRPr="00DF40E1" w:rsidRDefault="00A71B19" w:rsidP="00A71B19">
      <w:pPr>
        <w:jc w:val="center"/>
      </w:pPr>
    </w:p>
    <w:p w:rsidR="00A71B19" w:rsidRPr="00E5689C" w:rsidRDefault="00A71B19" w:rsidP="00A71B19">
      <w:pPr>
        <w:jc w:val="center"/>
        <w:rPr>
          <w:b/>
        </w:rPr>
      </w:pPr>
      <w:r w:rsidRPr="00E5689C">
        <w:rPr>
          <w:b/>
        </w:rPr>
        <w:t>COMISIÓN DE REGULACIÓN DE ENERGÍA Y GAS</w:t>
      </w:r>
    </w:p>
    <w:p w:rsidR="00A71B19" w:rsidRPr="00DF40E1" w:rsidRDefault="00A71B19" w:rsidP="00A71B19">
      <w:pPr>
        <w:jc w:val="center"/>
      </w:pPr>
    </w:p>
    <w:p w:rsidR="00A71B19" w:rsidRPr="00DF40E1" w:rsidRDefault="00A71B19" w:rsidP="00A71B19">
      <w:pPr>
        <w:jc w:val="center"/>
      </w:pPr>
    </w:p>
    <w:p w:rsidR="00A71B19" w:rsidRPr="00713159" w:rsidRDefault="00A71B19" w:rsidP="00A71B19">
      <w:pPr>
        <w:jc w:val="center"/>
        <w:rPr>
          <w:b/>
        </w:rPr>
      </w:pPr>
      <w:r w:rsidRPr="00713159">
        <w:rPr>
          <w:b/>
        </w:rPr>
        <w:t>RESOLUCIÓN No.                   DE 2010</w:t>
      </w:r>
    </w:p>
    <w:p w:rsidR="00A71B19" w:rsidRPr="00DF40E1" w:rsidRDefault="00A71B19" w:rsidP="00A71B19">
      <w:pPr>
        <w:tabs>
          <w:tab w:val="left" w:pos="0"/>
          <w:tab w:val="right" w:pos="9356"/>
        </w:tabs>
        <w:jc w:val="center"/>
        <w:rPr>
          <w:rFonts w:cs="Arial"/>
          <w:b/>
          <w:snapToGrid w:val="0"/>
          <w:color w:val="000000"/>
          <w:lang w:val="es-ES_tradnl"/>
        </w:rPr>
      </w:pPr>
    </w:p>
    <w:p w:rsidR="00A71B19" w:rsidRPr="00E5689C" w:rsidRDefault="00A71B19" w:rsidP="00A71B19">
      <w:pPr>
        <w:jc w:val="center"/>
        <w:rPr>
          <w:b/>
        </w:rPr>
      </w:pPr>
      <w:r w:rsidRPr="00E5689C">
        <w:rPr>
          <w:b/>
        </w:rPr>
        <w:t>(                                  )</w:t>
      </w:r>
    </w:p>
    <w:p w:rsidR="00A71B19" w:rsidRDefault="00A71B19" w:rsidP="00A71B19">
      <w:pPr>
        <w:tabs>
          <w:tab w:val="left" w:pos="0"/>
          <w:tab w:val="right" w:pos="9356"/>
        </w:tabs>
        <w:jc w:val="center"/>
        <w:rPr>
          <w:lang w:val="es-ES_tradnl"/>
        </w:rPr>
      </w:pPr>
    </w:p>
    <w:p w:rsidR="00A71B19" w:rsidRDefault="00A71B19" w:rsidP="00A71B19">
      <w:pPr>
        <w:jc w:val="center"/>
      </w:pPr>
    </w:p>
    <w:p w:rsidR="00712CE2" w:rsidRDefault="00712CE2" w:rsidP="00A71B19">
      <w:pPr>
        <w:jc w:val="center"/>
      </w:pPr>
    </w:p>
    <w:p w:rsidR="00712CE2" w:rsidRDefault="00712CE2" w:rsidP="00A71B19">
      <w:pPr>
        <w:jc w:val="center"/>
      </w:pPr>
    </w:p>
    <w:p w:rsidR="00A71B19" w:rsidRPr="00CF7FAC" w:rsidRDefault="00A71B19" w:rsidP="00A71B19">
      <w:pPr>
        <w:jc w:val="center"/>
        <w:rPr>
          <w:bCs/>
          <w:lang w:val="es-CO"/>
        </w:rPr>
      </w:pPr>
      <w:r>
        <w:t xml:space="preserve">Por la cual se ordena hacer público </w:t>
      </w:r>
      <w:r w:rsidR="00F82AD7">
        <w:t>tres</w:t>
      </w:r>
      <w:r>
        <w:t xml:space="preserve"> proyecto</w:t>
      </w:r>
      <w:r w:rsidR="00F82AD7">
        <w:t>s</w:t>
      </w:r>
      <w:r>
        <w:t xml:space="preserve"> de resolución de carácter general, </w:t>
      </w:r>
      <w:r w:rsidR="00F82AD7">
        <w:t>para</w:t>
      </w:r>
      <w:r>
        <w:t xml:space="preserve"> </w:t>
      </w:r>
      <w:r>
        <w:rPr>
          <w:rFonts w:cs="Arial"/>
          <w:szCs w:val="27"/>
        </w:rPr>
        <w:t xml:space="preserve">definir </w:t>
      </w:r>
      <w:r w:rsidRPr="00500E96">
        <w:rPr>
          <w:rFonts w:cs="Arial"/>
        </w:rPr>
        <w:t>la metodología</w:t>
      </w:r>
      <w:r w:rsidRPr="00402DAB">
        <w:rPr>
          <w:rFonts w:cs="Arial"/>
        </w:rPr>
        <w:t xml:space="preserve"> para el establecimiento de los planes de reducción de pérdidas no técnicas en los Sistemas de Distribución Local</w:t>
      </w:r>
      <w:r>
        <w:t>.</w:t>
      </w:r>
    </w:p>
    <w:p w:rsidR="00A71B19" w:rsidRDefault="00A71B19" w:rsidP="00A71B19">
      <w:pPr>
        <w:jc w:val="center"/>
        <w:rPr>
          <w:rFonts w:cs="Arial"/>
          <w:b/>
          <w:bCs/>
          <w:color w:val="000000"/>
          <w:lang w:val="es-CO"/>
        </w:rPr>
      </w:pPr>
    </w:p>
    <w:p w:rsidR="00712CE2" w:rsidRPr="00DE1A6D" w:rsidRDefault="00712CE2" w:rsidP="00A71B19">
      <w:pPr>
        <w:jc w:val="center"/>
        <w:rPr>
          <w:rFonts w:cs="Arial"/>
          <w:b/>
          <w:bCs/>
          <w:color w:val="000000"/>
          <w:lang w:val="es-CO"/>
        </w:rPr>
      </w:pPr>
    </w:p>
    <w:p w:rsidR="00A71B19" w:rsidRDefault="00A71B19" w:rsidP="00A71B19">
      <w:pPr>
        <w:jc w:val="center"/>
        <w:rPr>
          <w:rFonts w:cs="Arial"/>
          <w:b/>
          <w:bCs/>
          <w:color w:val="000000"/>
        </w:rPr>
      </w:pPr>
      <w:r w:rsidRPr="00103018">
        <w:rPr>
          <w:rFonts w:cs="Arial"/>
          <w:b/>
          <w:bCs/>
          <w:color w:val="000000"/>
        </w:rPr>
        <w:t>LA COMISIÓN DE REGULACIÓN DE ENERGÍA Y GAS</w:t>
      </w:r>
    </w:p>
    <w:p w:rsidR="00A71B19" w:rsidRPr="00402DAB" w:rsidRDefault="00A71B19" w:rsidP="00A71B19">
      <w:pPr>
        <w:rPr>
          <w:rFonts w:cs="Arial"/>
        </w:rPr>
      </w:pPr>
    </w:p>
    <w:p w:rsidR="00A71B19" w:rsidRPr="00103018" w:rsidRDefault="00A71B19" w:rsidP="00A71B19">
      <w:pPr>
        <w:spacing w:before="100" w:beforeAutospacing="1" w:after="100" w:afterAutospacing="1"/>
        <w:rPr>
          <w:rFonts w:cs="Arial"/>
          <w:color w:val="000000"/>
        </w:rPr>
      </w:pPr>
      <w:r w:rsidRPr="00103018">
        <w:rPr>
          <w:rFonts w:cs="Arial"/>
          <w:color w:val="000000"/>
        </w:rPr>
        <w:t>En ejercicio de sus facultades legales, en especial de las conferidas por la Ley 142 de 1994, y en desarrollo de los Decretos 2253 de 1994 y 2696 de 2004,</w:t>
      </w:r>
    </w:p>
    <w:p w:rsidR="00A71B19" w:rsidRDefault="00A71B19" w:rsidP="00A71B19">
      <w:pPr>
        <w:contextualSpacing/>
        <w:jc w:val="center"/>
        <w:rPr>
          <w:rFonts w:cs="Arial"/>
          <w:b/>
          <w:bCs/>
          <w:color w:val="000000"/>
        </w:rPr>
      </w:pPr>
    </w:p>
    <w:p w:rsidR="00A71B19" w:rsidRPr="00103018" w:rsidRDefault="00A71B19" w:rsidP="00A71B19">
      <w:pPr>
        <w:jc w:val="center"/>
        <w:rPr>
          <w:rFonts w:cs="Arial"/>
          <w:color w:val="000000"/>
        </w:rPr>
      </w:pPr>
      <w:r w:rsidRPr="00103018">
        <w:rPr>
          <w:rFonts w:cs="Arial"/>
          <w:b/>
          <w:bCs/>
          <w:color w:val="000000"/>
        </w:rPr>
        <w:t>C O N S I D E R A N D O:</w:t>
      </w:r>
    </w:p>
    <w:p w:rsidR="00A71B19" w:rsidRDefault="00A71B19" w:rsidP="00A71B19">
      <w:pPr>
        <w:contextualSpacing/>
        <w:rPr>
          <w:rFonts w:cs="Arial"/>
          <w:color w:val="000000"/>
        </w:rPr>
      </w:pPr>
    </w:p>
    <w:p w:rsidR="00712CE2" w:rsidRDefault="00712CE2" w:rsidP="00A71B19">
      <w:pPr>
        <w:contextualSpacing/>
        <w:rPr>
          <w:rFonts w:cs="Arial"/>
          <w:color w:val="000000"/>
        </w:rPr>
      </w:pPr>
    </w:p>
    <w:p w:rsidR="00A71B19" w:rsidRDefault="00A71B19" w:rsidP="00A71B19">
      <w:r w:rsidRPr="00335E45">
        <w:t>Que conforme a lo dispuesto por el artículo 9 del Decreto 2696 de 2004, la Comisión debe hacer público en su página web todos los proyectos de resoluciones de carácter general que pretenda adoptar;</w:t>
      </w:r>
    </w:p>
    <w:p w:rsidR="00A71B19" w:rsidRPr="00335E45" w:rsidRDefault="00A71B19" w:rsidP="00A71B19"/>
    <w:p w:rsidR="00A71B19" w:rsidRDefault="00A71B19" w:rsidP="00A71B19">
      <w:r w:rsidRPr="00335E45">
        <w:t>Que conforme a lo dispuesto por el artículo 11 del Decreto 2696 de 2004, “tres (3) meses antes de la fecha prevista para que inicie el periodo de vigencia de las fórmulas tarifarias, se deberán hacer públicos en la página Web de la Comisión correspondiente los proyectos de metodologías y de fórmulas, los estudios respectivos y los textos de los proyectos de resoluciones”</w:t>
      </w:r>
      <w:r w:rsidR="009F4883">
        <w:t>;</w:t>
      </w:r>
    </w:p>
    <w:p w:rsidR="00A71B19" w:rsidRPr="00335E45" w:rsidRDefault="00A71B19" w:rsidP="00A71B19"/>
    <w:p w:rsidR="00493AAA" w:rsidRDefault="00A71B19" w:rsidP="00493AAA">
      <w:r w:rsidRPr="00335E45">
        <w:t>Que la Comisión de Regulación de Energía y Gas, en su Sesión 476 del 20 de diciembre de 2010, aprobó hacer público</w:t>
      </w:r>
      <w:r w:rsidR="00493AAA">
        <w:t>s</w:t>
      </w:r>
      <w:r w:rsidRPr="00335E45">
        <w:t xml:space="preserve"> </w:t>
      </w:r>
      <w:r w:rsidR="00493AAA">
        <w:t>los</w:t>
      </w:r>
      <w:r w:rsidRPr="00335E45">
        <w:t xml:space="preserve"> proyecto</w:t>
      </w:r>
      <w:r w:rsidR="00493AAA">
        <w:t>s</w:t>
      </w:r>
      <w:r w:rsidRPr="00335E45">
        <w:t xml:space="preserve"> de resolución </w:t>
      </w:r>
      <w:r w:rsidR="00493AAA">
        <w:t>i)</w:t>
      </w:r>
      <w:r w:rsidR="00493AAA" w:rsidRPr="00CF7FAC">
        <w:t xml:space="preserve"> “</w:t>
      </w:r>
      <w:r w:rsidR="00493AAA" w:rsidRPr="00402DAB">
        <w:rPr>
          <w:rFonts w:cs="Arial"/>
        </w:rPr>
        <w:t xml:space="preserve">Por la cual </w:t>
      </w:r>
      <w:r w:rsidR="00493AAA" w:rsidRPr="00500E96">
        <w:rPr>
          <w:rFonts w:cs="Arial"/>
        </w:rPr>
        <w:t>se define la metodología</w:t>
      </w:r>
      <w:r w:rsidR="00493AAA" w:rsidRPr="00402DAB">
        <w:rPr>
          <w:rFonts w:cs="Arial"/>
        </w:rPr>
        <w:t xml:space="preserve"> para el establecimiento de los planes de reducción de pérdidas no técnicas en los Sistemas de Distribución Local</w:t>
      </w:r>
      <w:r w:rsidR="00493AAA" w:rsidRPr="00CF7FAC">
        <w:t>”</w:t>
      </w:r>
      <w:r w:rsidR="00493AAA">
        <w:t>, ii) “</w:t>
      </w:r>
      <w:r w:rsidR="00493AAA" w:rsidRPr="00493AAA">
        <w:t>Por la cual se modifica la fórmula tarifaria general que permite a los Comercializadores Minoristas de electricidad establecer los costos de prestación del servicio a usuarios regulados en el Sistema Interconectado Nacional establecida en la Resolución CREG 119 de 2007.</w:t>
      </w:r>
      <w:r w:rsidR="00493AAA">
        <w:t>” y iii)</w:t>
      </w:r>
      <w:r w:rsidR="00493AAA" w:rsidRPr="00493AAA">
        <w:t xml:space="preserve"> </w:t>
      </w:r>
      <w:r w:rsidR="00493AAA">
        <w:t>“</w:t>
      </w:r>
      <w:r w:rsidR="00493AAA" w:rsidRPr="00493AAA">
        <w:t>Por la cual se modifica la Resolución CREG 121 de 2007, en relación con la asignación de pérdidas entre Comercializadores Minoristas en un Mercado de Comercialización</w:t>
      </w:r>
      <w:r w:rsidR="00493AAA">
        <w:t>”</w:t>
      </w:r>
      <w:r w:rsidR="009F4883">
        <w:t>;</w:t>
      </w:r>
    </w:p>
    <w:p w:rsidR="00A71B19" w:rsidRDefault="00A71B19" w:rsidP="00A71B19"/>
    <w:p w:rsidR="008C2424" w:rsidRDefault="008C2424" w:rsidP="008C2424"/>
    <w:p w:rsidR="008C2424" w:rsidRDefault="008C2424" w:rsidP="008C2424"/>
    <w:p w:rsidR="008C2424" w:rsidRPr="00402DAB" w:rsidRDefault="008C2424" w:rsidP="008C2424">
      <w:r w:rsidRPr="00402DAB">
        <w:t xml:space="preserve">Que en el </w:t>
      </w:r>
      <w:r>
        <w:t>D</w:t>
      </w:r>
      <w:r w:rsidRPr="00402DAB">
        <w:t xml:space="preserve">ocumento CREG </w:t>
      </w:r>
      <w:r>
        <w:t>138</w:t>
      </w:r>
      <w:r w:rsidRPr="00402DAB">
        <w:t xml:space="preserve"> de 2010</w:t>
      </w:r>
      <w:r>
        <w:t xml:space="preserve"> se encuentran los análisis de la propuesta que se somete a consulta</w:t>
      </w:r>
      <w:r w:rsidRPr="00402DAB">
        <w:t>;</w:t>
      </w:r>
    </w:p>
    <w:p w:rsidR="008C2424" w:rsidRDefault="008C2424" w:rsidP="00A71B19"/>
    <w:p w:rsidR="00712CE2" w:rsidRPr="00335E45" w:rsidRDefault="00712CE2" w:rsidP="00A71B19"/>
    <w:p w:rsidR="00A71B19" w:rsidRDefault="00A71B19" w:rsidP="00A71B19">
      <w:pPr>
        <w:jc w:val="center"/>
        <w:rPr>
          <w:rFonts w:cs="Arial"/>
          <w:b/>
          <w:bCs/>
          <w:color w:val="000000"/>
        </w:rPr>
      </w:pPr>
      <w:r w:rsidRPr="00103018">
        <w:rPr>
          <w:rFonts w:cs="Arial"/>
          <w:b/>
          <w:bCs/>
          <w:color w:val="000000"/>
        </w:rPr>
        <w:t>R E S U E L V E:</w:t>
      </w:r>
    </w:p>
    <w:p w:rsidR="00A71B19" w:rsidRDefault="00A71B19" w:rsidP="00A71B19">
      <w:pPr>
        <w:jc w:val="center"/>
        <w:rPr>
          <w:rFonts w:cs="Arial"/>
          <w:color w:val="000000"/>
        </w:rPr>
      </w:pPr>
    </w:p>
    <w:p w:rsidR="00A71B19" w:rsidRPr="00103018" w:rsidRDefault="00A71B19" w:rsidP="00A71B19">
      <w:pPr>
        <w:jc w:val="center"/>
        <w:rPr>
          <w:rFonts w:cs="Arial"/>
          <w:color w:val="000000"/>
        </w:rPr>
      </w:pPr>
    </w:p>
    <w:p w:rsidR="00A71B19" w:rsidRDefault="00A71B19" w:rsidP="00A71B19">
      <w:r w:rsidRPr="0036778A">
        <w:rPr>
          <w:b/>
        </w:rPr>
        <w:t>Artículo 1.</w:t>
      </w:r>
      <w:r>
        <w:tab/>
      </w:r>
      <w:r w:rsidRPr="00335E45">
        <w:rPr>
          <w:b/>
          <w:bCs/>
        </w:rPr>
        <w:t>Objeto.</w:t>
      </w:r>
      <w:r>
        <w:rPr>
          <w:b/>
          <w:bCs/>
        </w:rPr>
        <w:t xml:space="preserve"> </w:t>
      </w:r>
      <w:r w:rsidRPr="00CF7FAC">
        <w:t>Hága</w:t>
      </w:r>
      <w:r w:rsidR="00493AAA">
        <w:t>n</w:t>
      </w:r>
      <w:r w:rsidRPr="00CF7FAC">
        <w:t>se público</w:t>
      </w:r>
      <w:r w:rsidR="00493AAA">
        <w:t>s</w:t>
      </w:r>
      <w:r w:rsidRPr="00CF7FAC">
        <w:t xml:space="preserve"> </w:t>
      </w:r>
      <w:r w:rsidR="00493AAA">
        <w:t xml:space="preserve">los siguientes proyectos de </w:t>
      </w:r>
      <w:r w:rsidRPr="00CF7FAC">
        <w:t>resolución</w:t>
      </w:r>
      <w:r w:rsidR="00493AAA">
        <w:t>: i)</w:t>
      </w:r>
      <w:r w:rsidRPr="00CF7FAC">
        <w:t xml:space="preserve"> “</w:t>
      </w:r>
      <w:r w:rsidRPr="00402DAB">
        <w:rPr>
          <w:rFonts w:cs="Arial"/>
        </w:rPr>
        <w:t xml:space="preserve">Por la cual </w:t>
      </w:r>
      <w:r w:rsidRPr="00500E96">
        <w:rPr>
          <w:rFonts w:cs="Arial"/>
        </w:rPr>
        <w:t>se define la metodología</w:t>
      </w:r>
      <w:r w:rsidRPr="00402DAB">
        <w:rPr>
          <w:rFonts w:cs="Arial"/>
        </w:rPr>
        <w:t xml:space="preserve"> para el establecimiento de los planes de reducción de pérdidas no técnicas en los Sistemas de Distribución Local</w:t>
      </w:r>
      <w:r w:rsidRPr="00CF7FAC">
        <w:t>”</w:t>
      </w:r>
      <w:r w:rsidR="00493AAA">
        <w:t>, ii) “</w:t>
      </w:r>
      <w:r w:rsidR="00493AAA" w:rsidRPr="00493AAA">
        <w:t>Por la cual se modifica la fórmula tarifaria general que permite a los Comercializadores Minoristas de electricidad establecer los costos de prestación del servicio a usuarios regulados en el Sistema Interconectado Nacional establecida en la Resolución CREG 119 de 2007.</w:t>
      </w:r>
      <w:r w:rsidR="00493AAA">
        <w:t>” y iii)</w:t>
      </w:r>
      <w:r w:rsidR="00493AAA" w:rsidRPr="00493AAA">
        <w:t xml:space="preserve"> </w:t>
      </w:r>
      <w:r w:rsidR="00493AAA">
        <w:t>“</w:t>
      </w:r>
      <w:r w:rsidR="00493AAA" w:rsidRPr="00493AAA">
        <w:t>Por la cual se modifica la Resolución CREG 121 de 2007, en relación con la asignación de pérdidas entre Comercializadores Minoristas en un Mercado de Comercialización</w:t>
      </w:r>
      <w:r w:rsidR="00493AAA">
        <w:t>”</w:t>
      </w:r>
      <w:r w:rsidR="00493AAA" w:rsidRPr="00493AAA">
        <w:t>.</w:t>
      </w:r>
      <w:r w:rsidR="00493AAA">
        <w:t xml:space="preserve"> </w:t>
      </w:r>
    </w:p>
    <w:p w:rsidR="00A71B19" w:rsidRDefault="00A71B19" w:rsidP="00A71B19"/>
    <w:p w:rsidR="00A71B19" w:rsidRDefault="00A71B19" w:rsidP="00A71B19">
      <w:r w:rsidRPr="0036778A">
        <w:rPr>
          <w:b/>
        </w:rPr>
        <w:t>Artículo 2.</w:t>
      </w:r>
      <w:r>
        <w:tab/>
      </w:r>
      <w:r w:rsidRPr="00335E45">
        <w:rPr>
          <w:b/>
          <w:bCs/>
        </w:rPr>
        <w:t>Presentación de comentarios, observaciones y sugerencias.</w:t>
      </w:r>
      <w:r>
        <w:t xml:space="preserve"> </w:t>
      </w:r>
      <w:r w:rsidRPr="007C2BEE">
        <w:t>Se invita a los agentes, a los usuarios, a las Autoridades Locales Municipales y Departamentales competentes, a la Superintendencia de Servicios Públicos Domiciliarios y a los demás interesados,</w:t>
      </w:r>
      <w:r w:rsidRPr="00822D23">
        <w:t xml:space="preserve"> para que remitan sus observaciones o sugerencias sobre la propuesta, dentro de los </w:t>
      </w:r>
      <w:r>
        <w:t xml:space="preserve">noventa (90) días calendario </w:t>
      </w:r>
      <w:r w:rsidRPr="00822D23">
        <w:t>siguientes a la publicación de la presente Resolución en la página Web de la Comisión</w:t>
      </w:r>
      <w:r>
        <w:t xml:space="preserve"> de Regulación de Energía y Gas </w:t>
      </w:r>
      <w:r w:rsidRPr="007C2BEE">
        <w:t>y participen en las consultas públicas que se llevarán a cabo conforme a lo previsto en el Artículo 11, numeral 11.5 del Decreto 2696 de 2004.</w:t>
      </w:r>
    </w:p>
    <w:p w:rsidR="00A71B19" w:rsidRDefault="00A71B19" w:rsidP="00A71B19"/>
    <w:p w:rsidR="00A71B19" w:rsidRDefault="00A71B19" w:rsidP="00A71B19">
      <w:r w:rsidRPr="0036778A">
        <w:rPr>
          <w:b/>
        </w:rPr>
        <w:t>Artículo 3.</w:t>
      </w:r>
      <w:r>
        <w:rPr>
          <w:b/>
        </w:rPr>
        <w:t xml:space="preserve"> </w:t>
      </w:r>
      <w:r w:rsidRPr="00335E45">
        <w:rPr>
          <w:b/>
          <w:bCs/>
        </w:rPr>
        <w:t>Información.</w:t>
      </w:r>
      <w:r>
        <w:t xml:space="preserve"> </w:t>
      </w:r>
      <w:r w:rsidRPr="00822D23">
        <w:t>Infórmese en la página web la identificación de la dependencia administrativa y de las personas a quienes se podrá solicitar información sobre el proyecto y hacer llegar las observaciones, reparos o sugerencias, y los demás aspectos previsto en el artículo 10 del Decreto 2696 de 2004.</w:t>
      </w:r>
    </w:p>
    <w:p w:rsidR="00A71B19" w:rsidRDefault="00A71B19" w:rsidP="00A71B19"/>
    <w:p w:rsidR="00A71B19" w:rsidRDefault="00A71B19" w:rsidP="00A71B19">
      <w:r w:rsidRPr="0036778A">
        <w:rPr>
          <w:b/>
        </w:rPr>
        <w:t>Artículo 4.</w:t>
      </w:r>
      <w:r>
        <w:tab/>
      </w:r>
      <w:r w:rsidRPr="00335E45">
        <w:rPr>
          <w:b/>
          <w:bCs/>
        </w:rPr>
        <w:t>Vigencia.</w:t>
      </w:r>
      <w:r>
        <w:t xml:space="preserve"> </w:t>
      </w:r>
      <w:r w:rsidRPr="00A001E6">
        <w:t>La presente Resolución no deroga ni modifica disposiciones vigentes por tratarse de un acto de trámite.</w:t>
      </w:r>
    </w:p>
    <w:p w:rsidR="00A71B19" w:rsidRPr="00A001E6" w:rsidRDefault="00A71B19" w:rsidP="00A71B19"/>
    <w:p w:rsidR="00A71B19" w:rsidRDefault="00A71B19" w:rsidP="00A71B19">
      <w:pPr>
        <w:jc w:val="center"/>
        <w:rPr>
          <w:rFonts w:cs="Arial"/>
          <w:b/>
          <w:bCs/>
          <w:color w:val="000000"/>
        </w:rPr>
      </w:pPr>
    </w:p>
    <w:p w:rsidR="00A71B19" w:rsidRPr="00103018" w:rsidRDefault="00A71B19" w:rsidP="00A71B19">
      <w:pPr>
        <w:jc w:val="center"/>
        <w:rPr>
          <w:rFonts w:cs="Arial"/>
          <w:color w:val="000000"/>
        </w:rPr>
      </w:pPr>
      <w:r w:rsidRPr="00103018">
        <w:rPr>
          <w:rFonts w:cs="Arial"/>
          <w:b/>
          <w:bCs/>
          <w:color w:val="000000"/>
        </w:rPr>
        <w:t>PUBLÍQUESE Y CÚMPLASE</w:t>
      </w:r>
    </w:p>
    <w:p w:rsidR="00A71B19" w:rsidRDefault="00A71B19" w:rsidP="00A71B19">
      <w:pPr>
        <w:jc w:val="center"/>
        <w:rPr>
          <w:rFonts w:cs="Arial"/>
          <w:color w:val="000000"/>
        </w:rPr>
      </w:pPr>
    </w:p>
    <w:p w:rsidR="00A71B19" w:rsidRDefault="00A71B19" w:rsidP="00A71B19">
      <w:pPr>
        <w:rPr>
          <w:rFonts w:cs="Arial"/>
          <w:b/>
          <w:bCs/>
          <w:color w:val="000000"/>
        </w:rPr>
      </w:pPr>
      <w:r w:rsidRPr="00103018">
        <w:rPr>
          <w:rFonts w:cs="Arial"/>
          <w:color w:val="000000"/>
        </w:rPr>
        <w:t xml:space="preserve">Dada en Bogotá, D.C., </w:t>
      </w:r>
    </w:p>
    <w:p w:rsidR="00A71B19" w:rsidRDefault="00A71B19" w:rsidP="00A71B19">
      <w:pPr>
        <w:jc w:val="center"/>
        <w:rPr>
          <w:rFonts w:cs="Arial"/>
          <w:b/>
          <w:bCs/>
          <w:color w:val="000000"/>
        </w:rPr>
      </w:pPr>
    </w:p>
    <w:p w:rsidR="00A71B19" w:rsidRDefault="00A71B19" w:rsidP="00A71B19">
      <w:pPr>
        <w:tabs>
          <w:tab w:val="left" w:pos="8789"/>
          <w:tab w:val="left" w:pos="9072"/>
        </w:tabs>
        <w:rPr>
          <w:rFonts w:cs="Arial"/>
        </w:rPr>
      </w:pPr>
    </w:p>
    <w:p w:rsidR="00A71B19" w:rsidRPr="00993355" w:rsidRDefault="00A71B19" w:rsidP="00A71B19">
      <w:pPr>
        <w:rPr>
          <w:rFonts w:cs="Arial"/>
        </w:rPr>
      </w:pPr>
    </w:p>
    <w:tbl>
      <w:tblPr>
        <w:tblW w:w="0" w:type="auto"/>
        <w:jc w:val="center"/>
        <w:tblInd w:w="-679" w:type="dxa"/>
        <w:tblLayout w:type="fixed"/>
        <w:tblCellMar>
          <w:left w:w="70" w:type="dxa"/>
          <w:right w:w="70" w:type="dxa"/>
        </w:tblCellMar>
        <w:tblLook w:val="0000"/>
      </w:tblPr>
      <w:tblGrid>
        <w:gridCol w:w="4624"/>
        <w:gridCol w:w="4624"/>
      </w:tblGrid>
      <w:tr w:rsidR="00A71B19" w:rsidRPr="00993355" w:rsidTr="00FA1C52">
        <w:trPr>
          <w:trHeight w:val="391"/>
          <w:jc w:val="center"/>
        </w:trPr>
        <w:tc>
          <w:tcPr>
            <w:tcW w:w="4624" w:type="dxa"/>
            <w:vAlign w:val="center"/>
          </w:tcPr>
          <w:p w:rsidR="00A71B19" w:rsidRPr="00993355" w:rsidRDefault="00A71B19" w:rsidP="00FA1C52">
            <w:pPr>
              <w:ind w:left="-3"/>
              <w:jc w:val="center"/>
              <w:rPr>
                <w:rFonts w:cs="Arial"/>
                <w:b/>
                <w:spacing w:val="-3"/>
              </w:rPr>
            </w:pPr>
            <w:r>
              <w:rPr>
                <w:rFonts w:cs="Arial"/>
                <w:b/>
                <w:spacing w:val="-3"/>
              </w:rPr>
              <w:t>TOMAS GONZÁLEZ ESTRADA</w:t>
            </w:r>
          </w:p>
        </w:tc>
        <w:tc>
          <w:tcPr>
            <w:tcW w:w="4624" w:type="dxa"/>
            <w:vAlign w:val="center"/>
          </w:tcPr>
          <w:p w:rsidR="00A71B19" w:rsidRPr="00993355" w:rsidRDefault="00A71B19" w:rsidP="00FA1C52">
            <w:pPr>
              <w:ind w:left="-70"/>
              <w:jc w:val="center"/>
              <w:rPr>
                <w:rFonts w:cs="Arial"/>
                <w:b/>
                <w:spacing w:val="-3"/>
              </w:rPr>
            </w:pPr>
            <w:r>
              <w:rPr>
                <w:rFonts w:cs="Arial"/>
                <w:b/>
                <w:spacing w:val="-3"/>
              </w:rPr>
              <w:t>JAVIER AUGUSTO DÍ</w:t>
            </w:r>
            <w:r w:rsidRPr="00993355">
              <w:rPr>
                <w:rFonts w:cs="Arial"/>
                <w:b/>
                <w:spacing w:val="-3"/>
              </w:rPr>
              <w:t>AZ VELASCO</w:t>
            </w:r>
          </w:p>
        </w:tc>
      </w:tr>
      <w:tr w:rsidR="00A71B19" w:rsidRPr="00993355" w:rsidTr="00FA1C52">
        <w:trPr>
          <w:jc w:val="center"/>
        </w:trPr>
        <w:tc>
          <w:tcPr>
            <w:tcW w:w="4624" w:type="dxa"/>
          </w:tcPr>
          <w:p w:rsidR="00A71B19" w:rsidRPr="00993355" w:rsidRDefault="00A71B19" w:rsidP="00FA1C52">
            <w:pPr>
              <w:ind w:left="-3"/>
              <w:jc w:val="center"/>
            </w:pPr>
            <w:r w:rsidRPr="00993355">
              <w:t>Viceministr</w:t>
            </w:r>
            <w:r>
              <w:t>o</w:t>
            </w:r>
            <w:r w:rsidRPr="00993355">
              <w:t xml:space="preserve"> de Minas y Energía</w:t>
            </w:r>
          </w:p>
        </w:tc>
        <w:tc>
          <w:tcPr>
            <w:tcW w:w="4624" w:type="dxa"/>
          </w:tcPr>
          <w:p w:rsidR="00A71B19" w:rsidRPr="00993355" w:rsidRDefault="00A71B19" w:rsidP="00FA1C52">
            <w:pPr>
              <w:ind w:left="-70"/>
              <w:jc w:val="center"/>
            </w:pPr>
            <w:r w:rsidRPr="00993355">
              <w:t>Director Ejecutivo</w:t>
            </w:r>
          </w:p>
        </w:tc>
      </w:tr>
      <w:tr w:rsidR="00A71B19" w:rsidRPr="00993355" w:rsidTr="00FA1C52">
        <w:trPr>
          <w:jc w:val="center"/>
        </w:trPr>
        <w:tc>
          <w:tcPr>
            <w:tcW w:w="4624" w:type="dxa"/>
          </w:tcPr>
          <w:p w:rsidR="00A71B19" w:rsidRPr="00993355" w:rsidRDefault="00A71B19" w:rsidP="00FA1C52">
            <w:pPr>
              <w:ind w:left="-3"/>
              <w:jc w:val="center"/>
              <w:rPr>
                <w:rFonts w:cs="Arial"/>
                <w:spacing w:val="-3"/>
              </w:rPr>
            </w:pPr>
            <w:r w:rsidRPr="00993355">
              <w:rPr>
                <w:rFonts w:cs="Arial"/>
                <w:spacing w:val="-3"/>
              </w:rPr>
              <w:t>Delegado del Ministro de Minas y Energía</w:t>
            </w:r>
          </w:p>
        </w:tc>
        <w:tc>
          <w:tcPr>
            <w:tcW w:w="4624" w:type="dxa"/>
          </w:tcPr>
          <w:p w:rsidR="00A71B19" w:rsidRPr="00993355" w:rsidRDefault="00A71B19" w:rsidP="00FA1C52">
            <w:pPr>
              <w:ind w:left="-70"/>
            </w:pPr>
          </w:p>
        </w:tc>
      </w:tr>
      <w:tr w:rsidR="00A71B19" w:rsidRPr="00993355" w:rsidTr="00FA1C52">
        <w:trPr>
          <w:jc w:val="center"/>
        </w:trPr>
        <w:tc>
          <w:tcPr>
            <w:tcW w:w="4624" w:type="dxa"/>
          </w:tcPr>
          <w:p w:rsidR="00A71B19" w:rsidRPr="00993355" w:rsidRDefault="00A71B19" w:rsidP="00FA1C52">
            <w:pPr>
              <w:ind w:left="-3"/>
              <w:jc w:val="center"/>
              <w:rPr>
                <w:rFonts w:cs="Arial"/>
                <w:spacing w:val="-3"/>
              </w:rPr>
            </w:pPr>
            <w:r w:rsidRPr="00993355">
              <w:rPr>
                <w:rFonts w:cs="Arial"/>
                <w:spacing w:val="-3"/>
              </w:rPr>
              <w:t>Presidente</w:t>
            </w:r>
          </w:p>
        </w:tc>
        <w:tc>
          <w:tcPr>
            <w:tcW w:w="4624" w:type="dxa"/>
          </w:tcPr>
          <w:p w:rsidR="00A71B19" w:rsidRPr="00993355" w:rsidRDefault="00A71B19" w:rsidP="00FA1C52">
            <w:pPr>
              <w:ind w:left="-70"/>
            </w:pPr>
          </w:p>
        </w:tc>
      </w:tr>
    </w:tbl>
    <w:p w:rsidR="00A71B19" w:rsidRDefault="00A71B19" w:rsidP="00A71B19">
      <w:pPr>
        <w:rPr>
          <w:b/>
        </w:rPr>
      </w:pPr>
    </w:p>
    <w:p w:rsidR="00712CE2" w:rsidRDefault="00712CE2" w:rsidP="00712CE2">
      <w:pPr>
        <w:jc w:val="center"/>
        <w:rPr>
          <w:lang w:val="es-ES_tradnl"/>
        </w:rPr>
      </w:pPr>
    </w:p>
    <w:p w:rsidR="00712CE2" w:rsidRDefault="00712CE2" w:rsidP="00712CE2">
      <w:pPr>
        <w:jc w:val="center"/>
        <w:rPr>
          <w:lang w:val="es-ES_tradnl"/>
        </w:rPr>
      </w:pPr>
    </w:p>
    <w:p w:rsidR="00A71B19" w:rsidRDefault="00712CE2" w:rsidP="00712CE2">
      <w:pPr>
        <w:jc w:val="center"/>
        <w:rPr>
          <w:b/>
        </w:rPr>
      </w:pPr>
      <w:r w:rsidRPr="00712CE2">
        <w:rPr>
          <w:b/>
          <w:lang w:val="es-ES_tradnl"/>
        </w:rPr>
        <w:t>P</w:t>
      </w:r>
      <w:r w:rsidR="00A71B19">
        <w:rPr>
          <w:b/>
        </w:rPr>
        <w:t>ROYECTO DE RESOLUCIÓN</w:t>
      </w:r>
      <w:r w:rsidR="008C2424">
        <w:rPr>
          <w:b/>
        </w:rPr>
        <w:t xml:space="preserve"> No.1</w:t>
      </w:r>
    </w:p>
    <w:p w:rsidR="00A71B19" w:rsidRDefault="00A71B19" w:rsidP="00A71B19">
      <w:pPr>
        <w:jc w:val="center"/>
        <w:rPr>
          <w:bCs/>
          <w:lang w:val="es-CO"/>
        </w:rPr>
      </w:pPr>
    </w:p>
    <w:p w:rsidR="00A71B19" w:rsidRDefault="00A71B19" w:rsidP="00A71B19">
      <w:pPr>
        <w:jc w:val="center"/>
        <w:rPr>
          <w:bCs/>
          <w:lang w:val="es-CO"/>
        </w:rPr>
      </w:pPr>
    </w:p>
    <w:p w:rsidR="00A71B19" w:rsidRPr="00402DAB" w:rsidRDefault="00A71B19" w:rsidP="00A71B19">
      <w:pPr>
        <w:rPr>
          <w:rFonts w:cs="Arial"/>
        </w:rPr>
      </w:pPr>
      <w:r w:rsidRPr="00402DAB">
        <w:rPr>
          <w:rFonts w:cs="Arial"/>
        </w:rPr>
        <w:t xml:space="preserve">Por la cual </w:t>
      </w:r>
      <w:r w:rsidRPr="00500E96">
        <w:rPr>
          <w:rFonts w:cs="Arial"/>
        </w:rPr>
        <w:t>se define la metodología</w:t>
      </w:r>
      <w:r w:rsidRPr="00402DAB">
        <w:rPr>
          <w:rFonts w:cs="Arial"/>
        </w:rPr>
        <w:t xml:space="preserve"> para el establecimiento de los planes de reducción de pérdidas no técnicas en los Sistemas de Distribución Local.</w:t>
      </w:r>
    </w:p>
    <w:p w:rsidR="00A71B19" w:rsidRPr="00402DAB" w:rsidRDefault="00A71B19" w:rsidP="00A71B19">
      <w:pPr>
        <w:rPr>
          <w:rFonts w:cs="Arial"/>
        </w:rPr>
      </w:pPr>
    </w:p>
    <w:p w:rsidR="00A71B19" w:rsidRDefault="00A71B19" w:rsidP="00A71B19">
      <w:pPr>
        <w:jc w:val="center"/>
        <w:rPr>
          <w:b/>
        </w:rPr>
      </w:pPr>
      <w:bookmarkStart w:id="0" w:name="_Toc259626849"/>
    </w:p>
    <w:p w:rsidR="00A71B19" w:rsidRPr="00047E6A" w:rsidRDefault="00A71B19" w:rsidP="00A71B19">
      <w:pPr>
        <w:jc w:val="center"/>
        <w:rPr>
          <w:b/>
        </w:rPr>
      </w:pPr>
      <w:r w:rsidRPr="00047E6A">
        <w:rPr>
          <w:b/>
        </w:rPr>
        <w:t>LA COMISIÓN DE REGULACIÓN DE ENERGÍA Y GAS</w:t>
      </w:r>
      <w:bookmarkEnd w:id="0"/>
    </w:p>
    <w:p w:rsidR="00A71B19" w:rsidRPr="00402DAB" w:rsidRDefault="00A71B19" w:rsidP="00A71B19">
      <w:pPr>
        <w:rPr>
          <w:rFonts w:cs="Arial"/>
        </w:rPr>
      </w:pPr>
    </w:p>
    <w:p w:rsidR="00A71B19" w:rsidRPr="00402DAB" w:rsidRDefault="00A71B19" w:rsidP="00A71B19">
      <w:pPr>
        <w:rPr>
          <w:rFonts w:cs="Arial"/>
        </w:rPr>
      </w:pPr>
    </w:p>
    <w:p w:rsidR="00A71B19" w:rsidRPr="00402DAB" w:rsidRDefault="00A71B19" w:rsidP="00A71B19">
      <w:pPr>
        <w:rPr>
          <w:rFonts w:cs="Arial"/>
        </w:rPr>
      </w:pPr>
      <w:r w:rsidRPr="00402DAB">
        <w:rPr>
          <w:rFonts w:cs="Arial"/>
        </w:rPr>
        <w:t>en ejercicio de las atribuciones legales, en especial las conferidas por las Leyes 142 y 143 de 1994, y los decretos 1524 y 2253 de 1994.</w:t>
      </w:r>
    </w:p>
    <w:p w:rsidR="00A71B19" w:rsidRPr="00402DAB" w:rsidRDefault="00A71B19" w:rsidP="00A71B19">
      <w:pPr>
        <w:rPr>
          <w:rFonts w:cs="Arial"/>
        </w:rPr>
      </w:pPr>
    </w:p>
    <w:p w:rsidR="00A71B19" w:rsidRPr="00402DAB" w:rsidRDefault="00A71B19" w:rsidP="00A71B19">
      <w:pPr>
        <w:rPr>
          <w:rFonts w:cs="Arial"/>
        </w:rPr>
      </w:pPr>
    </w:p>
    <w:p w:rsidR="00A71B19" w:rsidRDefault="00A71B19" w:rsidP="00A71B19">
      <w:pPr>
        <w:jc w:val="center"/>
        <w:rPr>
          <w:rFonts w:cs="Arial"/>
          <w:b/>
        </w:rPr>
      </w:pPr>
      <w:bookmarkStart w:id="1" w:name="_Toc259626850"/>
      <w:r w:rsidRPr="00047E6A">
        <w:rPr>
          <w:b/>
        </w:rPr>
        <w:t>C</w:t>
      </w:r>
      <w:r>
        <w:rPr>
          <w:b/>
        </w:rPr>
        <w:t xml:space="preserve"> </w:t>
      </w:r>
      <w:r w:rsidRPr="00047E6A">
        <w:rPr>
          <w:b/>
        </w:rPr>
        <w:t>O</w:t>
      </w:r>
      <w:r>
        <w:rPr>
          <w:b/>
        </w:rPr>
        <w:t xml:space="preserve"> </w:t>
      </w:r>
      <w:r w:rsidRPr="00047E6A">
        <w:rPr>
          <w:b/>
        </w:rPr>
        <w:t>N</w:t>
      </w:r>
      <w:r>
        <w:rPr>
          <w:b/>
        </w:rPr>
        <w:t xml:space="preserve"> </w:t>
      </w:r>
      <w:r w:rsidRPr="00047E6A">
        <w:rPr>
          <w:b/>
        </w:rPr>
        <w:t>S</w:t>
      </w:r>
      <w:r>
        <w:rPr>
          <w:b/>
        </w:rPr>
        <w:t xml:space="preserve"> </w:t>
      </w:r>
      <w:r w:rsidRPr="00047E6A">
        <w:rPr>
          <w:b/>
        </w:rPr>
        <w:t>I</w:t>
      </w:r>
      <w:r>
        <w:rPr>
          <w:b/>
        </w:rPr>
        <w:t xml:space="preserve"> </w:t>
      </w:r>
      <w:r w:rsidRPr="00047E6A">
        <w:rPr>
          <w:b/>
        </w:rPr>
        <w:t>D</w:t>
      </w:r>
      <w:r>
        <w:rPr>
          <w:b/>
        </w:rPr>
        <w:t xml:space="preserve"> </w:t>
      </w:r>
      <w:r w:rsidRPr="00047E6A">
        <w:rPr>
          <w:b/>
        </w:rPr>
        <w:t>E</w:t>
      </w:r>
      <w:r>
        <w:rPr>
          <w:b/>
        </w:rPr>
        <w:t xml:space="preserve"> </w:t>
      </w:r>
      <w:r w:rsidRPr="00047E6A">
        <w:rPr>
          <w:b/>
        </w:rPr>
        <w:t>R</w:t>
      </w:r>
      <w:r>
        <w:rPr>
          <w:b/>
        </w:rPr>
        <w:t xml:space="preserve"> </w:t>
      </w:r>
      <w:r w:rsidRPr="00047E6A">
        <w:rPr>
          <w:b/>
        </w:rPr>
        <w:t>A</w:t>
      </w:r>
      <w:r>
        <w:rPr>
          <w:b/>
        </w:rPr>
        <w:t xml:space="preserve"> </w:t>
      </w:r>
      <w:r w:rsidRPr="00047E6A">
        <w:rPr>
          <w:b/>
        </w:rPr>
        <w:t>N</w:t>
      </w:r>
      <w:r>
        <w:rPr>
          <w:b/>
        </w:rPr>
        <w:t xml:space="preserve"> </w:t>
      </w:r>
      <w:r w:rsidRPr="00047E6A">
        <w:rPr>
          <w:b/>
        </w:rPr>
        <w:t>D</w:t>
      </w:r>
      <w:r>
        <w:rPr>
          <w:b/>
        </w:rPr>
        <w:t xml:space="preserve"> </w:t>
      </w:r>
      <w:r w:rsidRPr="00047E6A">
        <w:rPr>
          <w:b/>
        </w:rPr>
        <w:t>O</w:t>
      </w:r>
      <w:r w:rsidRPr="00047E6A">
        <w:rPr>
          <w:rFonts w:cs="Arial"/>
          <w:b/>
        </w:rPr>
        <w:t>:</w:t>
      </w:r>
      <w:bookmarkEnd w:id="1"/>
    </w:p>
    <w:p w:rsidR="00A71B19" w:rsidRDefault="00A71B19" w:rsidP="00A71B19">
      <w:pPr>
        <w:jc w:val="center"/>
        <w:rPr>
          <w:rFonts w:cs="Arial"/>
          <w:b/>
        </w:rPr>
      </w:pPr>
    </w:p>
    <w:p w:rsidR="00712CE2" w:rsidRDefault="00712CE2" w:rsidP="00A71B19">
      <w:pPr>
        <w:jc w:val="center"/>
        <w:rPr>
          <w:rFonts w:cs="Arial"/>
          <w:b/>
        </w:rPr>
      </w:pPr>
    </w:p>
    <w:p w:rsidR="00A71B19" w:rsidRPr="00A543E2" w:rsidRDefault="00A71B19" w:rsidP="00A71B19">
      <w:r w:rsidRPr="00402DAB">
        <w:t xml:space="preserve">Que </w:t>
      </w:r>
      <w:r>
        <w:t>conforme a</w:t>
      </w:r>
      <w:r w:rsidRPr="00402DAB">
        <w:t xml:space="preserve"> lo previsto en </w:t>
      </w:r>
      <w:r w:rsidRPr="00A543E2">
        <w:t>el numeral 14.10 del artículo 14,</w:t>
      </w:r>
      <w:r w:rsidRPr="00F17E8D">
        <w:t xml:space="preserve"> de la Ley 142 de 1</w:t>
      </w:r>
      <w:r>
        <w:t>994 la libertad regulada es el r</w:t>
      </w:r>
      <w:r w:rsidRPr="00F17E8D">
        <w:t>égimen de tarifas mediante el cual la comisió</w:t>
      </w:r>
      <w:r>
        <w:t>n</w:t>
      </w:r>
      <w:r w:rsidRPr="00F17E8D">
        <w:t xml:space="preserve"> de regulación respectiva fijará los criterios y la metodología con arreglo a los cuales las empresas de servicios públicos domiciliarios pueden determinar o modificar los precios máximos para los servicios of</w:t>
      </w:r>
      <w:r w:rsidR="009F4883">
        <w:t>recidos al usuario o consumidor;</w:t>
      </w:r>
    </w:p>
    <w:p w:rsidR="00A71B19" w:rsidRPr="00A543E2" w:rsidRDefault="00A71B19" w:rsidP="00A71B19"/>
    <w:p w:rsidR="00A71B19" w:rsidRPr="00A543E2" w:rsidRDefault="00A71B19" w:rsidP="00A71B19">
      <w:r w:rsidRPr="00F17E8D">
        <w:t xml:space="preserve">Que de acuerdo  con el numeral 88.1 del artículo 88 de la Ley 142 de 1994, </w:t>
      </w:r>
      <w:r>
        <w:t>“</w:t>
      </w:r>
      <w:r w:rsidRPr="00F17E8D">
        <w:t>las empresas deberán ceñirse a las fórmulas que defina periódicamente la respectiva comisión para fijar sus tarifas, salvo en los casos excepcionales que señala la Ley. De acuerdo con los estudios de costos, la comisión reguladora podrá establecer topes máximos y mínimos tarifarios, de obligatorio cumplimiento por parte de las empresas; igualmente, podrá definir las metodologías para det</w:t>
      </w:r>
      <w:r>
        <w:t>e</w:t>
      </w:r>
      <w:r w:rsidRPr="00F17E8D">
        <w:t>rminación de tarifas si conviene en aplicar el régimen de libertad regulada o vigilada</w:t>
      </w:r>
      <w:r>
        <w:t>”</w:t>
      </w:r>
      <w:r w:rsidR="009F4883">
        <w:t>;</w:t>
      </w:r>
    </w:p>
    <w:p w:rsidR="00A71B19" w:rsidRPr="00A543E2" w:rsidRDefault="00A71B19" w:rsidP="00A71B19"/>
    <w:p w:rsidR="00A71B19" w:rsidRPr="00402DAB" w:rsidRDefault="00A71B19" w:rsidP="00A71B19">
      <w:r w:rsidRPr="00F17E8D">
        <w:t xml:space="preserve">Que en concordancia con lo anterior, </w:t>
      </w:r>
      <w:r w:rsidRPr="00A543E2">
        <w:t>el artículo</w:t>
      </w:r>
      <w:r w:rsidRPr="00F17E8D">
        <w:t xml:space="preserve"> 11 de la Ley 143 de 1994</w:t>
      </w:r>
      <w:r w:rsidR="009F4883">
        <w:t xml:space="preserve"> dispone que</w:t>
      </w:r>
      <w:r w:rsidRPr="00A543E2">
        <w:t>, bajo el régimen tarifario de libertad regulada le corresponde a la Comisión de Regulación</w:t>
      </w:r>
      <w:r w:rsidRPr="00402DAB">
        <w:t xml:space="preserve"> de Energía y Gas fijar “los criterios y la metodología con arreglo a los cuales las empresas de electricidad podrán determinar o modificar los precios máximos para los servicios ofrecidos”;</w:t>
      </w:r>
    </w:p>
    <w:p w:rsidR="00A71B19" w:rsidRDefault="00A71B19" w:rsidP="00A71B19">
      <w:pPr>
        <w:jc w:val="center"/>
        <w:rPr>
          <w:rFonts w:cs="Arial"/>
          <w:b/>
        </w:rPr>
      </w:pPr>
    </w:p>
    <w:p w:rsidR="00A71B19" w:rsidRPr="00402DAB" w:rsidRDefault="00822579" w:rsidP="00A71B19">
      <w:r>
        <w:rPr>
          <w:noProof/>
          <w:lang w:val="es-CO" w:eastAsia="es-CO"/>
        </w:rPr>
        <w:pict>
          <v:shapetype id="_x0000_t202" coordsize="21600,21600" o:spt="202" path="m,l,21600r21600,l21600,xe">
            <v:stroke joinstyle="miter"/>
            <v:path gradientshapeok="t" o:connecttype="rect"/>
          </v:shapetype>
          <v:shape id="_x0000_s1044" type="#_x0000_t202" style="position:absolute;left:0;text-align:left;margin-left:-16.2pt;margin-top:-103.9pt;width:7.15pt;height:7.15pt;z-index:251661312" filled="f" stroked="f">
            <v:textbox style="mso-next-textbox:#_x0000_s1044">
              <w:txbxContent>
                <w:p w:rsidR="000E07D9" w:rsidRDefault="000E07D9" w:rsidP="00A71B19"/>
              </w:txbxContent>
            </v:textbox>
          </v:shape>
        </w:pict>
      </w:r>
      <w:r w:rsidR="00A71B19" w:rsidRPr="00402DAB">
        <w:t xml:space="preserve">Que según lo dispuesto en </w:t>
      </w:r>
      <w:r w:rsidR="00A71B19">
        <w:t xml:space="preserve">el artículo </w:t>
      </w:r>
      <w:r w:rsidR="00A71B19" w:rsidRPr="00402DAB">
        <w:t>87 de la Ley 142</w:t>
      </w:r>
      <w:r w:rsidR="00A71B19">
        <w:t xml:space="preserve"> y el a</w:t>
      </w:r>
      <w:r w:rsidR="00A71B19" w:rsidRPr="00402DAB">
        <w:t>rtículo 44 de la Ley 143 del mismo año, el régimen tarifario para usuarios finales regulados de una misma empresa estará orientado por los criterios de eficiencia económica, suficiencia financiera, neutralidad, solidaridad y redistribución del ingreso, simplicidad y transparencia;</w:t>
      </w:r>
    </w:p>
    <w:p w:rsidR="00A71B19" w:rsidRPr="00402DAB" w:rsidRDefault="00A71B19" w:rsidP="00A71B19"/>
    <w:p w:rsidR="00A71B19" w:rsidRPr="00402DAB" w:rsidRDefault="00A71B19" w:rsidP="00A71B19">
      <w:r w:rsidRPr="00402DAB">
        <w:t xml:space="preserve">Que en virtud del principio de eficiencia económica definido en </w:t>
      </w:r>
      <w:r w:rsidRPr="00F3582D">
        <w:t>el numeral 87.1 del artículo 87 de la Ley 142 y el artículo 44 de la Ley 143 de</w:t>
      </w:r>
      <w:r w:rsidRPr="00402DAB">
        <w:t xml:space="preserve">l mismo año, el régimen de tarifas procurará que éstas se aproximen a lo que serían los precios de un mercado competitivo, garantizándose una asignación eficiente de recursos en la economía; </w:t>
      </w:r>
    </w:p>
    <w:p w:rsidR="00A71B19" w:rsidRPr="00402DAB" w:rsidRDefault="00A71B19" w:rsidP="00A71B19"/>
    <w:p w:rsidR="00A71B19" w:rsidRDefault="00A71B19" w:rsidP="00A71B19">
      <w:r>
        <w:t>Que el artículo 144 de la Ley 142 de 1994 establece que los contratos uniformes pueden exigir que los suscriptores o usuarios adquieran, instalen, mantengan y reparen los instrumentos necesarios para medir sus consumos, que la empresa podrá establecer en las condiciones uniformes del contrato las características técnicas de los medidores, y del mantenimiento que deba dárselas y que será obligación de los usuarios hacerlos reparar o reemplazarlos, a satisfacción de la empresa, cuando se establezca que el funcionamiento no permite determinar en forma adecuada los consumos, o cuando el desarrollo tecnológico ponga a su disposición instrumentos de medida más precisos;</w:t>
      </w:r>
    </w:p>
    <w:p w:rsidR="00A71B19" w:rsidRDefault="00A71B19" w:rsidP="00A71B19"/>
    <w:p w:rsidR="00A71B19" w:rsidRPr="00402DAB" w:rsidRDefault="00A71B19" w:rsidP="00A71B19">
      <w:r w:rsidRPr="00402DAB">
        <w:t xml:space="preserve">Que de acuerdo con el </w:t>
      </w:r>
      <w:r>
        <w:t xml:space="preserve">numeral </w:t>
      </w:r>
      <w:r w:rsidRPr="00402DAB">
        <w:t xml:space="preserve">87.8 </w:t>
      </w:r>
      <w:r>
        <w:t xml:space="preserve"> del a</w:t>
      </w:r>
      <w:r w:rsidRPr="00402DAB">
        <w:t xml:space="preserve">rtículo </w:t>
      </w:r>
      <w:r>
        <w:t xml:space="preserve">87 </w:t>
      </w:r>
      <w:r w:rsidRPr="00402DAB">
        <w:t>de la Ley 142 de 1994, toda tarifa tendrá un carácter integral, en el sentido de que supondrá una calidad y grado de cobertura del servicio, cuyas características definirán las comisiones reguladoras. Un cambio en estas características se considerará como un cambio en la tarifa;</w:t>
      </w:r>
    </w:p>
    <w:p w:rsidR="00A71B19" w:rsidRDefault="00A71B19" w:rsidP="00A71B19">
      <w:pPr>
        <w:jc w:val="center"/>
        <w:rPr>
          <w:rFonts w:cs="Arial"/>
          <w:b/>
        </w:rPr>
      </w:pPr>
    </w:p>
    <w:p w:rsidR="00A71B19" w:rsidRPr="00402DAB" w:rsidRDefault="00A71B19" w:rsidP="00A71B19">
      <w:pPr>
        <w:rPr>
          <w:rFonts w:cs="Arial"/>
        </w:rPr>
      </w:pPr>
      <w:r w:rsidRPr="00402DAB">
        <w:rPr>
          <w:rFonts w:cs="Arial"/>
        </w:rPr>
        <w:t xml:space="preserve">Que según lo previsto en </w:t>
      </w:r>
      <w:r>
        <w:rPr>
          <w:rFonts w:cs="Arial"/>
        </w:rPr>
        <w:t>el a</w:t>
      </w:r>
      <w:r w:rsidRPr="00402DAB">
        <w:rPr>
          <w:rFonts w:cs="Arial"/>
        </w:rPr>
        <w:t>rtículo 6</w:t>
      </w:r>
      <w:r>
        <w:rPr>
          <w:rFonts w:cs="Arial"/>
        </w:rPr>
        <w:t xml:space="preserve">º de </w:t>
      </w:r>
      <w:r w:rsidRPr="00402DAB">
        <w:rPr>
          <w:rFonts w:cs="Arial"/>
        </w:rPr>
        <w:t>la Ley 143 de 1994</w:t>
      </w:r>
      <w:r w:rsidR="009F4883">
        <w:rPr>
          <w:rFonts w:cs="Arial"/>
        </w:rPr>
        <w:t>,</w:t>
      </w:r>
      <w:r w:rsidRPr="00402DAB">
        <w:rPr>
          <w:rFonts w:cs="Arial"/>
        </w:rPr>
        <w:t xml:space="preserve"> la actividad de distribución de energía eléctrica se rige por los principios de eficiencia, calidad, continuidad, adaptabilidad, neutralidad, solidaridad y equidad;</w:t>
      </w:r>
    </w:p>
    <w:p w:rsidR="00A71B19" w:rsidRPr="00047E6A" w:rsidRDefault="00A71B19" w:rsidP="00A71B19">
      <w:pPr>
        <w:jc w:val="center"/>
        <w:rPr>
          <w:rFonts w:cs="Arial"/>
          <w:b/>
        </w:rPr>
      </w:pPr>
    </w:p>
    <w:p w:rsidR="00A71B19" w:rsidRPr="00402DAB" w:rsidRDefault="00A71B19" w:rsidP="00A71B19">
      <w:r>
        <w:t xml:space="preserve">Que conforme al artículo 126 de la Ley 142 de 1994, las fórmulas tarifarias tendrán una vigencia de cinco (5) años, salvo que antes haya </w:t>
      </w:r>
      <w:r w:rsidRPr="00323F10">
        <w:t>acuerdo</w:t>
      </w:r>
      <w:r>
        <w:t xml:space="preserve"> entre la empresa de servicios públicos y la comisión para modificarlas o prorrogarlas por un período igual. </w:t>
      </w:r>
    </w:p>
    <w:p w:rsidR="00A71B19" w:rsidRDefault="00A71B19" w:rsidP="00A71B19">
      <w:pPr>
        <w:rPr>
          <w:rFonts w:cs="Arial"/>
        </w:rPr>
      </w:pPr>
    </w:p>
    <w:p w:rsidR="00A71B19" w:rsidRPr="00402DAB" w:rsidRDefault="00A71B19" w:rsidP="00A71B19">
      <w:pPr>
        <w:rPr>
          <w:rFonts w:cs="Arial"/>
        </w:rPr>
      </w:pPr>
      <w:r w:rsidRPr="00402DAB">
        <w:rPr>
          <w:rFonts w:cs="Arial"/>
        </w:rPr>
        <w:t xml:space="preserve">Que de acuerdo con lo previsto en los </w:t>
      </w:r>
      <w:r>
        <w:rPr>
          <w:rFonts w:cs="Arial"/>
        </w:rPr>
        <w:t>a</w:t>
      </w:r>
      <w:r w:rsidRPr="00402DAB">
        <w:rPr>
          <w:rFonts w:cs="Arial"/>
        </w:rPr>
        <w:t xml:space="preserve">rtículos 23, </w:t>
      </w:r>
      <w:r>
        <w:rPr>
          <w:rFonts w:cs="Arial"/>
        </w:rPr>
        <w:t>l</w:t>
      </w:r>
      <w:r w:rsidRPr="00402DAB">
        <w:rPr>
          <w:rFonts w:cs="Arial"/>
        </w:rPr>
        <w:t>iterales c) y d), y 41 de la Ley 143 de 1994, es función de la Comisión de Regulación de Energía y Gas definir la metodología para el cálculo y fijar las tarifas por el acceso y uso de las redes eléctricas, así como el procedimiento para hacer efectivo su pago;</w:t>
      </w:r>
    </w:p>
    <w:p w:rsidR="00A71B19" w:rsidRPr="00402DAB" w:rsidRDefault="00A71B19" w:rsidP="00A71B19">
      <w:pPr>
        <w:rPr>
          <w:rFonts w:cs="Arial"/>
        </w:rPr>
      </w:pPr>
    </w:p>
    <w:p w:rsidR="00A71B19" w:rsidRPr="00402DAB" w:rsidRDefault="00A71B19" w:rsidP="00A71B19">
      <w:r w:rsidRPr="00402DAB">
        <w:t xml:space="preserve">Que </w:t>
      </w:r>
      <w:r>
        <w:t>el a</w:t>
      </w:r>
      <w:r w:rsidRPr="00402DAB">
        <w:t>rtículo 45</w:t>
      </w:r>
      <w:r>
        <w:t xml:space="preserve"> de </w:t>
      </w:r>
      <w:r w:rsidRPr="00402DAB">
        <w:t>la Ley 143 de 1994</w:t>
      </w:r>
      <w:r>
        <w:t xml:space="preserve"> </w:t>
      </w:r>
      <w:r w:rsidRPr="00402DAB">
        <w:t>dispuso que “los costos de distribución que servirán de base para la definición de tarifas a los usuarios regulados del servicio de electricidad, por parte de la Comisión de Regulación de Energía y Gas, tendrán en cuenta empresas eficientes de referencia según áreas de distribución comparables, teniendo en cuenta las características propias de la región, tomarán en cuenta los costos de inversión de las redes de distribución, incluido el costo de oportunidad de capital, y los costos de administración, operación y mantenimiento por unidad de potencia máxima suministrada. Además, tendrán en cuenta niveles de pérdidas de energía y potencia característicos de empresas eficientes comparables”;</w:t>
      </w:r>
    </w:p>
    <w:p w:rsidR="00A71B19" w:rsidRPr="00402DAB" w:rsidRDefault="00A71B19" w:rsidP="00A71B19"/>
    <w:p w:rsidR="00A71B19" w:rsidRDefault="00A71B19" w:rsidP="00A71B19">
      <w:r w:rsidRPr="00402DAB">
        <w:t>Que mediante el Decreto</w:t>
      </w:r>
      <w:r>
        <w:t xml:space="preserve"> </w:t>
      </w:r>
      <w:r w:rsidRPr="00402DAB">
        <w:t>387 de 2007, modificado por el Decreto 4977 de 2007, el Gobierno Nacional estableció las políticas</w:t>
      </w:r>
      <w:r>
        <w:t xml:space="preserve"> generales en relación con la actividad de comercialización del servicio de energía eléctrica</w:t>
      </w:r>
      <w:r w:rsidRPr="00402DAB">
        <w:t>;</w:t>
      </w:r>
    </w:p>
    <w:p w:rsidR="00A71B19" w:rsidRDefault="00A71B19" w:rsidP="00A71B19"/>
    <w:p w:rsidR="00A71B19" w:rsidRPr="00402DAB" w:rsidRDefault="00A71B19" w:rsidP="00A71B19">
      <w:pPr>
        <w:rPr>
          <w:highlight w:val="yellow"/>
        </w:rPr>
      </w:pPr>
      <w:r w:rsidRPr="00402DAB">
        <w:t xml:space="preserve">Que </w:t>
      </w:r>
      <w:r>
        <w:t xml:space="preserve">la Comisión de Regulación de Energía y Gas </w:t>
      </w:r>
      <w:r w:rsidRPr="00402DAB">
        <w:t>mediante la Resolución CREG 119 de 2007 estableció la fórmula tarifaria general que permite a los Comercializadores Minoristas de electricidad establecer los costos de prestación del servicio a usuarios regulados en el Sistema Interconectado Nacional;</w:t>
      </w:r>
    </w:p>
    <w:p w:rsidR="00A71B19" w:rsidRPr="008C2424" w:rsidRDefault="00A71B19" w:rsidP="00A71B19">
      <w:pPr>
        <w:rPr>
          <w:sz w:val="28"/>
          <w:highlight w:val="yellow"/>
        </w:rPr>
      </w:pPr>
    </w:p>
    <w:p w:rsidR="00A71B19" w:rsidRPr="00402DAB" w:rsidRDefault="00A71B19" w:rsidP="00A71B19">
      <w:pPr>
        <w:rPr>
          <w:highlight w:val="yellow"/>
        </w:rPr>
      </w:pPr>
      <w:r w:rsidRPr="00402DAB">
        <w:t xml:space="preserve">Que </w:t>
      </w:r>
      <w:r>
        <w:t>la Comisión de Regulación de Energía y Gas</w:t>
      </w:r>
      <w:r w:rsidR="009F4883">
        <w:t>,</w:t>
      </w:r>
      <w:r>
        <w:t xml:space="preserve"> </w:t>
      </w:r>
      <w:r w:rsidRPr="00402DAB">
        <w:t>mediante la Resolución CREG 121 de 2007</w:t>
      </w:r>
      <w:r w:rsidR="009F4883">
        <w:t>,</w:t>
      </w:r>
      <w:r w:rsidRPr="00402DAB">
        <w:t xml:space="preserve"> </w:t>
      </w:r>
      <w:r>
        <w:t>incorporó</w:t>
      </w:r>
      <w:r w:rsidRPr="00402DAB">
        <w:t xml:space="preserve"> las políticas definidas en el artículo 3 del Decreto  387 de 2007, modificado por el Decreto 4977 del 27 de diciembre de 2007, en relación con la asignación de pérdidas entre Comercializadores Minoristas en un Mercado de Comercialización;</w:t>
      </w:r>
    </w:p>
    <w:p w:rsidR="00A71B19" w:rsidRPr="008C2424" w:rsidRDefault="00A71B19" w:rsidP="00A71B19">
      <w:pPr>
        <w:rPr>
          <w:sz w:val="28"/>
          <w:highlight w:val="yellow"/>
        </w:rPr>
      </w:pPr>
    </w:p>
    <w:p w:rsidR="00A71B19" w:rsidRPr="00402DAB" w:rsidRDefault="00A71B19" w:rsidP="00A71B19">
      <w:r w:rsidRPr="00402DAB">
        <w:t xml:space="preserve">Que </w:t>
      </w:r>
      <w:r>
        <w:t>la Comisión de Regulación de Energía y Gas</w:t>
      </w:r>
      <w:r w:rsidR="009F4883">
        <w:t>,</w:t>
      </w:r>
      <w:r>
        <w:t xml:space="preserve"> </w:t>
      </w:r>
      <w:r w:rsidRPr="00402DAB">
        <w:t>mediante la Resolución CREG 097 de 2008</w:t>
      </w:r>
      <w:r w:rsidR="009F4883">
        <w:t>,</w:t>
      </w:r>
      <w:r>
        <w:t xml:space="preserve"> aprobó los principios generales y la metodología para el establecimiento de los cargos por uso de los Sistemas de Transmisión Regional y Distribución Local. Dicha Resolución </w:t>
      </w:r>
      <w:r w:rsidRPr="00F17E8D">
        <w:t>incluye disposiciones correspondientes al tratamiento de las pérdidas reconocidas en los sistemas de transmisión regional y distribución local;</w:t>
      </w:r>
      <w:r w:rsidRPr="00402DAB">
        <w:t xml:space="preserve"> </w:t>
      </w:r>
    </w:p>
    <w:p w:rsidR="00A71B19" w:rsidRPr="008C2424" w:rsidRDefault="00A71B19" w:rsidP="00A71B19">
      <w:pPr>
        <w:rPr>
          <w:sz w:val="28"/>
        </w:rPr>
      </w:pPr>
    </w:p>
    <w:p w:rsidR="00A71B19" w:rsidRPr="00402DAB" w:rsidRDefault="00A71B19" w:rsidP="00A71B19">
      <w:r w:rsidRPr="00402DAB">
        <w:t xml:space="preserve">Que para el establecimiento de las pérdidas a reconocer por Operador de Red, la Comisión contrató la “Consultoría para la determinación de las pérdidas de energía en los mercados de comercialización presentes en el SIN y definición de criterios para la evaluación de Planes </w:t>
      </w:r>
      <w:r w:rsidRPr="00323F10">
        <w:t>de Reducción y/o mantenimiento de pérdidas de Energía. CDP-152-07”, co</w:t>
      </w:r>
      <w:r w:rsidRPr="00402DAB">
        <w:t>n la firma IEB Ingeniería Especializada S.A. cuyo documento final fue publicado en la página Web de la CREG con la Circular CREG 057 de 2009, mediante la cual se divulgaron los resultados obtenidos por el consultor;</w:t>
      </w:r>
    </w:p>
    <w:p w:rsidR="00A71B19" w:rsidRPr="008C2424" w:rsidRDefault="00A71B19" w:rsidP="00A71B19">
      <w:pPr>
        <w:rPr>
          <w:sz w:val="28"/>
        </w:rPr>
      </w:pPr>
    </w:p>
    <w:p w:rsidR="00A71B19" w:rsidRPr="00402DAB" w:rsidRDefault="00A71B19" w:rsidP="00A71B19">
      <w:r w:rsidRPr="00402DAB">
        <w:t>Que a través de las comunicaciones con radicados CREG E-2010-000872, E</w:t>
      </w:r>
      <w:r w:rsidRPr="00402DAB">
        <w:noBreakHyphen/>
        <w:t>2010-000913, E-2010-000315, E-2010-000891, E-2010-000925, E</w:t>
      </w:r>
      <w:r w:rsidRPr="00402DAB">
        <w:noBreakHyphen/>
        <w:t>2010</w:t>
      </w:r>
      <w:r w:rsidRPr="00402DAB">
        <w:noBreakHyphen/>
        <w:t>000930, E-2010-000934, E-2010-000935, E-2010-000936, E</w:t>
      </w:r>
      <w:r w:rsidRPr="00402DAB">
        <w:noBreakHyphen/>
        <w:t>2010</w:t>
      </w:r>
      <w:r w:rsidRPr="00402DAB">
        <w:noBreakHyphen/>
        <w:t>000937, E-2010-000939, E-2010-000941 y E-2010-000964 se recibieron comentarios de EPSA S.A. E.S.P., EDEQ S.A. E.S.P., EMCALI E.I.C.E., EEC S.A. E.S.P., CODENSA S.A. E.S.P., ASOCODIS, CHEC S.A. E.S.P., ELECTRICARIBE S.A. E.S.P., ENERTOLIMA S.A. E.S.P., CENS S.A. E.S.P., EPM E.S.P., DISPAC S.A. E.S.P. y CETSA S.A. E.S.P. respectivamente;</w:t>
      </w:r>
    </w:p>
    <w:p w:rsidR="00A71B19" w:rsidRPr="008C2424" w:rsidRDefault="00A71B19" w:rsidP="00A71B19">
      <w:pPr>
        <w:rPr>
          <w:sz w:val="28"/>
        </w:rPr>
      </w:pPr>
    </w:p>
    <w:p w:rsidR="00A71B19" w:rsidRPr="00402DAB" w:rsidRDefault="00A71B19" w:rsidP="00A71B19">
      <w:r w:rsidRPr="00402DAB">
        <w:t>Que se realizó un convenio interadministrativo entre la CREG y la Universidad Tecnológica de Pereira para el estudio de las pérdidas de energía eléctrica en las redes del nivel de tensión 1 de los sistemas de distribución local y el acompañamiento en la definición de modelos de estimación de costos de planes de reducción de pérdidas;</w:t>
      </w:r>
    </w:p>
    <w:p w:rsidR="00A71B19" w:rsidRPr="008C2424" w:rsidRDefault="00A71B19" w:rsidP="00A71B19">
      <w:pPr>
        <w:rPr>
          <w:sz w:val="28"/>
        </w:rPr>
      </w:pPr>
    </w:p>
    <w:p w:rsidR="00A71B19" w:rsidRPr="008C2424" w:rsidRDefault="00A71B19" w:rsidP="00A71B19">
      <w:pPr>
        <w:rPr>
          <w:sz w:val="28"/>
        </w:rPr>
      </w:pPr>
    </w:p>
    <w:p w:rsidR="00A71B19" w:rsidRDefault="00A71B19" w:rsidP="00A71B19">
      <w:pPr>
        <w:jc w:val="center"/>
        <w:rPr>
          <w:b/>
          <w:spacing w:val="40"/>
        </w:rPr>
      </w:pPr>
      <w:bookmarkStart w:id="2" w:name="_Toc259626851"/>
      <w:r w:rsidRPr="00047E6A">
        <w:rPr>
          <w:b/>
        </w:rPr>
        <w:t>R</w:t>
      </w:r>
      <w:r>
        <w:rPr>
          <w:b/>
        </w:rPr>
        <w:t xml:space="preserve"> </w:t>
      </w:r>
      <w:r w:rsidRPr="00047E6A">
        <w:rPr>
          <w:b/>
        </w:rPr>
        <w:t>E</w:t>
      </w:r>
      <w:r>
        <w:rPr>
          <w:b/>
        </w:rPr>
        <w:t xml:space="preserve"> </w:t>
      </w:r>
      <w:r w:rsidRPr="00047E6A">
        <w:rPr>
          <w:b/>
        </w:rPr>
        <w:t>S</w:t>
      </w:r>
      <w:r>
        <w:rPr>
          <w:b/>
        </w:rPr>
        <w:t xml:space="preserve"> </w:t>
      </w:r>
      <w:r w:rsidRPr="00047E6A">
        <w:rPr>
          <w:b/>
        </w:rPr>
        <w:t>U</w:t>
      </w:r>
      <w:r>
        <w:rPr>
          <w:b/>
        </w:rPr>
        <w:t xml:space="preserve"> </w:t>
      </w:r>
      <w:r w:rsidRPr="00047E6A">
        <w:rPr>
          <w:b/>
        </w:rPr>
        <w:t>E</w:t>
      </w:r>
      <w:r>
        <w:rPr>
          <w:b/>
        </w:rPr>
        <w:t xml:space="preserve"> </w:t>
      </w:r>
      <w:r w:rsidRPr="00047E6A">
        <w:rPr>
          <w:b/>
        </w:rPr>
        <w:t>L</w:t>
      </w:r>
      <w:r>
        <w:rPr>
          <w:b/>
        </w:rPr>
        <w:t xml:space="preserve"> </w:t>
      </w:r>
      <w:r w:rsidRPr="00047E6A">
        <w:rPr>
          <w:b/>
        </w:rPr>
        <w:t>V</w:t>
      </w:r>
      <w:r>
        <w:rPr>
          <w:b/>
        </w:rPr>
        <w:t xml:space="preserve"> </w:t>
      </w:r>
      <w:r w:rsidRPr="00047E6A">
        <w:rPr>
          <w:b/>
          <w:spacing w:val="40"/>
        </w:rPr>
        <w:t>E:</w:t>
      </w:r>
      <w:bookmarkEnd w:id="2"/>
    </w:p>
    <w:p w:rsidR="00A71B19" w:rsidRDefault="00A71B19" w:rsidP="00A71B19">
      <w:pPr>
        <w:jc w:val="center"/>
        <w:rPr>
          <w:b/>
          <w:spacing w:val="40"/>
        </w:rPr>
      </w:pPr>
    </w:p>
    <w:p w:rsidR="00A71B19" w:rsidRDefault="00A71B19" w:rsidP="00A71B19">
      <w:pPr>
        <w:jc w:val="center"/>
        <w:rPr>
          <w:b/>
          <w:spacing w:val="40"/>
        </w:rPr>
      </w:pPr>
    </w:p>
    <w:p w:rsidR="00A71B19" w:rsidRPr="00755951" w:rsidRDefault="00A71B19" w:rsidP="00A71B19">
      <w:pPr>
        <w:pStyle w:val="Artculo"/>
        <w:numPr>
          <w:ilvl w:val="0"/>
          <w:numId w:val="2"/>
        </w:numPr>
        <w:tabs>
          <w:tab w:val="left" w:pos="1701"/>
        </w:tabs>
        <w:ind w:left="0" w:firstLine="0"/>
        <w:rPr>
          <w:b w:val="0"/>
        </w:rPr>
      </w:pPr>
      <w:r>
        <w:t xml:space="preserve">Objeto y </w:t>
      </w:r>
      <w:r w:rsidRPr="000F4EB9">
        <w:t>Ámbito de aplicación</w:t>
      </w:r>
      <w:r>
        <w:t xml:space="preserve">. </w:t>
      </w:r>
      <w:r w:rsidRPr="00755951">
        <w:rPr>
          <w:b w:val="0"/>
        </w:rPr>
        <w:t>La presente resolución</w:t>
      </w:r>
      <w:r>
        <w:rPr>
          <w:b w:val="0"/>
        </w:rPr>
        <w:t xml:space="preserve"> tiene por objeto  establecer la metodología para el establecimiento de los planes de reducción de pérdidas no técnicas de energía en los Sistemas de Distribución Local. Se</w:t>
      </w:r>
      <w:r w:rsidRPr="00755951">
        <w:rPr>
          <w:b w:val="0"/>
        </w:rPr>
        <w:t xml:space="preserve"> aplica</w:t>
      </w:r>
      <w:r>
        <w:rPr>
          <w:b w:val="0"/>
        </w:rPr>
        <w:t>rá</w:t>
      </w:r>
      <w:r w:rsidRPr="00755951">
        <w:rPr>
          <w:b w:val="0"/>
        </w:rPr>
        <w:t xml:space="preserve"> a los Operadores de Red y Comercializadores Minoristas que atienden usuarios regulados y no regulados en el Sistema Interconectado Nacional.  </w:t>
      </w:r>
    </w:p>
    <w:p w:rsidR="00A71B19" w:rsidRPr="00047E6A" w:rsidRDefault="00A71B19" w:rsidP="00A71B19">
      <w:pPr>
        <w:jc w:val="center"/>
        <w:rPr>
          <w:b/>
          <w:spacing w:val="40"/>
        </w:rPr>
      </w:pPr>
    </w:p>
    <w:p w:rsidR="00A71B19" w:rsidRPr="00755951" w:rsidRDefault="00A71B19" w:rsidP="00A71B19">
      <w:pPr>
        <w:pStyle w:val="Artculo"/>
        <w:numPr>
          <w:ilvl w:val="0"/>
          <w:numId w:val="2"/>
        </w:numPr>
        <w:tabs>
          <w:tab w:val="left" w:pos="1701"/>
        </w:tabs>
        <w:ind w:left="0" w:firstLine="0"/>
        <w:rPr>
          <w:b w:val="0"/>
        </w:rPr>
      </w:pPr>
      <w:bookmarkStart w:id="3" w:name="_Ref207937090"/>
      <w:r w:rsidRPr="00402DAB">
        <w:t xml:space="preserve">Definiciones. </w:t>
      </w:r>
      <w:r w:rsidRPr="00755951">
        <w:rPr>
          <w:b w:val="0"/>
        </w:rPr>
        <w:t>Para la interpretación y aplicación de esta Resolución, se tendrán en cuenta, además de las definiciones establecidas en las Leyes 142 y 143 de 1994, en el Decreto 387 de 2007 y en las resoluciones vigentes de la CREG, las siguientes:</w:t>
      </w:r>
      <w:bookmarkEnd w:id="3"/>
    </w:p>
    <w:p w:rsidR="00A71B19" w:rsidRPr="00402DAB" w:rsidRDefault="00A71B19" w:rsidP="00A71B19"/>
    <w:p w:rsidR="00A71B19" w:rsidRPr="00402DAB" w:rsidRDefault="00A71B19" w:rsidP="00A71B19">
      <w:r w:rsidRPr="00402DAB">
        <w:rPr>
          <w:b/>
        </w:rPr>
        <w:t>Actividad de Comercialización Minorista:</w:t>
      </w:r>
      <w:r w:rsidRPr="00402DAB">
        <w:t xml:space="preserve"> Actividad que consiste en la intermediación comercial entre los agentes que prestan los servicios de generación, transmisión y distribución de energía eléctrica y los usuarios finales de dichos servicios, bien sea que esa actividad se desarrolle o no en forma combinada con otras actividades del sector eléctrico, según lo dispuesto por la regulación y la ley.</w:t>
      </w:r>
    </w:p>
    <w:p w:rsidR="00A71B19" w:rsidRPr="00402DAB" w:rsidRDefault="00A71B19" w:rsidP="00A71B19"/>
    <w:p w:rsidR="00A71B19" w:rsidRPr="00402DAB" w:rsidRDefault="00A71B19" w:rsidP="00A71B19">
      <w:r w:rsidRPr="00402DAB">
        <w:rPr>
          <w:b/>
        </w:rPr>
        <w:t>Comercializador Minorista:</w:t>
      </w:r>
      <w:r w:rsidRPr="00402DAB">
        <w:t xml:space="preserve"> Generador-Comercializador, Distribuidor-Comercializador o Comercializador que desarrolla la Actividad de Comercialización Minorista.</w:t>
      </w:r>
      <w:r w:rsidRPr="00290430">
        <w:t xml:space="preserve"> </w:t>
      </w:r>
    </w:p>
    <w:p w:rsidR="00A71B19" w:rsidRDefault="00A71B19" w:rsidP="00A71B19"/>
    <w:p w:rsidR="00A71B19" w:rsidRDefault="00A71B19" w:rsidP="00A71B19">
      <w:r w:rsidRPr="00EA4984">
        <w:rPr>
          <w:b/>
        </w:rPr>
        <w:t>CAP</w:t>
      </w:r>
      <w:r w:rsidRPr="00EA4984">
        <w:rPr>
          <w:b/>
          <w:vertAlign w:val="subscript"/>
        </w:rPr>
        <w:t>j</w:t>
      </w:r>
      <w:r w:rsidRPr="00EA4984">
        <w:rPr>
          <w:b/>
        </w:rPr>
        <w:t xml:space="preserve">: </w:t>
      </w:r>
      <w:r w:rsidRPr="00EA4984">
        <w:t xml:space="preserve">Costo anual del Plan de Reducción de Pérdidas </w:t>
      </w:r>
      <w:r w:rsidRPr="00E8683E">
        <w:t>no Técnicas</w:t>
      </w:r>
      <w:r w:rsidRPr="00EA4984">
        <w:t xml:space="preserve"> del mercado de comercialización j, aprobado al OR.</w:t>
      </w:r>
    </w:p>
    <w:p w:rsidR="00A71B19" w:rsidRDefault="00A71B19" w:rsidP="00A71B19">
      <w:pPr>
        <w:rPr>
          <w:b/>
        </w:rPr>
      </w:pPr>
    </w:p>
    <w:p w:rsidR="00A71B19" w:rsidRDefault="00A71B19" w:rsidP="00A71B19">
      <w:r w:rsidRPr="00EA4984">
        <w:rPr>
          <w:b/>
        </w:rPr>
        <w:t>CPROG</w:t>
      </w:r>
      <w:r w:rsidRPr="00EA4984">
        <w:rPr>
          <w:b/>
          <w:vertAlign w:val="subscript"/>
        </w:rPr>
        <w:t>j,m</w:t>
      </w:r>
      <w:r w:rsidRPr="00EA4984">
        <w:rPr>
          <w:b/>
        </w:rPr>
        <w:t>:</w:t>
      </w:r>
      <w:r w:rsidRPr="00EA4984">
        <w:tab/>
        <w:t>Cargo en $/kWh por concepto del Plan de Reducción de Pérdidas</w:t>
      </w:r>
      <w:r w:rsidRPr="00E8683E">
        <w:t xml:space="preserve"> no Técnicas</w:t>
      </w:r>
      <w:r w:rsidRPr="00EA4984">
        <w:t>, del mercado de comercialización j, en el mes m.</w:t>
      </w:r>
    </w:p>
    <w:p w:rsidR="00A71B19" w:rsidRDefault="00A71B19" w:rsidP="00A71B19"/>
    <w:p w:rsidR="00A71B19" w:rsidRPr="00402DAB" w:rsidRDefault="00A71B19" w:rsidP="00A71B19">
      <w:pPr>
        <w:suppressAutoHyphens/>
        <w:rPr>
          <w:rFonts w:cs="Arial"/>
          <w:lang w:val="es-CO" w:eastAsia="ar-SA"/>
        </w:rPr>
      </w:pPr>
      <w:r w:rsidRPr="00402DAB">
        <w:rPr>
          <w:rFonts w:cs="Arial"/>
          <w:b/>
          <w:bCs/>
          <w:lang w:val="es-CO" w:eastAsia="ar-SA"/>
        </w:rPr>
        <w:t>Liquidador y Administrador de Cuentas -LAC-:</w:t>
      </w:r>
      <w:r w:rsidRPr="00402DAB">
        <w:rPr>
          <w:rFonts w:cs="Arial"/>
          <w:b/>
          <w:lang w:val="es-CO" w:eastAsia="ar-SA"/>
        </w:rPr>
        <w:t xml:space="preserve"> </w:t>
      </w:r>
      <w:r w:rsidRPr="00402DAB">
        <w:rPr>
          <w:rFonts w:cs="Arial"/>
          <w:lang w:val="es-CO" w:eastAsia="ar-SA"/>
        </w:rPr>
        <w:t xml:space="preserve">Entidad encargada de la Liquidación y Administración de Cuentas de los cargos por uso de las redes del Sistema Interconectado Nacional que le sean asignadas y de calcular el ingreso regulado de los transportadores, de acuerdo con las disposiciones contenidas en la regulación vigente. </w:t>
      </w:r>
    </w:p>
    <w:p w:rsidR="00A71B19" w:rsidRDefault="00A71B19" w:rsidP="00A71B19"/>
    <w:p w:rsidR="00A71B19" w:rsidRPr="00F3582D" w:rsidRDefault="00A71B19" w:rsidP="00A71B19">
      <w:r w:rsidRPr="00402DAB">
        <w:rPr>
          <w:b/>
        </w:rPr>
        <w:t>Mercado de Comercialización:</w:t>
      </w:r>
      <w:r w:rsidRPr="00402DAB">
        <w:t xml:space="preserve"> Conjunto de Usuarios Regulados y No Regulados conectados a un mismo Sistema de Transmisión Regional y/o Distribución Local, servido por un mismo Operador de Red (OR), y los </w:t>
      </w:r>
      <w:r w:rsidRPr="00F3582D">
        <w:t>conectados al STN del área de influencia del respectivo OR.</w:t>
      </w:r>
    </w:p>
    <w:p w:rsidR="00A71B19" w:rsidRPr="00F3582D" w:rsidRDefault="00A71B19" w:rsidP="00A71B19"/>
    <w:p w:rsidR="00A71B19" w:rsidRPr="00402DAB" w:rsidRDefault="00A71B19" w:rsidP="00A71B19">
      <w:r w:rsidRPr="00F3582D">
        <w:rPr>
          <w:b/>
          <w:bCs/>
        </w:rPr>
        <w:t>Operador de Red de STR y SDL (OR).</w:t>
      </w:r>
      <w:r w:rsidRPr="00F3582D">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Domiciliarios. La unidad mínima de un SDL para que un OR solicite Cargos de Uso corresponde a un Municipio.</w:t>
      </w:r>
      <w:r w:rsidRPr="00402DAB">
        <w:t xml:space="preserve"> </w:t>
      </w:r>
    </w:p>
    <w:p w:rsidR="00A71B19" w:rsidRDefault="00A71B19" w:rsidP="00A71B19">
      <w:pPr>
        <w:rPr>
          <w:b/>
        </w:rPr>
      </w:pPr>
    </w:p>
    <w:p w:rsidR="00A71B19" w:rsidRPr="00402DAB" w:rsidRDefault="00A71B19" w:rsidP="00A71B19">
      <w:r w:rsidRPr="00402DAB">
        <w:rPr>
          <w:b/>
        </w:rPr>
        <w:t xml:space="preserve">Pérdidas Eficientes de Energía: </w:t>
      </w:r>
      <w:r w:rsidRPr="00402DAB">
        <w:t>Corresponden a</w:t>
      </w:r>
      <w:r w:rsidRPr="00402DAB">
        <w:rPr>
          <w:b/>
        </w:rPr>
        <w:t xml:space="preserve"> </w:t>
      </w:r>
      <w:r w:rsidRPr="00402DAB">
        <w:t>las pérdidas técnicas de energía en los niveles de tensión 2, 3 y 4</w:t>
      </w:r>
      <w:r>
        <w:t xml:space="preserve"> aprobadas en las resoluciones particulares que aprueban cargos por uso con base en la Resolución CREG 097 de 2008</w:t>
      </w:r>
      <w:r w:rsidRPr="00402DAB">
        <w:t>. En el nivel de tensión 1 es la suma de las pérdidas técnicas de energía más las pérdidas no técnicas reconocidas.</w:t>
      </w:r>
      <w:r>
        <w:t xml:space="preserve"> </w:t>
      </w:r>
      <w:r w:rsidRPr="00402DAB">
        <w:t xml:space="preserve"> </w:t>
      </w:r>
    </w:p>
    <w:p w:rsidR="00A71B19" w:rsidRPr="00402DAB" w:rsidRDefault="00A71B19" w:rsidP="00A71B19">
      <w:pPr>
        <w:rPr>
          <w:b/>
        </w:rPr>
      </w:pPr>
    </w:p>
    <w:p w:rsidR="008C2424" w:rsidRDefault="008C2424" w:rsidP="00A71B19">
      <w:pPr>
        <w:rPr>
          <w:b/>
        </w:rPr>
      </w:pPr>
    </w:p>
    <w:p w:rsidR="00A71B19" w:rsidRPr="00402DAB" w:rsidRDefault="00A71B19" w:rsidP="00A71B19">
      <w:r w:rsidRPr="00402DAB">
        <w:rPr>
          <w:b/>
        </w:rPr>
        <w:t>Pérdidas No Técnicas</w:t>
      </w:r>
      <w:r>
        <w:rPr>
          <w:b/>
        </w:rPr>
        <w:t xml:space="preserve"> de Energía</w:t>
      </w:r>
      <w:r w:rsidRPr="00402DAB">
        <w:rPr>
          <w:b/>
        </w:rPr>
        <w:t>:</w:t>
      </w:r>
      <w:r w:rsidRPr="00402DAB">
        <w:t xml:space="preserve"> Energía que se pierde en un Mercado de Comercialización por motivos diferentes al transporte y transformación de la energía eléctrica.  </w:t>
      </w:r>
    </w:p>
    <w:p w:rsidR="00A71B19" w:rsidRPr="00402DAB" w:rsidRDefault="00A71B19" w:rsidP="00A71B19"/>
    <w:p w:rsidR="00A71B19" w:rsidRPr="00402DAB" w:rsidRDefault="00A71B19" w:rsidP="00A71B19">
      <w:r w:rsidRPr="00402DAB">
        <w:rPr>
          <w:b/>
        </w:rPr>
        <w:t>Pérdidas Técnicas de Energía:</w:t>
      </w:r>
      <w:r w:rsidRPr="00402DAB">
        <w:t xml:space="preserve"> Energía que se pierde en los Sistemas de Transmisión Regional y/o Distribución Local durante el transporte y la transformación de la energía eléctrica.  </w:t>
      </w:r>
      <w:r w:rsidRPr="00F3582D">
        <w:t>El valor de las pérdidas técnicas de nivel de tensión 1 se aprobará en resolución aparte.</w:t>
      </w:r>
    </w:p>
    <w:p w:rsidR="00A71B19" w:rsidRPr="00402DAB" w:rsidRDefault="00A71B19" w:rsidP="00A71B19"/>
    <w:p w:rsidR="00A71B19" w:rsidRPr="00402DAB" w:rsidRDefault="00A71B19" w:rsidP="00A71B19">
      <w:r w:rsidRPr="00402DAB">
        <w:rPr>
          <w:b/>
        </w:rPr>
        <w:t>Pérdidas Totales de Energía:</w:t>
      </w:r>
      <w:r w:rsidRPr="00402DAB">
        <w:t xml:space="preserve"> Energía total que se pierde en un Mercado de Comercialización y en los Sistemas de Transmisión y/o Distribución Local por efecto de las Pérdidas Técnicas y No Técnicas de Energía, calculada según </w:t>
      </w:r>
      <w:r>
        <w:t xml:space="preserve">lo expuesto en el numeral </w:t>
      </w:r>
      <w:r w:rsidR="00822579">
        <w:fldChar w:fldCharType="begin"/>
      </w:r>
      <w:r>
        <w:instrText xml:space="preserve"> REF _Ref280338271 \r \h </w:instrText>
      </w:r>
      <w:r w:rsidR="00822579">
        <w:fldChar w:fldCharType="separate"/>
      </w:r>
      <w:r w:rsidR="00322DB3">
        <w:t>4.1.1</w:t>
      </w:r>
      <w:r w:rsidR="00822579">
        <w:fldChar w:fldCharType="end"/>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 xml:space="preserve"> de la presente resolución</w:t>
      </w:r>
      <w:r w:rsidRPr="00402DAB">
        <w:t xml:space="preserve">. </w:t>
      </w:r>
    </w:p>
    <w:p w:rsidR="00A71B19" w:rsidRPr="00402DAB" w:rsidRDefault="00A71B19" w:rsidP="00A71B19"/>
    <w:p w:rsidR="00A71B19" w:rsidRPr="00402DAB" w:rsidRDefault="00A71B19" w:rsidP="00A71B19">
      <w:pPr>
        <w:rPr>
          <w:b/>
          <w:bCs/>
        </w:rPr>
      </w:pPr>
      <w:r w:rsidRPr="00341C5E">
        <w:rPr>
          <w:b/>
          <w:bCs/>
        </w:rPr>
        <w:t xml:space="preserve">Período de evaluación: </w:t>
      </w:r>
      <w:r w:rsidRPr="00341C5E">
        <w:rPr>
          <w:bCs/>
        </w:rPr>
        <w:t>Cada uno de los dos semestres de un año.  El primer período incluirá los meses previos al primer semestre completo de ejecución del plan.</w:t>
      </w:r>
      <w:r w:rsidRPr="00341C5E">
        <w:rPr>
          <w:b/>
          <w:bCs/>
        </w:rPr>
        <w:t xml:space="preserve"> </w:t>
      </w:r>
    </w:p>
    <w:p w:rsidR="00A71B19" w:rsidRDefault="00A71B19" w:rsidP="00A71B19">
      <w:pPr>
        <w:rPr>
          <w:b/>
        </w:rPr>
      </w:pPr>
    </w:p>
    <w:p w:rsidR="00A71B19" w:rsidRDefault="00A71B19" w:rsidP="00A71B19">
      <w:r w:rsidRPr="001E6BBB">
        <w:rPr>
          <w:b/>
        </w:rPr>
        <w:t>Plan de Reducción de Pérdidas</w:t>
      </w:r>
      <w:r>
        <w:rPr>
          <w:b/>
        </w:rPr>
        <w:t xml:space="preserve"> No Técnicas</w:t>
      </w:r>
      <w:r w:rsidRPr="001E6BBB">
        <w:rPr>
          <w:b/>
        </w:rPr>
        <w:t>:</w:t>
      </w:r>
      <w:r w:rsidRPr="001E6BBB">
        <w:t xml:space="preserve"> Conjunto de actividades que debe ejecutar un Operador de Red para </w:t>
      </w:r>
      <w:r w:rsidRPr="00127FEB">
        <w:t>reducir el índice de pérdidas de su sistema</w:t>
      </w:r>
      <w:r>
        <w:t xml:space="preserve"> </w:t>
      </w:r>
      <w:r w:rsidRPr="001E6BBB">
        <w:t xml:space="preserve">y que debe contener como mínimo las etapas de planeación, implementación, seguimiento y control. </w:t>
      </w:r>
    </w:p>
    <w:p w:rsidR="00A71B19" w:rsidRPr="00402DAB" w:rsidRDefault="00A71B19" w:rsidP="00A71B19"/>
    <w:p w:rsidR="00A71B19" w:rsidRPr="00402DAB" w:rsidRDefault="00A71B19" w:rsidP="00A71B19">
      <w:r w:rsidRPr="00402DAB">
        <w:rPr>
          <w:b/>
        </w:rPr>
        <w:t>Senda de Reducción de Pérdidas:</w:t>
      </w:r>
      <w:r w:rsidRPr="00402DAB">
        <w:t xml:space="preserve"> Trayectoria del </w:t>
      </w:r>
      <w:r>
        <w:t>índice de pérdidas</w:t>
      </w:r>
      <w:r w:rsidRPr="00402DAB">
        <w:t xml:space="preserve"> totales de energía que un Operador de Red deberá seguir en un período determinado para lograr </w:t>
      </w:r>
      <w:r>
        <w:t>un</w:t>
      </w:r>
      <w:r w:rsidRPr="00402DAB">
        <w:t xml:space="preserve"> </w:t>
      </w:r>
      <w:r>
        <w:t>índice de pérdidas</w:t>
      </w:r>
      <w:r w:rsidRPr="00402DAB">
        <w:t xml:space="preserve"> de energía</w:t>
      </w:r>
      <w:r>
        <w:t xml:space="preserve"> </w:t>
      </w:r>
      <w:r w:rsidRPr="00127FEB">
        <w:t xml:space="preserve">menor al </w:t>
      </w:r>
      <w:r>
        <w:t xml:space="preserve">del </w:t>
      </w:r>
      <w:r w:rsidRPr="00127FEB">
        <w:t>nivel inicial</w:t>
      </w:r>
      <w:r w:rsidRPr="00402DAB">
        <w:t xml:space="preserve">. </w:t>
      </w:r>
    </w:p>
    <w:p w:rsidR="00A71B19" w:rsidRPr="00402DAB" w:rsidRDefault="00A71B19" w:rsidP="00A71B19"/>
    <w:p w:rsidR="00A71B19" w:rsidRPr="00402DAB" w:rsidRDefault="00A71B19" w:rsidP="00A71B19">
      <w:r w:rsidRPr="00402DAB">
        <w:rPr>
          <w:b/>
          <w:bCs/>
        </w:rPr>
        <w:t xml:space="preserve">Sistema de Distribución Local (SDL). </w:t>
      </w:r>
      <w:r w:rsidRPr="00402DAB">
        <w:t>Sistema de transporte de energía eléctrica compuesto por el conjunto de líneas y subestaciones, con sus equipos asociados, que operan a los Niveles de Tensión 3, 2 y 1 dedicados a la prestación del servicio en un Mercado de Comercialización.</w:t>
      </w:r>
    </w:p>
    <w:p w:rsidR="00A71B19" w:rsidRPr="00402DAB" w:rsidRDefault="00A71B19" w:rsidP="00A71B19"/>
    <w:p w:rsidR="00A71B19" w:rsidRPr="00402DAB" w:rsidRDefault="00A71B19" w:rsidP="00A71B19">
      <w:r w:rsidRPr="00402DAB">
        <w:rPr>
          <w:b/>
        </w:rPr>
        <w:t>Sistema de Transmisión Nacional (STN).</w:t>
      </w:r>
      <w:r w:rsidRPr="00402DAB">
        <w:t xml:space="preserve"> Es el sistema interconectado de transmisión de energía eléctrica compuesto por el conjunto de líneas, equipos de compensación y subestaciones que operan a tensiones iguales o superiores a 220 kV, los transformadores con este nivel de tensión en el lado de baja y los correspondientes módulos de conexión.</w:t>
      </w:r>
    </w:p>
    <w:p w:rsidR="00A71B19" w:rsidRDefault="00A71B19" w:rsidP="00A71B19">
      <w:pPr>
        <w:rPr>
          <w:b/>
          <w:bCs/>
        </w:rPr>
      </w:pPr>
    </w:p>
    <w:p w:rsidR="00A71B19" w:rsidRPr="00402DAB" w:rsidRDefault="00A71B19" w:rsidP="00A71B19">
      <w:r w:rsidRPr="00402DAB">
        <w:rPr>
          <w:b/>
          <w:bCs/>
        </w:rPr>
        <w:t>Sistema de Transmisión Regional (STR).</w:t>
      </w:r>
      <w:r w:rsidRPr="00402DAB">
        <w:t xml:space="preserve"> Sistema de transporte de energía eléctrica compuesto por los Activos de Conexión del OR al STN y el conjunto de líneas, equipos y subestaciones, con sus equipos asociados, que operan en el Nivel de Tensión 4. Los STR pueden estar conformados por los activos de uno o más Operadores de Red.</w:t>
      </w:r>
    </w:p>
    <w:p w:rsidR="00A71B19" w:rsidRPr="00402DAB" w:rsidRDefault="00A71B19" w:rsidP="00A71B19"/>
    <w:p w:rsidR="00A71B19" w:rsidRPr="00402DAB" w:rsidRDefault="00A71B19" w:rsidP="00A71B19">
      <w:pPr>
        <w:shd w:val="clear" w:color="auto" w:fill="FFFFFF" w:themeFill="background1"/>
      </w:pPr>
      <w:r w:rsidRPr="00402DAB">
        <w:rPr>
          <w:b/>
          <w:bCs/>
        </w:rPr>
        <w:t>Usuario.</w:t>
      </w:r>
      <w:r w:rsidRPr="00402DAB">
        <w:t xml:space="preserve"> Persona natural o jurídica que se beneficia con la prestación de un servicio público, bien como propietario del inmueble en donde éste se presta, o como receptor directo del servicio. A este último usuario se le denomina también consumidor. Para los efectos de esta Resolución se denominará Usuario Final.</w:t>
      </w:r>
    </w:p>
    <w:p w:rsidR="00A71B19" w:rsidRDefault="00A71B19" w:rsidP="00A71B19">
      <w:pPr>
        <w:shd w:val="clear" w:color="auto" w:fill="FFFFFF" w:themeFill="background1"/>
        <w:rPr>
          <w:b/>
        </w:rPr>
      </w:pPr>
    </w:p>
    <w:p w:rsidR="008C2424" w:rsidRDefault="008C2424" w:rsidP="00A71B19">
      <w:pPr>
        <w:shd w:val="clear" w:color="auto" w:fill="FFFFFF" w:themeFill="background1"/>
        <w:rPr>
          <w:b/>
        </w:rPr>
      </w:pPr>
    </w:p>
    <w:p w:rsidR="00A71B19" w:rsidRPr="00452E1C" w:rsidDel="00504CE5" w:rsidRDefault="00A71B19" w:rsidP="00A71B19">
      <w:pPr>
        <w:shd w:val="clear" w:color="auto" w:fill="FFFFFF" w:themeFill="background1"/>
      </w:pPr>
      <w:r w:rsidRPr="00452E1C">
        <w:rPr>
          <w:b/>
        </w:rPr>
        <w:t>Usuario Conectado Directamente al STN:</w:t>
      </w:r>
      <w:r w:rsidRPr="00452E1C">
        <w:t xml:space="preserve"> Un usuario final está conectado directamente al STN cuando su equipo de medida está ubicado en el punto de  conexión al STN y tiene un transformador de uso exclusivo para su conexión al STN.  También son usuarios conectados directamente al STN los que  a la fecha de entrada en vigencia de la Resolución CREG 097 de 2008 tenían reconocida dicha condición y por lo tanto no se les cobraban cargos por uso de STR o SDL a esa fecha.  </w:t>
      </w:r>
    </w:p>
    <w:p w:rsidR="00A71B19" w:rsidRPr="00452E1C" w:rsidDel="00504CE5" w:rsidRDefault="00A71B19" w:rsidP="00A71B19">
      <w:pPr>
        <w:shd w:val="clear" w:color="auto" w:fill="FFFFFF" w:themeFill="background1"/>
      </w:pPr>
    </w:p>
    <w:p w:rsidR="00A71B19" w:rsidRDefault="00A71B19" w:rsidP="00A71B19">
      <w:pPr>
        <w:shd w:val="clear" w:color="auto" w:fill="FFFFFF" w:themeFill="background1"/>
      </w:pPr>
      <w:r w:rsidRPr="00452E1C">
        <w:t>Un usuario conectado directamente al STN pertenece al Mercado de Comercialización del OR que atiende la mayor cantidad de usuarios en el municipio donde se encuentre ubicado.  Cuando el usuario conectado directamente al STN está ubicado en un municipio donde no existan usuarios conectados a ningún OR del SIN, pertenecerá al Mercado de Comercialización del OR que atienda la mayor cantidad de usuarios en el departamento donde se encuentre ubicado.</w:t>
      </w:r>
    </w:p>
    <w:p w:rsidR="00780714" w:rsidRDefault="00780714" w:rsidP="00A71B19">
      <w:pPr>
        <w:shd w:val="clear" w:color="auto" w:fill="FFFFFF" w:themeFill="background1"/>
      </w:pPr>
    </w:p>
    <w:p w:rsidR="002D6E5C" w:rsidRPr="004A0082" w:rsidRDefault="00780714" w:rsidP="002D6E5C">
      <w:pPr>
        <w:pStyle w:val="Artculo"/>
        <w:numPr>
          <w:ilvl w:val="0"/>
          <w:numId w:val="2"/>
        </w:numPr>
        <w:tabs>
          <w:tab w:val="left" w:pos="1701"/>
        </w:tabs>
        <w:ind w:left="0" w:firstLine="0"/>
        <w:rPr>
          <w:b w:val="0"/>
        </w:rPr>
      </w:pPr>
      <w:r>
        <w:t>Inicio del Programa de Reducción de Pérdidas no Técnicas</w:t>
      </w:r>
      <w:r w:rsidRPr="00402DAB">
        <w:t xml:space="preserve">. </w:t>
      </w:r>
      <w:r w:rsidRPr="004A0082">
        <w:rPr>
          <w:b w:val="0"/>
        </w:rPr>
        <w:t>Para efectos de lo establecido en el Artículo 14 de la Resolución CREG 119 de 2007, el inicio del programa de reducción de p</w:t>
      </w:r>
      <w:r w:rsidR="004A0082" w:rsidRPr="004A0082">
        <w:rPr>
          <w:b w:val="0"/>
        </w:rPr>
        <w:t>érdidas no técnicas corresponde</w:t>
      </w:r>
      <w:r w:rsidR="004A0082">
        <w:rPr>
          <w:b w:val="0"/>
        </w:rPr>
        <w:t xml:space="preserve"> </w:t>
      </w:r>
      <w:r w:rsidR="002D6E5C" w:rsidRPr="004A0082">
        <w:rPr>
          <w:b w:val="0"/>
        </w:rPr>
        <w:t>al primer día hábil del mes siguiente a la fecha límite para presentación de los planes.</w:t>
      </w:r>
    </w:p>
    <w:p w:rsidR="00780714" w:rsidRPr="00780714" w:rsidDel="00504CE5" w:rsidRDefault="00780714" w:rsidP="00A71B19">
      <w:pPr>
        <w:shd w:val="clear" w:color="auto" w:fill="FFFFFF" w:themeFill="background1"/>
        <w:rPr>
          <w:rFonts w:cs="Arial"/>
        </w:rPr>
      </w:pPr>
    </w:p>
    <w:p w:rsidR="00A71B19" w:rsidRDefault="00A71B19" w:rsidP="00A71B19">
      <w:pPr>
        <w:pStyle w:val="Artculo"/>
        <w:numPr>
          <w:ilvl w:val="0"/>
          <w:numId w:val="2"/>
        </w:numPr>
        <w:tabs>
          <w:tab w:val="left" w:pos="1701"/>
        </w:tabs>
        <w:ind w:left="0" w:firstLine="0"/>
        <w:rPr>
          <w:b w:val="0"/>
        </w:rPr>
      </w:pPr>
      <w:r w:rsidRPr="00402DAB">
        <w:t xml:space="preserve">Criterios generales. </w:t>
      </w:r>
      <w:r w:rsidRPr="00755951">
        <w:rPr>
          <w:b w:val="0"/>
        </w:rPr>
        <w:t>La metodología para la aprobación de los planes de reducción de pérdidas técnicas tiene en cuenta los siguientes criterios:</w:t>
      </w:r>
    </w:p>
    <w:p w:rsidR="00A71B19" w:rsidRPr="00755951" w:rsidRDefault="00A71B19" w:rsidP="00A71B19"/>
    <w:p w:rsidR="00A71B19" w:rsidRDefault="00A71B19" w:rsidP="00A71B19">
      <w:pPr>
        <w:pStyle w:val="Prrafodelista"/>
        <w:numPr>
          <w:ilvl w:val="0"/>
          <w:numId w:val="8"/>
        </w:numPr>
        <w:ind w:left="426" w:hanging="426"/>
      </w:pPr>
      <w:r w:rsidRPr="00C95AFC">
        <w:t xml:space="preserve">Se remunerarán los costos eficientes del plan de reducción de pérdidas no técnicas para cada OR, </w:t>
      </w:r>
      <w:r w:rsidRPr="00685997">
        <w:t>excluyendo l</w:t>
      </w:r>
      <w:r w:rsidRPr="00C95AFC">
        <w:t>a infraestructura utilizada en la prestación del servicio que es remunerada a través de los cargos por uso del STR o SDL</w:t>
      </w:r>
      <w:r>
        <w:t xml:space="preserve"> vigentes o la que se encuentre en servicio a la fecha de aprobación del plan</w:t>
      </w:r>
      <w:r w:rsidRPr="00C95AFC">
        <w:t xml:space="preserve">.  </w:t>
      </w:r>
    </w:p>
    <w:p w:rsidR="00A71B19" w:rsidRDefault="00A71B19" w:rsidP="00A71B19"/>
    <w:p w:rsidR="00A71B19" w:rsidRDefault="00A71B19" w:rsidP="00A71B19">
      <w:pPr>
        <w:ind w:left="426"/>
      </w:pPr>
      <w:r w:rsidRPr="00C95AFC">
        <w:t xml:space="preserve">También se excluyen de esta remuneración  las inversiones requeridas para garantizar la confiabilidad, </w:t>
      </w:r>
      <w:r>
        <w:t>mejor</w:t>
      </w:r>
      <w:r w:rsidRPr="00C95AFC">
        <w:t>ar la calidad del servicio y aquellas destinadas a reducir las pérdidas técnicas</w:t>
      </w:r>
      <w:r>
        <w:t xml:space="preserve"> e, igualmente, aquellos costos y gastos asociados con la recuperación de pérdidas que ya se encuentren remunerados</w:t>
      </w:r>
      <w:r w:rsidRPr="00C95AFC">
        <w:t xml:space="preserve">. </w:t>
      </w:r>
    </w:p>
    <w:p w:rsidR="00A71B19" w:rsidRPr="00C95AFC" w:rsidRDefault="00A71B19" w:rsidP="00A71B19">
      <w:pPr>
        <w:pStyle w:val="Prrafodelista"/>
        <w:numPr>
          <w:ilvl w:val="0"/>
          <w:numId w:val="0"/>
        </w:numPr>
        <w:ind w:left="426"/>
      </w:pPr>
    </w:p>
    <w:p w:rsidR="00A71B19" w:rsidRPr="00126129" w:rsidRDefault="00A71B19" w:rsidP="00A71B19">
      <w:pPr>
        <w:pStyle w:val="Prrafodelista"/>
        <w:numPr>
          <w:ilvl w:val="0"/>
          <w:numId w:val="8"/>
        </w:numPr>
        <w:ind w:left="426" w:hanging="426"/>
      </w:pPr>
      <w:r w:rsidRPr="00126129">
        <w:t xml:space="preserve">Los costos eficientes del plan están constituidos por las inversiones </w:t>
      </w:r>
      <w:r>
        <w:t>y por</w:t>
      </w:r>
      <w:r w:rsidRPr="00126129">
        <w:t xml:space="preserve"> los costos y gastos en que incurra el agente en desarrollo de</w:t>
      </w:r>
      <w:r>
        <w:t>l mismo</w:t>
      </w:r>
      <w:r w:rsidRPr="00126129">
        <w:t xml:space="preserve">. </w:t>
      </w:r>
    </w:p>
    <w:p w:rsidR="00A71B19" w:rsidRPr="00126129" w:rsidRDefault="00A71B19" w:rsidP="00A71B19">
      <w:pPr>
        <w:pStyle w:val="Prrafodelista"/>
        <w:numPr>
          <w:ilvl w:val="0"/>
          <w:numId w:val="0"/>
        </w:numPr>
        <w:ind w:left="426"/>
      </w:pPr>
    </w:p>
    <w:p w:rsidR="00A71B19" w:rsidRPr="00126129" w:rsidRDefault="00A71B19" w:rsidP="00A71B19">
      <w:pPr>
        <w:pStyle w:val="Prrafodelista"/>
        <w:numPr>
          <w:ilvl w:val="0"/>
          <w:numId w:val="8"/>
        </w:numPr>
        <w:ind w:left="426" w:hanging="426"/>
      </w:pPr>
      <w:r w:rsidRPr="00126129">
        <w:t>Las inversiones que correspondan a activos de uso de un OR y sean remuneradas en el plan de reducción de pérdidas</w:t>
      </w:r>
      <w:r w:rsidRPr="00CC7940">
        <w:t xml:space="preserve"> </w:t>
      </w:r>
      <w:r>
        <w:t>no técnicas</w:t>
      </w:r>
      <w:r w:rsidRPr="00126129">
        <w:t xml:space="preserve">, se incluirán en la variable </w:t>
      </w:r>
      <w:r>
        <w:t>CAP</w:t>
      </w:r>
      <w:r w:rsidRPr="00EF70E4">
        <w:rPr>
          <w:vertAlign w:val="subscript"/>
        </w:rPr>
        <w:t>j</w:t>
      </w:r>
      <w:r w:rsidRPr="00126129">
        <w:t xml:space="preserve"> hasta que sean incluidos en los cargos que se aprueben con base en la metodología de distribución que reemplace la establecida en la Resolución CREG 097 de 2008 o finalice la vigencia del cobro de la variable </w:t>
      </w:r>
      <w:r>
        <w:t>CAP</w:t>
      </w:r>
      <w:r w:rsidRPr="00EF70E4">
        <w:rPr>
          <w:vertAlign w:val="subscript"/>
        </w:rPr>
        <w:t>j</w:t>
      </w:r>
      <w:r w:rsidRPr="00126129">
        <w:t xml:space="preserve">. </w:t>
      </w:r>
    </w:p>
    <w:p w:rsidR="00A71B19" w:rsidRPr="00126129" w:rsidRDefault="00A71B19" w:rsidP="00A71B19">
      <w:pPr>
        <w:pStyle w:val="Prrafodelista"/>
        <w:numPr>
          <w:ilvl w:val="0"/>
          <w:numId w:val="0"/>
        </w:numPr>
        <w:ind w:left="426"/>
      </w:pPr>
    </w:p>
    <w:p w:rsidR="00A71B19" w:rsidRPr="00126129" w:rsidRDefault="00A71B19" w:rsidP="00A71B19">
      <w:pPr>
        <w:pStyle w:val="Prrafodelista"/>
        <w:numPr>
          <w:ilvl w:val="0"/>
          <w:numId w:val="8"/>
        </w:numPr>
        <w:ind w:left="426" w:hanging="426"/>
      </w:pPr>
      <w:r w:rsidRPr="00126129">
        <w:t xml:space="preserve">La remuneración de los planes de reducción de pérdidas </w:t>
      </w:r>
      <w:r>
        <w:t xml:space="preserve">será aplicable únicamente en los mercados de comercialización que presenten índices de pérdidas superiores a las pérdidas reconocidas a la fecha de entrada en vigencia de esta resolución y </w:t>
      </w:r>
      <w:r w:rsidRPr="00126129">
        <w:t>tendrá una duración de cinco años</w:t>
      </w:r>
      <w:r>
        <w:t>.</w:t>
      </w:r>
    </w:p>
    <w:p w:rsidR="00A71B19" w:rsidRDefault="00A71B19" w:rsidP="00A71B19">
      <w:pPr>
        <w:pStyle w:val="Prrafodelista"/>
        <w:numPr>
          <w:ilvl w:val="0"/>
          <w:numId w:val="0"/>
        </w:numPr>
        <w:ind w:left="426"/>
      </w:pPr>
    </w:p>
    <w:p w:rsidR="00A71B19" w:rsidRDefault="00A71B19" w:rsidP="00A71B19">
      <w:pPr>
        <w:pStyle w:val="Prrafodelista"/>
        <w:numPr>
          <w:ilvl w:val="0"/>
          <w:numId w:val="8"/>
        </w:numPr>
        <w:ind w:left="426" w:hanging="426"/>
      </w:pPr>
      <w:r w:rsidRPr="00C95AFC">
        <w:t xml:space="preserve">La remuneración asociada con los planes de reducción de pérdidas está sujeta al cumplimiento de las metas aprobadas a cada OR en resolución </w:t>
      </w:r>
      <w:r w:rsidRPr="00126129">
        <w:t>particular.  El no cumplimiento de las metas será causal de devolución de parte o de la totalidad de los recursos recibidos por este concepto, para lo cual se tendrá en cuenta el grado de cumplimiento</w:t>
      </w:r>
      <w:r w:rsidRPr="00C95AFC">
        <w:t xml:space="preserve"> de la meta.  </w:t>
      </w:r>
    </w:p>
    <w:p w:rsidR="00A71B19" w:rsidRPr="00C95AFC" w:rsidRDefault="00A71B19" w:rsidP="00A71B19">
      <w:pPr>
        <w:rPr>
          <w:highlight w:val="green"/>
        </w:rPr>
      </w:pPr>
    </w:p>
    <w:p w:rsidR="00A71B19" w:rsidRPr="00755951" w:rsidRDefault="00A71B19" w:rsidP="00A71B19">
      <w:pPr>
        <w:pStyle w:val="Artculo"/>
        <w:numPr>
          <w:ilvl w:val="0"/>
          <w:numId w:val="2"/>
        </w:numPr>
        <w:tabs>
          <w:tab w:val="left" w:pos="1701"/>
        </w:tabs>
        <w:ind w:left="0" w:firstLine="0"/>
        <w:rPr>
          <w:b w:val="0"/>
        </w:rPr>
      </w:pPr>
      <w:bookmarkStart w:id="4" w:name="_Ref259687819"/>
      <w:r w:rsidRPr="00402DAB">
        <w:t>Requisitos para la presentación del Plan de Reducción de Pérdidas</w:t>
      </w:r>
      <w:r w:rsidRPr="00CC7940">
        <w:t xml:space="preserve"> </w:t>
      </w:r>
      <w:r>
        <w:t>no Técnicas</w:t>
      </w:r>
      <w:r w:rsidRPr="00402DAB">
        <w:t xml:space="preserve">. </w:t>
      </w:r>
      <w:r w:rsidRPr="00C95AFC">
        <w:t xml:space="preserve"> </w:t>
      </w:r>
      <w:r w:rsidRPr="00755951">
        <w:rPr>
          <w:b w:val="0"/>
        </w:rPr>
        <w:t>El OR deberá someter para aprobación de la CREG el Plan de Reducción de pérdidas</w:t>
      </w:r>
      <w:r w:rsidRPr="00CC7940">
        <w:rPr>
          <w:b w:val="0"/>
        </w:rPr>
        <w:t xml:space="preserve"> no técnicas </w:t>
      </w:r>
      <w:r w:rsidRPr="00755951">
        <w:rPr>
          <w:b w:val="0"/>
        </w:rPr>
        <w:t xml:space="preserve">que debe contener, como mínimo, lo establecido en el </w:t>
      </w:r>
      <w:bookmarkEnd w:id="4"/>
      <w:r w:rsidR="00822579" w:rsidRPr="00755951">
        <w:rPr>
          <w:b w:val="0"/>
        </w:rPr>
        <w:fldChar w:fldCharType="begin"/>
      </w:r>
      <w:r w:rsidRPr="00755951">
        <w:rPr>
          <w:b w:val="0"/>
        </w:rPr>
        <w:instrText xml:space="preserve"> REF _Ref263175453 \r \h  \* MERGEFORMAT </w:instrText>
      </w:r>
      <w:r w:rsidR="00822579" w:rsidRPr="00755951">
        <w:rPr>
          <w:b w:val="0"/>
        </w:rPr>
      </w:r>
      <w:r w:rsidR="00822579" w:rsidRPr="00755951">
        <w:rPr>
          <w:b w:val="0"/>
        </w:rPr>
        <w:fldChar w:fldCharType="separate"/>
      </w:r>
      <w:r w:rsidR="00322DB3">
        <w:rPr>
          <w:b w:val="0"/>
        </w:rPr>
        <w:t>ANEXO 1</w:t>
      </w:r>
      <w:r w:rsidR="00822579" w:rsidRPr="00755951">
        <w:rPr>
          <w:b w:val="0"/>
        </w:rPr>
        <w:fldChar w:fldCharType="end"/>
      </w:r>
      <w:r w:rsidRPr="00755951">
        <w:rPr>
          <w:b w:val="0"/>
        </w:rPr>
        <w:t>.</w:t>
      </w:r>
    </w:p>
    <w:p w:rsidR="00A71B19" w:rsidRPr="00755951" w:rsidRDefault="00A71B19" w:rsidP="00A71B19"/>
    <w:p w:rsidR="00A71B19" w:rsidRPr="00402DAB" w:rsidRDefault="00A71B19" w:rsidP="00A71B19">
      <w:pPr>
        <w:pStyle w:val="Artculo"/>
        <w:numPr>
          <w:ilvl w:val="0"/>
          <w:numId w:val="2"/>
        </w:numPr>
        <w:tabs>
          <w:tab w:val="left" w:pos="1701"/>
        </w:tabs>
        <w:ind w:left="0" w:firstLine="0"/>
      </w:pPr>
      <w:bookmarkStart w:id="5" w:name="_Ref259687856"/>
      <w:r w:rsidRPr="00402DAB">
        <w:t>Plazo para la Presentación de los planes de reducción de pérdidas</w:t>
      </w:r>
      <w:r w:rsidRPr="00CC7940">
        <w:rPr>
          <w:b w:val="0"/>
        </w:rPr>
        <w:t xml:space="preserve"> </w:t>
      </w:r>
      <w:r w:rsidRPr="00CC7940">
        <w:t>no técnicas</w:t>
      </w:r>
      <w:r w:rsidRPr="00402DAB">
        <w:t xml:space="preserve">. </w:t>
      </w:r>
      <w:r w:rsidRPr="000E40A4">
        <w:rPr>
          <w:b w:val="0"/>
        </w:rPr>
        <w:t xml:space="preserve"> Los OR deberán presentar su plan de reducción de pérdidas </w:t>
      </w:r>
      <w:r w:rsidRPr="00CC7940">
        <w:rPr>
          <w:b w:val="0"/>
        </w:rPr>
        <w:t xml:space="preserve">no técnicas </w:t>
      </w:r>
      <w:r w:rsidRPr="000E40A4">
        <w:rPr>
          <w:b w:val="0"/>
        </w:rPr>
        <w:t>dentro de los noventa (90) días calendario</w:t>
      </w:r>
      <w:r>
        <w:rPr>
          <w:b w:val="0"/>
        </w:rPr>
        <w:t xml:space="preserve"> posteriores </w:t>
      </w:r>
      <w:r w:rsidRPr="000E40A4">
        <w:rPr>
          <w:b w:val="0"/>
        </w:rPr>
        <w:t>a la fecha de publicación de la presente resolución en el Diario Oficial.</w:t>
      </w:r>
      <w:bookmarkEnd w:id="5"/>
    </w:p>
    <w:p w:rsidR="00A71B19" w:rsidRDefault="00A71B19" w:rsidP="00A71B19">
      <w:pPr>
        <w:pStyle w:val="articulo"/>
      </w:pPr>
      <w:r w:rsidRPr="0017324C">
        <w:rPr>
          <w:b/>
        </w:rPr>
        <w:t>Parágrafo</w:t>
      </w:r>
      <w:r>
        <w:rPr>
          <w:b/>
        </w:rPr>
        <w:t xml:space="preserve"> 1</w:t>
      </w:r>
      <w:r w:rsidRPr="0017324C">
        <w:rPr>
          <w:b/>
        </w:rPr>
        <w:t>.</w:t>
      </w:r>
      <w:r w:rsidRPr="0017324C">
        <w:t xml:space="preserve"> En caso de que el OR </w:t>
      </w:r>
      <w:r>
        <w:t xml:space="preserve">con pérdidas superiores a las reconocidas </w:t>
      </w:r>
      <w:r w:rsidRPr="0017324C">
        <w:t xml:space="preserve">no presente un Plan de Reducción de Pérdidas </w:t>
      </w:r>
      <w:r w:rsidRPr="00CC7940">
        <w:t>no técnicas en el plazo</w:t>
      </w:r>
      <w:r w:rsidRPr="0017324C">
        <w:t xml:space="preserve"> determinado</w:t>
      </w:r>
      <w:r>
        <w:t>,</w:t>
      </w:r>
      <w:r w:rsidRPr="0017324C">
        <w:t xml:space="preserve"> la variable </w:t>
      </w:r>
      <w:r w:rsidRPr="00256952">
        <w:rPr>
          <w:i/>
        </w:rPr>
        <w:t>CPROG</w:t>
      </w:r>
      <w:r w:rsidRPr="00256952">
        <w:rPr>
          <w:i/>
          <w:vertAlign w:val="subscript"/>
        </w:rPr>
        <w:t>j,m</w:t>
      </w:r>
      <w:r w:rsidRPr="0017324C">
        <w:t xml:space="preserve"> será igual a cero y no podrá recibir ingresos por este concepto.</w:t>
      </w:r>
      <w:r>
        <w:t xml:space="preserve"> </w:t>
      </w:r>
    </w:p>
    <w:p w:rsidR="00A71B19" w:rsidRDefault="00A71B19" w:rsidP="00A71B19"/>
    <w:p w:rsidR="00A71B19" w:rsidRPr="00052EE4" w:rsidRDefault="00A71B19" w:rsidP="00A71B19">
      <w:r w:rsidRPr="0017324C">
        <w:rPr>
          <w:b/>
        </w:rPr>
        <w:t>Parágrafo</w:t>
      </w:r>
      <w:r>
        <w:rPr>
          <w:b/>
        </w:rPr>
        <w:t xml:space="preserve"> 2</w:t>
      </w:r>
      <w:r w:rsidRPr="0017324C">
        <w:rPr>
          <w:b/>
        </w:rPr>
        <w:t>.</w:t>
      </w:r>
      <w:r w:rsidRPr="0017324C">
        <w:t xml:space="preserve"> </w:t>
      </w:r>
      <w:r>
        <w:t xml:space="preserve">Los OR de los mercados de comercialización que a la vigencia de la presente Resolución presenten índices de pérdidas inferiores o iguales a las pérdidas reconocidas, no deberán presentar </w:t>
      </w:r>
      <w:r w:rsidRPr="0017324C">
        <w:t xml:space="preserve">un Plan de Reducción de Pérdidas </w:t>
      </w:r>
      <w:r w:rsidRPr="00CC7940">
        <w:t>no técnicas</w:t>
      </w:r>
      <w:r>
        <w:t>. L</w:t>
      </w:r>
      <w:r w:rsidRPr="0017324C">
        <w:t xml:space="preserve">a variable </w:t>
      </w:r>
      <w:r w:rsidRPr="00256952">
        <w:rPr>
          <w:i/>
        </w:rPr>
        <w:t>CPROG</w:t>
      </w:r>
      <w:r w:rsidRPr="00256952">
        <w:rPr>
          <w:i/>
          <w:vertAlign w:val="subscript"/>
        </w:rPr>
        <w:t>j,m</w:t>
      </w:r>
      <w:r w:rsidRPr="0017324C">
        <w:t xml:space="preserve"> </w:t>
      </w:r>
      <w:r>
        <w:t xml:space="preserve">para este mercado </w:t>
      </w:r>
      <w:r w:rsidRPr="0017324C">
        <w:t>será igual a cero y no podrá recibir ingresos por este concepto.</w:t>
      </w:r>
    </w:p>
    <w:p w:rsidR="00A71B19" w:rsidRPr="00402DAB" w:rsidRDefault="00A71B19" w:rsidP="00A71B19"/>
    <w:p w:rsidR="00A71B19" w:rsidRPr="00593491" w:rsidRDefault="00A71B19" w:rsidP="00A71B19">
      <w:pPr>
        <w:pStyle w:val="Artculo"/>
        <w:numPr>
          <w:ilvl w:val="0"/>
          <w:numId w:val="2"/>
        </w:numPr>
        <w:tabs>
          <w:tab w:val="left" w:pos="1701"/>
        </w:tabs>
        <w:ind w:left="0" w:firstLine="0"/>
        <w:rPr>
          <w:b w:val="0"/>
        </w:rPr>
      </w:pPr>
      <w:bookmarkStart w:id="6" w:name="_Ref280256815"/>
      <w:r w:rsidRPr="00402DAB">
        <w:t xml:space="preserve">Evaluación del plan presentado por un OR.  </w:t>
      </w:r>
      <w:r w:rsidRPr="00593491">
        <w:rPr>
          <w:b w:val="0"/>
        </w:rPr>
        <w:t>Como resultado del proceso de evaluación, análisis de la información y la aplicación de costos eficientes, la CREG aprobará el costo del Plan de reducción de pérdidas no técnicas de energía a cada OR y las metas de reducción de pérdidas presentadas por el mismo agente.</w:t>
      </w:r>
      <w:bookmarkEnd w:id="6"/>
    </w:p>
    <w:p w:rsidR="00A71B19" w:rsidRDefault="00A71B19" w:rsidP="00A71B19"/>
    <w:p w:rsidR="00A71B19" w:rsidRPr="00593491" w:rsidRDefault="00A71B19" w:rsidP="00A71B19">
      <w:r w:rsidRPr="00593491">
        <w:t xml:space="preserve">Se verificará que el costo total del plan presentado por el OR no supere el costo total de referencia calculado con el modelo de costos de reducción de pérdidas de referencia a partir de las metas de pérdidas de energía </w:t>
      </w:r>
      <w:r w:rsidRPr="00127FEB">
        <w:t>solicitadas</w:t>
      </w:r>
      <w:r>
        <w:t xml:space="preserve"> </w:t>
      </w:r>
      <w:r w:rsidRPr="00593491">
        <w:t>por el OR. El costo total del plan a aprobar será el menor entre el costo total del plan y el costo total de referencia.</w:t>
      </w:r>
    </w:p>
    <w:p w:rsidR="00A71B19" w:rsidRDefault="00A71B19" w:rsidP="00A71B19"/>
    <w:p w:rsidR="00A71B19" w:rsidRDefault="00A71B19" w:rsidP="00A71B19">
      <w:r>
        <w:t xml:space="preserve">La CREG </w:t>
      </w:r>
      <w:r w:rsidRPr="00402DAB">
        <w:t xml:space="preserve">podrá aprobar un valor inferior al solicitado por el OR para la ejecución de su Plan, sin perjuicio de lo cual, el OR </w:t>
      </w:r>
      <w:r>
        <w:t xml:space="preserve">que acepte la ejecución del Plan </w:t>
      </w:r>
      <w:r w:rsidRPr="00402DAB">
        <w:t xml:space="preserve">deberá cumplir con las metas de reducción de pérdidas para cada </w:t>
      </w:r>
      <w:r>
        <w:t>período de evaluación</w:t>
      </w:r>
      <w:r w:rsidRPr="00402DAB">
        <w:t>.</w:t>
      </w:r>
    </w:p>
    <w:p w:rsidR="00A71B19" w:rsidRPr="00402DAB" w:rsidRDefault="00A71B19" w:rsidP="00A71B19"/>
    <w:p w:rsidR="00A71B19" w:rsidRPr="0017324C" w:rsidRDefault="00A71B19" w:rsidP="00A71B19">
      <w:pPr>
        <w:pStyle w:val="Artculo"/>
        <w:numPr>
          <w:ilvl w:val="0"/>
          <w:numId w:val="2"/>
        </w:numPr>
        <w:tabs>
          <w:tab w:val="left" w:pos="1701"/>
        </w:tabs>
        <w:ind w:left="0" w:firstLine="0"/>
        <w:rPr>
          <w:b w:val="0"/>
        </w:rPr>
      </w:pPr>
      <w:bookmarkStart w:id="7" w:name="_Ref256433147"/>
      <w:r w:rsidRPr="0017324C">
        <w:t xml:space="preserve">Inicio del plan de reducción de pérdidas </w:t>
      </w:r>
      <w:r w:rsidRPr="00CC7940">
        <w:t>no técnicas</w:t>
      </w:r>
      <w:r w:rsidRPr="0017324C">
        <w:t xml:space="preserve"> de energía.  </w:t>
      </w:r>
      <w:r w:rsidRPr="0017324C">
        <w:rPr>
          <w:b w:val="0"/>
        </w:rPr>
        <w:t xml:space="preserve">Una vez en firme la resolución particular que apruebe un plan de reducción de pérdidas </w:t>
      </w:r>
      <w:r w:rsidRPr="00CC7940">
        <w:rPr>
          <w:b w:val="0"/>
        </w:rPr>
        <w:t xml:space="preserve">no técnicas </w:t>
      </w:r>
      <w:r w:rsidRPr="0017324C">
        <w:rPr>
          <w:b w:val="0"/>
        </w:rPr>
        <w:t>a un OR, este deberá informar, en un plazo máximo de dos (2) meses, a la CREG, el LAC y a los comercializadores presentes en su mercado</w:t>
      </w:r>
      <w:r>
        <w:rPr>
          <w:b w:val="0"/>
        </w:rPr>
        <w:t>,</w:t>
      </w:r>
      <w:r w:rsidRPr="0017324C">
        <w:rPr>
          <w:b w:val="0"/>
        </w:rPr>
        <w:t xml:space="preserve"> su aceptación del plan y el inicio del cobro de la variable </w:t>
      </w:r>
      <w:r>
        <w:rPr>
          <w:b w:val="0"/>
        </w:rPr>
        <w:t>CPROG</w:t>
      </w:r>
      <w:r w:rsidRPr="007856F8">
        <w:rPr>
          <w:b w:val="0"/>
          <w:vertAlign w:val="subscript"/>
        </w:rPr>
        <w:t>j</w:t>
      </w:r>
      <w:r>
        <w:rPr>
          <w:b w:val="0"/>
        </w:rPr>
        <w:t xml:space="preserve"> </w:t>
      </w:r>
      <w:r w:rsidRPr="0017324C">
        <w:rPr>
          <w:b w:val="0"/>
        </w:rPr>
        <w:t>aprobado para su sistema</w:t>
      </w:r>
      <w:r w:rsidRPr="00371673">
        <w:rPr>
          <w:b w:val="0"/>
        </w:rPr>
        <w:t xml:space="preserve"> </w:t>
      </w:r>
      <w:r>
        <w:rPr>
          <w:b w:val="0"/>
        </w:rPr>
        <w:t>siendo la fecha de aceptación la misma fecha de inicio del Plan</w:t>
      </w:r>
      <w:r w:rsidRPr="0017324C">
        <w:rPr>
          <w:b w:val="0"/>
        </w:rPr>
        <w:t>. Igualmente deberá publicar</w:t>
      </w:r>
      <w:r>
        <w:rPr>
          <w:b w:val="0"/>
        </w:rPr>
        <w:t>,</w:t>
      </w:r>
      <w:r w:rsidRPr="0017324C">
        <w:rPr>
          <w:b w:val="0"/>
        </w:rPr>
        <w:t xml:space="preserve"> en el mismo plazo, en un diario de amplia circulación en su área de influencia, un resumen del plan aprobado,  y enviar copia de la publicación efectuada a la CREG.</w:t>
      </w:r>
      <w:bookmarkEnd w:id="7"/>
    </w:p>
    <w:p w:rsidR="00A71B19" w:rsidRPr="0017324C" w:rsidRDefault="00A71B19" w:rsidP="00A71B19"/>
    <w:p w:rsidR="00A71B19" w:rsidRDefault="00A71B19" w:rsidP="00A71B19">
      <w:r w:rsidRPr="0017324C">
        <w:rPr>
          <w:b/>
        </w:rPr>
        <w:t>Parágrafo.</w:t>
      </w:r>
      <w:r w:rsidRPr="0017324C">
        <w:t xml:space="preserve">  En caso de no informar a la CREG la aceptación del plan en el plazo indicado, se entenderá que dicho agente no</w:t>
      </w:r>
      <w:r>
        <w:t xml:space="preserve"> aceptó el plan de reducción de pérdidas no técnicas aprobado </w:t>
      </w:r>
      <w:r w:rsidRPr="0017324C">
        <w:t>y por tanto no tendrá derecho a ningún cobro por este concepto</w:t>
      </w:r>
      <w:r>
        <w:t>, n</w:t>
      </w:r>
      <w:r w:rsidRPr="00127FEB">
        <w:t>i a volver a presentar un nuevo plan</w:t>
      </w:r>
      <w:r>
        <w:t>.</w:t>
      </w:r>
    </w:p>
    <w:p w:rsidR="00A71B19" w:rsidRDefault="00A71B19" w:rsidP="00A71B19"/>
    <w:p w:rsidR="00A71B19" w:rsidRDefault="00A71B19" w:rsidP="00A71B19">
      <w:pPr>
        <w:pStyle w:val="Artculo"/>
        <w:numPr>
          <w:ilvl w:val="0"/>
          <w:numId w:val="2"/>
        </w:numPr>
        <w:tabs>
          <w:tab w:val="left" w:pos="1701"/>
        </w:tabs>
        <w:ind w:left="0" w:firstLine="0"/>
      </w:pPr>
      <w:bookmarkStart w:id="8" w:name="_Ref194754334"/>
      <w:bookmarkStart w:id="9" w:name="_Ref208046480"/>
      <w:r w:rsidRPr="00402DAB">
        <w:t>Seguimiento del plan de reducción de pérdidas</w:t>
      </w:r>
      <w:r w:rsidRPr="00CC7940">
        <w:t xml:space="preserve"> no técnicas</w:t>
      </w:r>
      <w:r w:rsidRPr="00402DAB">
        <w:t>.</w:t>
      </w:r>
      <w:r w:rsidRPr="00C95AFC">
        <w:t xml:space="preserve"> </w:t>
      </w:r>
      <w:r w:rsidRPr="00DF500C">
        <w:rPr>
          <w:b w:val="0"/>
        </w:rPr>
        <w:t>Una vez iniciado el plan de reducción de pérdidas</w:t>
      </w:r>
      <w:r w:rsidRPr="00CC7940">
        <w:t xml:space="preserve"> </w:t>
      </w:r>
      <w:r w:rsidRPr="005B133C">
        <w:rPr>
          <w:b w:val="0"/>
        </w:rPr>
        <w:t>no técnicas</w:t>
      </w:r>
      <w:r w:rsidRPr="00DF500C">
        <w:rPr>
          <w:b w:val="0"/>
        </w:rPr>
        <w:t xml:space="preserve">, para revisar el cumplimiento de las metas aprobadas </w:t>
      </w:r>
      <w:r>
        <w:rPr>
          <w:b w:val="0"/>
        </w:rPr>
        <w:t xml:space="preserve">el LAC </w:t>
      </w:r>
      <w:r w:rsidRPr="00DF500C">
        <w:rPr>
          <w:b w:val="0"/>
        </w:rPr>
        <w:t xml:space="preserve">calculará los índices de pérdidas de acuerdo con la metodología definida en el </w:t>
      </w:r>
      <w:fldSimple w:instr=" REF _Ref259802685 \r \h  \* MERGEFORMAT ">
        <w:r w:rsidR="00322DB3" w:rsidRPr="00322DB3">
          <w:rPr>
            <w:b w:val="0"/>
          </w:rPr>
          <w:t>ANEXO 6</w:t>
        </w:r>
      </w:fldSimple>
      <w:r w:rsidRPr="00DF500C">
        <w:rPr>
          <w:b w:val="0"/>
        </w:rPr>
        <w:t xml:space="preserve"> de la presente resolución.</w:t>
      </w:r>
      <w:r w:rsidRPr="008F3264">
        <w:t xml:space="preserve">  </w:t>
      </w:r>
    </w:p>
    <w:p w:rsidR="00A71B19" w:rsidRPr="00C0658D" w:rsidRDefault="00A71B19" w:rsidP="00A71B19"/>
    <w:p w:rsidR="00A71B19" w:rsidRPr="00A3665A" w:rsidRDefault="00A71B19" w:rsidP="00A71B19">
      <w:pPr>
        <w:pStyle w:val="Artculo"/>
        <w:numPr>
          <w:ilvl w:val="0"/>
          <w:numId w:val="2"/>
        </w:numPr>
        <w:tabs>
          <w:tab w:val="left" w:pos="1701"/>
        </w:tabs>
        <w:ind w:left="0" w:firstLine="0"/>
      </w:pPr>
      <w:bookmarkStart w:id="10" w:name="_Ref259799612"/>
      <w:r w:rsidRPr="00402DAB">
        <w:t xml:space="preserve">Causales para la suspensión del reconocimiento de los costos asociados con los planes de reducción de pérdidas. </w:t>
      </w:r>
      <w:r>
        <w:rPr>
          <w:b w:val="0"/>
        </w:rPr>
        <w:t>Serán</w:t>
      </w:r>
      <w:r w:rsidRPr="00DF500C">
        <w:rPr>
          <w:b w:val="0"/>
        </w:rPr>
        <w:t xml:space="preserve"> causales de suspensión del reconocimiento de los costos asociados con los planes de reducción de pérdidas </w:t>
      </w:r>
      <w:r>
        <w:rPr>
          <w:b w:val="0"/>
        </w:rPr>
        <w:t>las siguientes</w:t>
      </w:r>
      <w:r w:rsidRPr="00DF500C">
        <w:rPr>
          <w:b w:val="0"/>
        </w:rPr>
        <w:t>:</w:t>
      </w:r>
      <w:bookmarkEnd w:id="10"/>
    </w:p>
    <w:p w:rsidR="00A71B19" w:rsidRPr="00C95AFC" w:rsidRDefault="00A71B19" w:rsidP="00A71B19"/>
    <w:p w:rsidR="00A71B19" w:rsidRDefault="00A71B19" w:rsidP="00A71B19">
      <w:pPr>
        <w:pStyle w:val="Prrafodelista"/>
        <w:numPr>
          <w:ilvl w:val="0"/>
          <w:numId w:val="9"/>
        </w:numPr>
        <w:ind w:left="426" w:hanging="426"/>
      </w:pPr>
      <w:r w:rsidRPr="00A3665A">
        <w:t xml:space="preserve">Incumplimiento en la meta de reducción de pérdidas en dos períodos de evaluación consecutivos. </w:t>
      </w:r>
      <w:r>
        <w:t xml:space="preserve">Se entiende que un OR </w:t>
      </w:r>
      <w:r w:rsidRPr="0055598B">
        <w:t xml:space="preserve">incumple una meta cuando el resultado final de su índice </w:t>
      </w:r>
      <w:r>
        <w:t xml:space="preserve">se encuentra por encima del valor máximo permitido </w:t>
      </w:r>
      <w:r w:rsidRPr="0055598B">
        <w:t>para el respectivo período de evaluación</w:t>
      </w:r>
      <w:r w:rsidRPr="00A3665A">
        <w:t>.</w:t>
      </w:r>
    </w:p>
    <w:p w:rsidR="00A71B19" w:rsidRPr="00A3665A" w:rsidRDefault="00A71B19" w:rsidP="00A71B19">
      <w:pPr>
        <w:pStyle w:val="Prrafodelista"/>
        <w:numPr>
          <w:ilvl w:val="0"/>
          <w:numId w:val="0"/>
        </w:numPr>
        <w:ind w:left="426"/>
      </w:pPr>
    </w:p>
    <w:p w:rsidR="00A71B19" w:rsidRDefault="00A71B19" w:rsidP="00A71B19">
      <w:pPr>
        <w:pStyle w:val="Prrafodelista"/>
        <w:numPr>
          <w:ilvl w:val="0"/>
          <w:numId w:val="9"/>
        </w:numPr>
        <w:ind w:left="426" w:hanging="426"/>
      </w:pPr>
      <w:r w:rsidRPr="00A3665A">
        <w:t xml:space="preserve">Cuando </w:t>
      </w:r>
      <w:r w:rsidR="00FA1C52">
        <w:t xml:space="preserve">la CREG </w:t>
      </w:r>
      <w:r w:rsidRPr="00A3665A">
        <w:t xml:space="preserve">verifique que </w:t>
      </w:r>
      <w:r>
        <w:t>la</w:t>
      </w:r>
      <w:r w:rsidRPr="00A3665A">
        <w:t xml:space="preserve"> vinculación de usuarios a la red </w:t>
      </w:r>
      <w:r>
        <w:t xml:space="preserve">está incompleta o desactualizada </w:t>
      </w:r>
      <w:r w:rsidRPr="00A3665A">
        <w:t xml:space="preserve">en el SUI de acuerdo con lo establecido en el </w:t>
      </w:r>
      <w:fldSimple w:instr=" REF _Ref261441680 \r \h  \* MERGEFORMAT ">
        <w:r w:rsidR="00322DB3">
          <w:t>ANEXO 7</w:t>
        </w:r>
      </w:fldSimple>
      <w:r w:rsidRPr="00A3665A">
        <w:t>.</w:t>
      </w:r>
    </w:p>
    <w:p w:rsidR="00A71B19" w:rsidRPr="00A3665A" w:rsidRDefault="00A71B19" w:rsidP="00A71B19">
      <w:pPr>
        <w:pStyle w:val="Prrafodelista"/>
        <w:numPr>
          <w:ilvl w:val="0"/>
          <w:numId w:val="0"/>
        </w:numPr>
        <w:ind w:left="426"/>
      </w:pPr>
      <w:r w:rsidRPr="00A3665A">
        <w:t xml:space="preserve"> </w:t>
      </w:r>
    </w:p>
    <w:p w:rsidR="00A71B19" w:rsidRPr="00A3665A" w:rsidRDefault="00A71B19" w:rsidP="00A71B19">
      <w:pPr>
        <w:pStyle w:val="Prrafodelista"/>
        <w:numPr>
          <w:ilvl w:val="0"/>
          <w:numId w:val="9"/>
        </w:numPr>
        <w:ind w:left="426" w:hanging="426"/>
      </w:pPr>
      <w:r w:rsidRPr="00A3665A">
        <w:t>Cuando l</w:t>
      </w:r>
      <w:r w:rsidRPr="00C27278">
        <w:t>os recursos destinados al plan de reducción de pérdidas no técnicas</w:t>
      </w:r>
      <w:r w:rsidRPr="00A3665A">
        <w:t xml:space="preserve"> sean utilizados en actividades diferentes a las incluidas en el plan, como se describe en el </w:t>
      </w:r>
      <w:fldSimple w:instr=" REF _Ref261441680 \r \h  \* MERGEFORMAT ">
        <w:r w:rsidR="00322DB3">
          <w:t>ANEXO 7</w:t>
        </w:r>
      </w:fldSimple>
      <w:r w:rsidRPr="00A3665A">
        <w:t>.</w:t>
      </w:r>
    </w:p>
    <w:p w:rsidR="00A71B19" w:rsidRDefault="00A71B19" w:rsidP="00A71B19">
      <w:pPr>
        <w:pStyle w:val="Prrafodelista"/>
        <w:numPr>
          <w:ilvl w:val="0"/>
          <w:numId w:val="0"/>
        </w:numPr>
        <w:ind w:left="426"/>
      </w:pPr>
    </w:p>
    <w:p w:rsidR="00A71B19" w:rsidRPr="00A3665A" w:rsidRDefault="00A71B19" w:rsidP="00A71B19">
      <w:pPr>
        <w:pStyle w:val="Prrafodelista"/>
        <w:numPr>
          <w:ilvl w:val="0"/>
          <w:numId w:val="9"/>
        </w:numPr>
        <w:ind w:left="426" w:hanging="426"/>
      </w:pPr>
      <w:r w:rsidRPr="00A3665A">
        <w:t xml:space="preserve">Cuando se encuentren fronteras comerciales </w:t>
      </w:r>
      <w:r>
        <w:t xml:space="preserve">entre agentes de responsabilidad del OR </w:t>
      </w:r>
      <w:r w:rsidRPr="00050E53">
        <w:rPr>
          <w:i/>
        </w:rPr>
        <w:t>j</w:t>
      </w:r>
      <w:r>
        <w:t xml:space="preserve"> o de responsabilidad del Comercializador integrado con el OR </w:t>
      </w:r>
      <w:r w:rsidRPr="00050E53">
        <w:rPr>
          <w:i/>
        </w:rPr>
        <w:t>j</w:t>
      </w:r>
      <w:r>
        <w:t xml:space="preserve"> </w:t>
      </w:r>
      <w:r w:rsidRPr="00A3665A">
        <w:t xml:space="preserve">que no cuenten con su debido registro ante el ASIC o cuando, estando inscritas, su información real difiera de la registrada.  </w:t>
      </w:r>
    </w:p>
    <w:p w:rsidR="00A71B19" w:rsidRDefault="00A71B19" w:rsidP="00A71B19">
      <w:pPr>
        <w:ind w:left="360"/>
      </w:pPr>
    </w:p>
    <w:p w:rsidR="00A71B19" w:rsidRDefault="00A71B19" w:rsidP="00A71B19">
      <w:pPr>
        <w:ind w:left="426"/>
      </w:pPr>
      <w:r>
        <w:t>Cuando se presente una de estas situaciones e</w:t>
      </w:r>
      <w:r w:rsidRPr="00DF500C">
        <w:t>l OR tendrá un plazo de seis (6) meses</w:t>
      </w:r>
      <w:r>
        <w:t>,</w:t>
      </w:r>
      <w:r w:rsidRPr="00DF500C">
        <w:t xml:space="preserve"> a partir de </w:t>
      </w:r>
      <w:r>
        <w:t>su identificación</w:t>
      </w:r>
      <w:r w:rsidR="00050E53">
        <w:t xml:space="preserve"> y notificación al OR correspondiente</w:t>
      </w:r>
      <w:r>
        <w:t xml:space="preserve">, </w:t>
      </w:r>
      <w:r w:rsidRPr="00DF500C">
        <w:t>para que la frontera sea debidamente registrada</w:t>
      </w:r>
      <w:r>
        <w:t xml:space="preserve"> o para corregir la información. En caso de que al cabo de dicho periodo no sea registrada o corregida la situación,</w:t>
      </w:r>
      <w:r w:rsidRPr="00DF500C">
        <w:t xml:space="preserve"> se entenderá como incumplimiento al Plan</w:t>
      </w:r>
      <w:r w:rsidRPr="00577D0A">
        <w:t xml:space="preserve"> y se procederá a la devolución de los ingresos según lo establecido en </w:t>
      </w:r>
      <w:r w:rsidR="007D251F">
        <w:t xml:space="preserve">el </w:t>
      </w:r>
      <w:r w:rsidR="00822579">
        <w:fldChar w:fldCharType="begin"/>
      </w:r>
      <w:r w:rsidR="007D251F">
        <w:instrText xml:space="preserve"> REF _Ref280342893 \r \h </w:instrText>
      </w:r>
      <w:r w:rsidR="00822579">
        <w:fldChar w:fldCharType="separate"/>
      </w:r>
      <w:r w:rsidR="00322DB3">
        <w:t>Artículo 13</w:t>
      </w:r>
      <w:r w:rsidR="00822579">
        <w:fldChar w:fldCharType="end"/>
      </w:r>
      <w:r w:rsidR="007D251F">
        <w:t xml:space="preserve"> y </w:t>
      </w:r>
      <w:r w:rsidRPr="00577D0A">
        <w:t xml:space="preserve">el </w:t>
      </w:r>
      <w:r w:rsidR="00822579">
        <w:fldChar w:fldCharType="begin"/>
      </w:r>
      <w:r w:rsidR="007D251F">
        <w:instrText xml:space="preserve"> REF _Ref280704303 \r \h </w:instrText>
      </w:r>
      <w:r w:rsidR="00822579">
        <w:fldChar w:fldCharType="separate"/>
      </w:r>
      <w:r w:rsidR="00322DB3">
        <w:t>Artículo 14</w:t>
      </w:r>
      <w:r w:rsidR="00822579">
        <w:fldChar w:fldCharType="end"/>
      </w:r>
      <w:r>
        <w:t xml:space="preserve"> </w:t>
      </w:r>
      <w:r w:rsidRPr="00577D0A">
        <w:t>de la presente resolución</w:t>
      </w:r>
      <w:r w:rsidR="007D251F">
        <w:t xml:space="preserve"> según corresponda</w:t>
      </w:r>
      <w:r w:rsidRPr="00DF500C">
        <w:t xml:space="preserve"> y se dará por finalizado el mismo.   </w:t>
      </w:r>
    </w:p>
    <w:p w:rsidR="0000308B" w:rsidRDefault="0000308B" w:rsidP="00A71B19">
      <w:pPr>
        <w:ind w:left="426"/>
      </w:pPr>
    </w:p>
    <w:p w:rsidR="008C2424" w:rsidRDefault="008C2424" w:rsidP="00A71B19">
      <w:pPr>
        <w:ind w:left="426"/>
      </w:pPr>
    </w:p>
    <w:p w:rsidR="008C2424" w:rsidRDefault="008C2424" w:rsidP="00A71B19">
      <w:pPr>
        <w:ind w:left="426"/>
      </w:pPr>
    </w:p>
    <w:p w:rsidR="008C2424" w:rsidRDefault="008C2424" w:rsidP="00A71B19">
      <w:pPr>
        <w:ind w:left="426"/>
      </w:pPr>
    </w:p>
    <w:p w:rsidR="0000308B" w:rsidRPr="00A3665A" w:rsidRDefault="0000308B" w:rsidP="0000308B">
      <w:pPr>
        <w:pStyle w:val="Artculo"/>
        <w:numPr>
          <w:ilvl w:val="0"/>
          <w:numId w:val="2"/>
        </w:numPr>
        <w:tabs>
          <w:tab w:val="left" w:pos="1701"/>
        </w:tabs>
        <w:ind w:left="0" w:firstLine="0"/>
      </w:pPr>
      <w:bookmarkStart w:id="11" w:name="_Ref280706592"/>
      <w:r w:rsidRPr="00402DAB">
        <w:t xml:space="preserve">Causales para la </w:t>
      </w:r>
      <w:r>
        <w:t>cancelación automática del Plan</w:t>
      </w:r>
      <w:r w:rsidRPr="00402DAB">
        <w:t xml:space="preserve">. </w:t>
      </w:r>
      <w:r>
        <w:rPr>
          <w:b w:val="0"/>
        </w:rPr>
        <w:t>Serán</w:t>
      </w:r>
      <w:r w:rsidRPr="00DF500C">
        <w:rPr>
          <w:b w:val="0"/>
        </w:rPr>
        <w:t xml:space="preserve"> causales de </w:t>
      </w:r>
      <w:r>
        <w:rPr>
          <w:b w:val="0"/>
        </w:rPr>
        <w:t>cancelación automática del Plan, sin que se requiera declaración de ninguna autoridad, las siguientes</w:t>
      </w:r>
      <w:r w:rsidRPr="00DF500C">
        <w:rPr>
          <w:b w:val="0"/>
        </w:rPr>
        <w:t>:</w:t>
      </w:r>
      <w:bookmarkEnd w:id="11"/>
    </w:p>
    <w:p w:rsidR="0000308B" w:rsidRPr="00C95AFC" w:rsidRDefault="0000308B" w:rsidP="0000308B"/>
    <w:p w:rsidR="0000308B" w:rsidRDefault="0000308B" w:rsidP="0000308B">
      <w:pPr>
        <w:pStyle w:val="Prrafodelista"/>
        <w:numPr>
          <w:ilvl w:val="0"/>
          <w:numId w:val="17"/>
        </w:numPr>
        <w:ind w:left="426" w:hanging="426"/>
      </w:pPr>
      <w:r w:rsidRPr="00A3665A">
        <w:t xml:space="preserve">Incumplimiento </w:t>
      </w:r>
      <w:r>
        <w:t>de las metas del plan durante tres períodos de evaluación consecutivos.</w:t>
      </w:r>
    </w:p>
    <w:p w:rsidR="0000308B" w:rsidRDefault="0000308B" w:rsidP="0000308B">
      <w:pPr>
        <w:pStyle w:val="Prrafodelista"/>
        <w:numPr>
          <w:ilvl w:val="0"/>
          <w:numId w:val="17"/>
        </w:numPr>
        <w:ind w:left="426" w:hanging="426"/>
      </w:pPr>
      <w:r>
        <w:t>Reincidencia en una de las causales de suspensión del plan.</w:t>
      </w:r>
    </w:p>
    <w:p w:rsidR="0000308B" w:rsidRDefault="00394334" w:rsidP="0000308B">
      <w:pPr>
        <w:pStyle w:val="Prrafodelista"/>
        <w:numPr>
          <w:ilvl w:val="0"/>
          <w:numId w:val="17"/>
        </w:numPr>
        <w:ind w:left="426" w:hanging="426"/>
      </w:pPr>
      <w:r>
        <w:t xml:space="preserve">Cuando hayan transcurrido seis (6) meses posteriores a la </w:t>
      </w:r>
      <w:r w:rsidR="00C37254">
        <w:t>detección</w:t>
      </w:r>
      <w:r>
        <w:t xml:space="preserve"> y notificación de inconsistencias en la información de</w:t>
      </w:r>
      <w:r w:rsidR="00C37254">
        <w:t>l</w:t>
      </w:r>
      <w:r>
        <w:t xml:space="preserve"> vínculo cliente red</w:t>
      </w:r>
      <w:r w:rsidR="00C37254" w:rsidRPr="00C37254">
        <w:t xml:space="preserve"> </w:t>
      </w:r>
      <w:r w:rsidR="00C37254">
        <w:t>y el OR no haya corregido la situación</w:t>
      </w:r>
      <w:r>
        <w:t xml:space="preserve">, según lo establecido en el </w:t>
      </w:r>
      <w:r w:rsidR="00822579">
        <w:fldChar w:fldCharType="begin"/>
      </w:r>
      <w:r>
        <w:instrText xml:space="preserve"> REF _Ref261441680 \r \h </w:instrText>
      </w:r>
      <w:r w:rsidR="00822579">
        <w:fldChar w:fldCharType="separate"/>
      </w:r>
      <w:r w:rsidR="00322DB3">
        <w:t>ANEXO 7</w:t>
      </w:r>
      <w:r w:rsidR="00822579">
        <w:fldChar w:fldCharType="end"/>
      </w:r>
      <w:r w:rsidR="00C37254">
        <w:t>.</w:t>
      </w:r>
      <w:r w:rsidRPr="00394334">
        <w:t xml:space="preserve"> </w:t>
      </w:r>
    </w:p>
    <w:p w:rsidR="00934DE6" w:rsidRDefault="00934DE6" w:rsidP="00934DE6">
      <w:pPr>
        <w:pStyle w:val="Prrafodelista"/>
        <w:numPr>
          <w:ilvl w:val="0"/>
          <w:numId w:val="17"/>
        </w:numPr>
        <w:ind w:left="426" w:hanging="426"/>
      </w:pPr>
      <w:r>
        <w:t>En caso de que el OR reporte, como parte de la ejecución del plan de reducción de pérdidas no técnicas, redes existentes a la fecha de solicitud del plan,</w:t>
      </w:r>
      <w:r w:rsidRPr="00934DE6">
        <w:t xml:space="preserve"> </w:t>
      </w:r>
      <w:r>
        <w:t xml:space="preserve">según lo establecido en el </w:t>
      </w:r>
      <w:r w:rsidR="00822579">
        <w:fldChar w:fldCharType="begin"/>
      </w:r>
      <w:r>
        <w:instrText xml:space="preserve"> REF _Ref261441680 \r \h </w:instrText>
      </w:r>
      <w:r w:rsidR="00822579">
        <w:fldChar w:fldCharType="separate"/>
      </w:r>
      <w:r w:rsidR="00322DB3">
        <w:t>ANEXO 7</w:t>
      </w:r>
      <w:r w:rsidR="00822579">
        <w:fldChar w:fldCharType="end"/>
      </w:r>
      <w:r>
        <w:t>.</w:t>
      </w:r>
      <w:r w:rsidRPr="00394334">
        <w:t xml:space="preserve"> </w:t>
      </w:r>
    </w:p>
    <w:p w:rsidR="00934DE6" w:rsidRDefault="00934DE6" w:rsidP="00934DE6">
      <w:pPr>
        <w:pStyle w:val="Prrafodelista"/>
        <w:numPr>
          <w:ilvl w:val="0"/>
          <w:numId w:val="17"/>
        </w:numPr>
        <w:ind w:left="426" w:hanging="426"/>
      </w:pPr>
      <w:r>
        <w:t>En el caso de que la CREG encuentre que los ingresos obtenidos por la ejecución del plan sean superiores a la suma de los gastos más los excedentes,</w:t>
      </w:r>
      <w:r w:rsidRPr="00934DE6">
        <w:t xml:space="preserve"> </w:t>
      </w:r>
      <w:r>
        <w:t xml:space="preserve">según lo establecido en el </w:t>
      </w:r>
      <w:r w:rsidR="00822579">
        <w:fldChar w:fldCharType="begin"/>
      </w:r>
      <w:r>
        <w:instrText xml:space="preserve"> REF _Ref261441680 \r \h </w:instrText>
      </w:r>
      <w:r w:rsidR="00822579">
        <w:fldChar w:fldCharType="separate"/>
      </w:r>
      <w:r w:rsidR="00322DB3">
        <w:t>ANEXO 7</w:t>
      </w:r>
      <w:r w:rsidR="00822579">
        <w:fldChar w:fldCharType="end"/>
      </w:r>
      <w:r>
        <w:t>.</w:t>
      </w:r>
      <w:r w:rsidRPr="00394334">
        <w:t xml:space="preserve"> </w:t>
      </w:r>
    </w:p>
    <w:p w:rsidR="00CA75B9" w:rsidRDefault="00CA75B9" w:rsidP="00934DE6">
      <w:pPr>
        <w:pStyle w:val="Prrafodelista"/>
        <w:numPr>
          <w:ilvl w:val="0"/>
          <w:numId w:val="17"/>
        </w:numPr>
        <w:ind w:left="426" w:hanging="426"/>
      </w:pPr>
      <w:r>
        <w:t>Cuando un OR decida finalizar el Plan.</w:t>
      </w:r>
    </w:p>
    <w:p w:rsidR="00CC6D48" w:rsidRDefault="00CC6D48" w:rsidP="00934DE6">
      <w:pPr>
        <w:pStyle w:val="Prrafodelista"/>
        <w:numPr>
          <w:ilvl w:val="0"/>
          <w:numId w:val="17"/>
        </w:numPr>
        <w:ind w:left="426" w:hanging="426"/>
      </w:pPr>
      <w:r>
        <w:t>No constituir la fiducia</w:t>
      </w:r>
      <w:r w:rsidR="00927F59">
        <w:t>, según lo establecido e</w:t>
      </w:r>
      <w:r>
        <w:t xml:space="preserve">n el </w:t>
      </w:r>
      <w:r w:rsidR="00822579">
        <w:fldChar w:fldCharType="begin"/>
      </w:r>
      <w:r>
        <w:instrText xml:space="preserve"> REF _Ref280707835 \r \h </w:instrText>
      </w:r>
      <w:r w:rsidR="00822579">
        <w:fldChar w:fldCharType="separate"/>
      </w:r>
      <w:r w:rsidR="00322DB3">
        <w:t>Artículo 12</w:t>
      </w:r>
      <w:r w:rsidR="00822579">
        <w:fldChar w:fldCharType="end"/>
      </w:r>
      <w:r>
        <w:t xml:space="preserve"> de la presente resolución.</w:t>
      </w:r>
    </w:p>
    <w:p w:rsidR="00A71B19" w:rsidRPr="008C2424" w:rsidRDefault="00A71B19" w:rsidP="00A71B19">
      <w:pPr>
        <w:ind w:left="360"/>
        <w:rPr>
          <w:sz w:val="22"/>
          <w:lang w:val="es-CO"/>
        </w:rPr>
      </w:pPr>
    </w:p>
    <w:p w:rsidR="00A71B19" w:rsidRPr="003C15CF" w:rsidRDefault="00A71B19" w:rsidP="00A71B19">
      <w:pPr>
        <w:pStyle w:val="Artculo"/>
        <w:numPr>
          <w:ilvl w:val="0"/>
          <w:numId w:val="2"/>
        </w:numPr>
        <w:tabs>
          <w:tab w:val="left" w:pos="1701"/>
        </w:tabs>
        <w:ind w:left="0" w:firstLine="0"/>
        <w:rPr>
          <w:b w:val="0"/>
        </w:rPr>
      </w:pPr>
      <w:bookmarkStart w:id="12" w:name="_Ref256491786"/>
      <w:bookmarkStart w:id="13" w:name="_Ref280707835"/>
      <w:r>
        <w:t>Constitución de una Fiducia por suspensión del Plan</w:t>
      </w:r>
      <w:r w:rsidRPr="00402DAB">
        <w:t>.</w:t>
      </w:r>
      <w:r w:rsidRPr="00C95AFC">
        <w:t xml:space="preserve"> </w:t>
      </w:r>
      <w:bookmarkEnd w:id="12"/>
      <w:r w:rsidRPr="00127FEB">
        <w:rPr>
          <w:b w:val="0"/>
        </w:rPr>
        <w:t>Cuando</w:t>
      </w:r>
      <w:r>
        <w:rPr>
          <w:b w:val="0"/>
        </w:rPr>
        <w:t xml:space="preserve"> el OR incurra en alguna de las causales de suspensión del plan, según lo establecido en el </w:t>
      </w:r>
      <w:r w:rsidR="00822579">
        <w:rPr>
          <w:b w:val="0"/>
        </w:rPr>
        <w:fldChar w:fldCharType="begin"/>
      </w:r>
      <w:r>
        <w:rPr>
          <w:b w:val="0"/>
        </w:rPr>
        <w:instrText xml:space="preserve"> REF _Ref259799612 \r \h </w:instrText>
      </w:r>
      <w:r w:rsidR="00822579">
        <w:rPr>
          <w:b w:val="0"/>
        </w:rPr>
      </w:r>
      <w:r w:rsidR="00822579">
        <w:rPr>
          <w:b w:val="0"/>
        </w:rPr>
        <w:fldChar w:fldCharType="separate"/>
      </w:r>
      <w:r w:rsidR="00322DB3">
        <w:rPr>
          <w:b w:val="0"/>
        </w:rPr>
        <w:t>Artículo 10</w:t>
      </w:r>
      <w:r w:rsidR="00822579">
        <w:rPr>
          <w:b w:val="0"/>
        </w:rPr>
        <w:fldChar w:fldCharType="end"/>
      </w:r>
      <w:r>
        <w:rPr>
          <w:b w:val="0"/>
        </w:rPr>
        <w:t xml:space="preserve"> de esta Resolución, deberá constituir una fiducia para que allí </w:t>
      </w:r>
      <w:r w:rsidRPr="003C15CF">
        <w:rPr>
          <w:b w:val="0"/>
        </w:rPr>
        <w:t xml:space="preserve">sean depositados los recursos recaudados por los Comercializadores por concepto del CPROG durante </w:t>
      </w:r>
      <w:r>
        <w:rPr>
          <w:b w:val="0"/>
        </w:rPr>
        <w:t xml:space="preserve">el periodo </w:t>
      </w:r>
      <w:r w:rsidRPr="003C15CF">
        <w:rPr>
          <w:b w:val="0"/>
        </w:rPr>
        <w:t>de suspensión de la remuneración del plan al OR.</w:t>
      </w:r>
      <w:bookmarkEnd w:id="13"/>
      <w:r>
        <w:rPr>
          <w:b w:val="0"/>
        </w:rPr>
        <w:t xml:space="preserve"> </w:t>
      </w:r>
    </w:p>
    <w:p w:rsidR="00A71B19" w:rsidRPr="003C15CF" w:rsidRDefault="00A71B19" w:rsidP="00A71B19">
      <w:pPr>
        <w:pStyle w:val="Artculo"/>
        <w:rPr>
          <w:b w:val="0"/>
        </w:rPr>
      </w:pPr>
    </w:p>
    <w:p w:rsidR="00A71B19" w:rsidRDefault="00A71B19" w:rsidP="00A71B19">
      <w:pPr>
        <w:pStyle w:val="Artculo"/>
        <w:rPr>
          <w:b w:val="0"/>
        </w:rPr>
      </w:pPr>
      <w:r w:rsidRPr="003C15CF">
        <w:rPr>
          <w:b w:val="0"/>
        </w:rPr>
        <w:t xml:space="preserve">El OR </w:t>
      </w:r>
      <w:r>
        <w:rPr>
          <w:b w:val="0"/>
        </w:rPr>
        <w:t xml:space="preserve">tendrá un plazo de un (1) mes para constituir la fiducia y </w:t>
      </w:r>
      <w:r w:rsidRPr="003C15CF">
        <w:rPr>
          <w:b w:val="0"/>
        </w:rPr>
        <w:t xml:space="preserve">no podrá utilizar los recursos depositados en </w:t>
      </w:r>
      <w:r>
        <w:rPr>
          <w:b w:val="0"/>
        </w:rPr>
        <w:t xml:space="preserve">esta </w:t>
      </w:r>
      <w:r w:rsidRPr="003C15CF">
        <w:rPr>
          <w:b w:val="0"/>
        </w:rPr>
        <w:t>mientras se encuentre suspendida la remuneración del plan al OR.</w:t>
      </w:r>
      <w:r>
        <w:rPr>
          <w:b w:val="0"/>
        </w:rPr>
        <w:t xml:space="preserve"> Los costos asociados con la Fiducia estarán a cargo del OR.</w:t>
      </w:r>
    </w:p>
    <w:p w:rsidR="00B10341" w:rsidRDefault="00B10341" w:rsidP="00A71B19">
      <w:pPr>
        <w:pStyle w:val="Artculo"/>
        <w:rPr>
          <w:b w:val="0"/>
        </w:rPr>
      </w:pPr>
    </w:p>
    <w:p w:rsidR="00B10341" w:rsidRDefault="00B10341" w:rsidP="00A71B19">
      <w:pPr>
        <w:pStyle w:val="Artculo"/>
        <w:rPr>
          <w:b w:val="0"/>
        </w:rPr>
      </w:pPr>
      <w:r>
        <w:rPr>
          <w:b w:val="0"/>
        </w:rPr>
        <w:t xml:space="preserve">Una vez constituida la fiducia el OR deberá comunicar al LAC y a los Comercializadores del mercado </w:t>
      </w:r>
      <w:r w:rsidR="009A1770">
        <w:rPr>
          <w:b w:val="0"/>
        </w:rPr>
        <w:t xml:space="preserve">la información necesaria </w:t>
      </w:r>
      <w:r>
        <w:rPr>
          <w:b w:val="0"/>
        </w:rPr>
        <w:t>para que sean consignados los recursos del programa durante el período de suspensión.</w:t>
      </w:r>
    </w:p>
    <w:p w:rsidR="00A71B19" w:rsidRDefault="00A71B19" w:rsidP="00A71B19">
      <w:pPr>
        <w:pStyle w:val="Artculo"/>
        <w:rPr>
          <w:b w:val="0"/>
        </w:rPr>
      </w:pPr>
    </w:p>
    <w:p w:rsidR="00A71B19" w:rsidRDefault="00A71B19" w:rsidP="00A71B19">
      <w:pPr>
        <w:pStyle w:val="Artculo"/>
        <w:rPr>
          <w:b w:val="0"/>
        </w:rPr>
      </w:pPr>
      <w:r w:rsidRPr="00387CA8">
        <w:rPr>
          <w:b w:val="0"/>
        </w:rPr>
        <w:t xml:space="preserve">Si al finalizar el siguiente período de evaluación posterior al de la suspensión de la remuneración el OR cumple con la meta aprobada para ese período, se reiniciará la remuneración del plan y el OR podrá </w:t>
      </w:r>
      <w:r>
        <w:rPr>
          <w:b w:val="0"/>
        </w:rPr>
        <w:t xml:space="preserve">cancelar la Fiducia y </w:t>
      </w:r>
      <w:r w:rsidRPr="00387CA8">
        <w:rPr>
          <w:b w:val="0"/>
        </w:rPr>
        <w:t xml:space="preserve">utilizar los recursos depositados en </w:t>
      </w:r>
      <w:r>
        <w:rPr>
          <w:b w:val="0"/>
        </w:rPr>
        <w:t>ésta</w:t>
      </w:r>
      <w:r w:rsidRPr="00387CA8">
        <w:rPr>
          <w:b w:val="0"/>
        </w:rPr>
        <w:t>.</w:t>
      </w:r>
    </w:p>
    <w:p w:rsidR="00A71B19" w:rsidRDefault="00A71B19" w:rsidP="00A71B19">
      <w:pPr>
        <w:ind w:left="360"/>
      </w:pPr>
    </w:p>
    <w:p w:rsidR="00A71B19" w:rsidRDefault="00A71B19" w:rsidP="00A71B19">
      <w:pPr>
        <w:pStyle w:val="Artculo"/>
        <w:numPr>
          <w:ilvl w:val="0"/>
          <w:numId w:val="2"/>
        </w:numPr>
        <w:tabs>
          <w:tab w:val="left" w:pos="1701"/>
        </w:tabs>
        <w:ind w:left="0" w:firstLine="0"/>
        <w:rPr>
          <w:b w:val="0"/>
        </w:rPr>
      </w:pPr>
      <w:bookmarkStart w:id="14" w:name="_Ref280342893"/>
      <w:r w:rsidRPr="00402DAB">
        <w:t>Devolución de ingresos</w:t>
      </w:r>
      <w:r>
        <w:t xml:space="preserve"> por parte del OR</w:t>
      </w:r>
      <w:r w:rsidRPr="00402DAB">
        <w:t>.</w:t>
      </w:r>
      <w:r w:rsidRPr="00C95AFC">
        <w:t xml:space="preserve"> </w:t>
      </w:r>
      <w:r w:rsidRPr="00C9708B">
        <w:rPr>
          <w:b w:val="0"/>
        </w:rPr>
        <w:t>Cuando se presente incumplimiento en la ejecución del plan de reducción de pérdidas</w:t>
      </w:r>
      <w:r w:rsidRPr="00C27278">
        <w:rPr>
          <w:b w:val="0"/>
        </w:rPr>
        <w:t xml:space="preserve"> no técnicas </w:t>
      </w:r>
      <w:r w:rsidRPr="00C9708B">
        <w:rPr>
          <w:b w:val="0"/>
        </w:rPr>
        <w:t xml:space="preserve">por parte de un OR </w:t>
      </w:r>
      <w:r>
        <w:rPr>
          <w:b w:val="0"/>
        </w:rPr>
        <w:t xml:space="preserve">de acuerdo con lo establecido en el  numeral </w:t>
      </w:r>
      <w:r w:rsidR="00822579">
        <w:rPr>
          <w:b w:val="0"/>
        </w:rPr>
        <w:fldChar w:fldCharType="begin"/>
      </w:r>
      <w:r>
        <w:rPr>
          <w:b w:val="0"/>
        </w:rPr>
        <w:instrText xml:space="preserve"> REF _Ref276128273 \r \h </w:instrText>
      </w:r>
      <w:r w:rsidR="00822579">
        <w:rPr>
          <w:b w:val="0"/>
        </w:rPr>
      </w:r>
      <w:r w:rsidR="00822579">
        <w:rPr>
          <w:b w:val="0"/>
        </w:rPr>
        <w:fldChar w:fldCharType="separate"/>
      </w:r>
      <w:r w:rsidR="00322DB3">
        <w:rPr>
          <w:b w:val="0"/>
        </w:rPr>
        <w:t>4</w:t>
      </w:r>
      <w:r w:rsidR="00822579">
        <w:rPr>
          <w:b w:val="0"/>
        </w:rPr>
        <w:fldChar w:fldCharType="end"/>
      </w:r>
      <w:r>
        <w:rPr>
          <w:b w:val="0"/>
        </w:rPr>
        <w:t xml:space="preserve"> del </w:t>
      </w:r>
      <w:r w:rsidR="00822579">
        <w:rPr>
          <w:b w:val="0"/>
        </w:rPr>
        <w:fldChar w:fldCharType="begin"/>
      </w:r>
      <w:r>
        <w:rPr>
          <w:b w:val="0"/>
        </w:rPr>
        <w:instrText xml:space="preserve"> REF _Ref276128312 \r \h </w:instrText>
      </w:r>
      <w:r w:rsidR="00822579">
        <w:rPr>
          <w:b w:val="0"/>
        </w:rPr>
      </w:r>
      <w:r w:rsidR="00822579">
        <w:rPr>
          <w:b w:val="0"/>
        </w:rPr>
        <w:fldChar w:fldCharType="separate"/>
      </w:r>
      <w:r w:rsidR="00322DB3">
        <w:rPr>
          <w:b w:val="0"/>
        </w:rPr>
        <w:t>ANEXO 6</w:t>
      </w:r>
      <w:r w:rsidR="00822579">
        <w:rPr>
          <w:b w:val="0"/>
        </w:rPr>
        <w:fldChar w:fldCharType="end"/>
      </w:r>
      <w:r>
        <w:rPr>
          <w:b w:val="0"/>
        </w:rPr>
        <w:t xml:space="preserve"> de la presente resolución, ó,</w:t>
      </w:r>
      <w:r w:rsidRPr="00C9708B">
        <w:rPr>
          <w:b w:val="0"/>
        </w:rPr>
        <w:t xml:space="preserve"> en caso de que un OR decida finalizar unilateralmente </w:t>
      </w:r>
      <w:r>
        <w:rPr>
          <w:b w:val="0"/>
        </w:rPr>
        <w:t>la ejecución d</w:t>
      </w:r>
      <w:r w:rsidRPr="00C9708B">
        <w:rPr>
          <w:b w:val="0"/>
        </w:rPr>
        <w:t xml:space="preserve">el plan, el OR deberá retornar los ingresos recibidos por este concepto a los usuarios del Mercado de Comercialización, durante los </w:t>
      </w:r>
      <w:r>
        <w:rPr>
          <w:b w:val="0"/>
        </w:rPr>
        <w:t xml:space="preserve">(6) seis </w:t>
      </w:r>
      <w:r w:rsidRPr="00C9708B">
        <w:rPr>
          <w:b w:val="0"/>
        </w:rPr>
        <w:t xml:space="preserve">meses posteriores a la cancelación del plan, como un valor negativo de la variable </w:t>
      </w:r>
      <w:r w:rsidRPr="00127FEB">
        <w:rPr>
          <w:b w:val="0"/>
          <w:i/>
        </w:rPr>
        <w:t>CPROG</w:t>
      </w:r>
      <w:r w:rsidRPr="00127FEB">
        <w:rPr>
          <w:b w:val="0"/>
          <w:i/>
          <w:vertAlign w:val="subscript"/>
        </w:rPr>
        <w:t>j,m</w:t>
      </w:r>
      <w:r w:rsidRPr="00C9708B">
        <w:rPr>
          <w:b w:val="0"/>
        </w:rPr>
        <w:t>, de acuerdo con la metodología establecida en el</w:t>
      </w:r>
      <w:r>
        <w:rPr>
          <w:b w:val="0"/>
        </w:rPr>
        <w:t xml:space="preserve"> numeral </w:t>
      </w:r>
      <w:r w:rsidR="00822579">
        <w:rPr>
          <w:b w:val="0"/>
        </w:rPr>
        <w:fldChar w:fldCharType="begin"/>
      </w:r>
      <w:r>
        <w:rPr>
          <w:b w:val="0"/>
        </w:rPr>
        <w:instrText xml:space="preserve"> REF _Ref280344187 \r \h </w:instrText>
      </w:r>
      <w:r w:rsidR="00822579">
        <w:rPr>
          <w:b w:val="0"/>
        </w:rPr>
      </w:r>
      <w:r w:rsidR="00822579">
        <w:rPr>
          <w:b w:val="0"/>
        </w:rPr>
        <w:fldChar w:fldCharType="separate"/>
      </w:r>
      <w:r w:rsidR="00322DB3">
        <w:rPr>
          <w:b w:val="0"/>
        </w:rPr>
        <w:t>8.2</w:t>
      </w:r>
      <w:r w:rsidR="00822579">
        <w:rPr>
          <w:b w:val="0"/>
        </w:rPr>
        <w:fldChar w:fldCharType="end"/>
      </w:r>
      <w:r w:rsidRPr="00C9708B">
        <w:rPr>
          <w:b w:val="0"/>
        </w:rPr>
        <w:t xml:space="preserve"> </w:t>
      </w:r>
      <w:r>
        <w:rPr>
          <w:b w:val="0"/>
        </w:rPr>
        <w:t xml:space="preserve">del </w:t>
      </w:r>
      <w:fldSimple w:instr=" REF _Ref261501852 \r \h  \* MERGEFORMAT ">
        <w:r w:rsidR="00322DB3" w:rsidRPr="00322DB3">
          <w:rPr>
            <w:b w:val="0"/>
          </w:rPr>
          <w:t>ANEXO 8</w:t>
        </w:r>
      </w:fldSimple>
      <w:r w:rsidRPr="00C9708B">
        <w:rPr>
          <w:b w:val="0"/>
        </w:rPr>
        <w:t xml:space="preserve"> de la presente resolución.</w:t>
      </w:r>
      <w:bookmarkEnd w:id="14"/>
    </w:p>
    <w:p w:rsidR="00A71B19" w:rsidRPr="00127FEB" w:rsidRDefault="00A71B19" w:rsidP="00A71B19">
      <w:pPr>
        <w:pStyle w:val="Artculo"/>
        <w:rPr>
          <w:b w:val="0"/>
        </w:rPr>
      </w:pPr>
      <w:bookmarkStart w:id="15" w:name="_Ref260125456"/>
      <w:bookmarkStart w:id="16" w:name="_Ref261501934"/>
      <w:bookmarkEnd w:id="8"/>
      <w:bookmarkEnd w:id="9"/>
    </w:p>
    <w:p w:rsidR="00A71B19" w:rsidRDefault="00A71B19" w:rsidP="00A71B19">
      <w:pPr>
        <w:pStyle w:val="Artculo"/>
        <w:numPr>
          <w:ilvl w:val="0"/>
          <w:numId w:val="2"/>
        </w:numPr>
        <w:tabs>
          <w:tab w:val="left" w:pos="1701"/>
        </w:tabs>
        <w:ind w:left="0" w:firstLine="0"/>
        <w:rPr>
          <w:b w:val="0"/>
        </w:rPr>
      </w:pPr>
      <w:bookmarkStart w:id="17" w:name="_Ref280704303"/>
      <w:r w:rsidRPr="00387CA8">
        <w:t>Devolución de ingresos depositados en la Fiducia</w:t>
      </w:r>
      <w:r>
        <w:rPr>
          <w:b w:val="0"/>
        </w:rPr>
        <w:t xml:space="preserve"> </w:t>
      </w:r>
      <w:r w:rsidRPr="00C9708B">
        <w:rPr>
          <w:b w:val="0"/>
        </w:rPr>
        <w:t>Cuando se presente incumplimiento en la ejecución del plan de reducción de pérdidas</w:t>
      </w:r>
      <w:r w:rsidRPr="00C27278">
        <w:rPr>
          <w:b w:val="0"/>
        </w:rPr>
        <w:t xml:space="preserve"> no técnicas </w:t>
      </w:r>
      <w:r w:rsidRPr="00C9708B">
        <w:rPr>
          <w:b w:val="0"/>
        </w:rPr>
        <w:t xml:space="preserve">por parte de un OR </w:t>
      </w:r>
      <w:r>
        <w:rPr>
          <w:b w:val="0"/>
        </w:rPr>
        <w:t xml:space="preserve">de acuerdo con lo establecido en el  numeral </w:t>
      </w:r>
      <w:r w:rsidR="00822579">
        <w:rPr>
          <w:b w:val="0"/>
        </w:rPr>
        <w:fldChar w:fldCharType="begin"/>
      </w:r>
      <w:r>
        <w:rPr>
          <w:b w:val="0"/>
        </w:rPr>
        <w:instrText xml:space="preserve"> REF _Ref276128273 \r \h </w:instrText>
      </w:r>
      <w:r w:rsidR="00822579">
        <w:rPr>
          <w:b w:val="0"/>
        </w:rPr>
      </w:r>
      <w:r w:rsidR="00822579">
        <w:rPr>
          <w:b w:val="0"/>
        </w:rPr>
        <w:fldChar w:fldCharType="separate"/>
      </w:r>
      <w:r w:rsidR="00322DB3">
        <w:rPr>
          <w:b w:val="0"/>
        </w:rPr>
        <w:t>4</w:t>
      </w:r>
      <w:r w:rsidR="00822579">
        <w:rPr>
          <w:b w:val="0"/>
        </w:rPr>
        <w:fldChar w:fldCharType="end"/>
      </w:r>
      <w:r>
        <w:rPr>
          <w:b w:val="0"/>
        </w:rPr>
        <w:t xml:space="preserve"> del </w:t>
      </w:r>
      <w:r w:rsidR="00822579">
        <w:rPr>
          <w:b w:val="0"/>
        </w:rPr>
        <w:fldChar w:fldCharType="begin"/>
      </w:r>
      <w:r>
        <w:rPr>
          <w:b w:val="0"/>
        </w:rPr>
        <w:instrText xml:space="preserve"> REF _Ref276128312 \r \h </w:instrText>
      </w:r>
      <w:r w:rsidR="00822579">
        <w:rPr>
          <w:b w:val="0"/>
        </w:rPr>
      </w:r>
      <w:r w:rsidR="00822579">
        <w:rPr>
          <w:b w:val="0"/>
        </w:rPr>
        <w:fldChar w:fldCharType="separate"/>
      </w:r>
      <w:r w:rsidR="00322DB3">
        <w:rPr>
          <w:b w:val="0"/>
        </w:rPr>
        <w:t>ANEXO 6</w:t>
      </w:r>
      <w:r w:rsidR="00822579">
        <w:rPr>
          <w:b w:val="0"/>
        </w:rPr>
        <w:fldChar w:fldCharType="end"/>
      </w:r>
      <w:r>
        <w:rPr>
          <w:b w:val="0"/>
        </w:rPr>
        <w:t xml:space="preserve"> de la presente resolución ó</w:t>
      </w:r>
      <w:r w:rsidRPr="00C9708B">
        <w:rPr>
          <w:b w:val="0"/>
        </w:rPr>
        <w:t xml:space="preserve"> en caso de que un OR decida finalizar unilateralmente </w:t>
      </w:r>
      <w:r>
        <w:rPr>
          <w:b w:val="0"/>
        </w:rPr>
        <w:t>la ejecución d</w:t>
      </w:r>
      <w:r w:rsidRPr="00C9708B">
        <w:rPr>
          <w:b w:val="0"/>
        </w:rPr>
        <w:t xml:space="preserve">el plan, </w:t>
      </w:r>
      <w:r>
        <w:rPr>
          <w:b w:val="0"/>
        </w:rPr>
        <w:t xml:space="preserve">los ingresos depositados en la Fiducia se trasladaran a los usuarios del Mercado de Comercialización durante un periodo de seis (6) meses posteriores a la devolución de ingresos por parte del OR, de que trata el </w:t>
      </w:r>
      <w:r w:rsidR="00822579">
        <w:rPr>
          <w:b w:val="0"/>
        </w:rPr>
        <w:fldChar w:fldCharType="begin"/>
      </w:r>
      <w:r>
        <w:rPr>
          <w:b w:val="0"/>
        </w:rPr>
        <w:instrText xml:space="preserve"> REF _Ref280342893 \r \h </w:instrText>
      </w:r>
      <w:r w:rsidR="00822579">
        <w:rPr>
          <w:b w:val="0"/>
        </w:rPr>
      </w:r>
      <w:r w:rsidR="00822579">
        <w:rPr>
          <w:b w:val="0"/>
        </w:rPr>
        <w:fldChar w:fldCharType="separate"/>
      </w:r>
      <w:r w:rsidR="00322DB3">
        <w:rPr>
          <w:b w:val="0"/>
        </w:rPr>
        <w:t>Artículo 13</w:t>
      </w:r>
      <w:r w:rsidR="00822579">
        <w:rPr>
          <w:b w:val="0"/>
        </w:rPr>
        <w:fldChar w:fldCharType="end"/>
      </w:r>
      <w:r>
        <w:rPr>
          <w:b w:val="0"/>
        </w:rPr>
        <w:t xml:space="preserve"> de esta Resolución, </w:t>
      </w:r>
      <w:r w:rsidRPr="00C9708B">
        <w:rPr>
          <w:b w:val="0"/>
        </w:rPr>
        <w:t xml:space="preserve">como un valor negativo de la variable </w:t>
      </w:r>
      <w:r w:rsidRPr="00387CA8">
        <w:rPr>
          <w:b w:val="0"/>
          <w:i/>
        </w:rPr>
        <w:t>CPROG</w:t>
      </w:r>
      <w:bookmarkEnd w:id="15"/>
      <w:r w:rsidRPr="00387CA8">
        <w:rPr>
          <w:b w:val="0"/>
          <w:i/>
          <w:vertAlign w:val="subscript"/>
        </w:rPr>
        <w:t>j,m</w:t>
      </w:r>
      <w:r w:rsidRPr="00C9708B">
        <w:rPr>
          <w:b w:val="0"/>
        </w:rPr>
        <w:t xml:space="preserve">, de acuerdo con la metodología establecida en el </w:t>
      </w:r>
      <w:r>
        <w:rPr>
          <w:b w:val="0"/>
        </w:rPr>
        <w:t xml:space="preserve">numeral </w:t>
      </w:r>
      <w:r w:rsidR="00822579">
        <w:rPr>
          <w:b w:val="0"/>
        </w:rPr>
        <w:fldChar w:fldCharType="begin"/>
      </w:r>
      <w:r>
        <w:rPr>
          <w:b w:val="0"/>
        </w:rPr>
        <w:instrText xml:space="preserve"> REF _Ref280344163 \r \h </w:instrText>
      </w:r>
      <w:r w:rsidR="00822579">
        <w:rPr>
          <w:b w:val="0"/>
        </w:rPr>
      </w:r>
      <w:r w:rsidR="00822579">
        <w:rPr>
          <w:b w:val="0"/>
        </w:rPr>
        <w:fldChar w:fldCharType="separate"/>
      </w:r>
      <w:r w:rsidR="00322DB3">
        <w:rPr>
          <w:b w:val="0"/>
        </w:rPr>
        <w:t>8.3</w:t>
      </w:r>
      <w:r w:rsidR="00822579">
        <w:rPr>
          <w:b w:val="0"/>
        </w:rPr>
        <w:fldChar w:fldCharType="end"/>
      </w:r>
      <w:r>
        <w:rPr>
          <w:b w:val="0"/>
        </w:rPr>
        <w:t xml:space="preserve"> del </w:t>
      </w:r>
      <w:fldSimple w:instr=" REF _Ref261501852 \r \h  \* MERGEFORMAT ">
        <w:r w:rsidR="00322DB3" w:rsidRPr="00322DB3">
          <w:rPr>
            <w:b w:val="0"/>
          </w:rPr>
          <w:t>ANEXO 8</w:t>
        </w:r>
      </w:fldSimple>
      <w:r w:rsidRPr="00C9708B">
        <w:rPr>
          <w:b w:val="0"/>
        </w:rPr>
        <w:t xml:space="preserve"> de la presente resolución.</w:t>
      </w:r>
      <w:bookmarkEnd w:id="16"/>
      <w:bookmarkEnd w:id="17"/>
    </w:p>
    <w:p w:rsidR="00A71B19" w:rsidRPr="00C9708B" w:rsidRDefault="00A71B19" w:rsidP="00A71B19">
      <w:pPr>
        <w:pStyle w:val="Artculo"/>
        <w:rPr>
          <w:b w:val="0"/>
        </w:rPr>
      </w:pPr>
    </w:p>
    <w:p w:rsidR="00A71B19" w:rsidRPr="00C60403" w:rsidRDefault="00A71B19" w:rsidP="00A71B19">
      <w:pPr>
        <w:pStyle w:val="Artculo"/>
        <w:numPr>
          <w:ilvl w:val="0"/>
          <w:numId w:val="2"/>
        </w:numPr>
        <w:tabs>
          <w:tab w:val="left" w:pos="1701"/>
        </w:tabs>
        <w:ind w:left="0" w:firstLine="0"/>
        <w:rPr>
          <w:b w:val="0"/>
        </w:rPr>
      </w:pPr>
      <w:bookmarkStart w:id="18" w:name="_Ref257103347"/>
      <w:bookmarkStart w:id="19" w:name="_Ref255379815"/>
      <w:r w:rsidRPr="00C60403">
        <w:t xml:space="preserve">Pérdidas reconocidas en los niveles de tensión 2, 3 y 4. </w:t>
      </w:r>
      <w:r w:rsidRPr="00C60403">
        <w:rPr>
          <w:b w:val="0"/>
        </w:rPr>
        <w:t xml:space="preserve">Para los niveles de tensión 2, 3 y 4, las pérdidas reconocidas, </w:t>
      </w:r>
      <w:r w:rsidRPr="00C60403">
        <w:rPr>
          <w:b w:val="0"/>
          <w:i/>
        </w:rPr>
        <w:t>P</w:t>
      </w:r>
      <w:r w:rsidRPr="00C60403">
        <w:rPr>
          <w:b w:val="0"/>
          <w:i/>
          <w:vertAlign w:val="subscript"/>
        </w:rPr>
        <w:t>j,n</w:t>
      </w:r>
      <w:r w:rsidRPr="00C60403">
        <w:rPr>
          <w:b w:val="0"/>
          <w:i/>
        </w:rPr>
        <w:t>,</w:t>
      </w:r>
      <w:r w:rsidRPr="00C60403">
        <w:rPr>
          <w:b w:val="0"/>
        </w:rPr>
        <w:t xml:space="preserve"> </w:t>
      </w:r>
      <w:r w:rsidRPr="00C60403">
        <w:rPr>
          <w:b w:val="0"/>
          <w:i/>
        </w:rPr>
        <w:t>n= 2, 3 o 4</w:t>
      </w:r>
      <w:r w:rsidRPr="00C60403">
        <w:rPr>
          <w:b w:val="0"/>
        </w:rPr>
        <w:t xml:space="preserve">, corresponden a las pérdidas técnicas aprobadas a cada OR en la resolución particular de costos y cargos máximos de distribución, calculadas de acuerdo con lo establecido en el numeral 12.1 del anexo general de la Resolución CREG 097 de 2008.  De acuerdo con los parágrafos 1 y 2 del artículo 14 de la Resolución CREG 119 de 2007 los valores de las variables </w:t>
      </w:r>
      <w:r w:rsidRPr="00C60403">
        <w:rPr>
          <w:b w:val="0"/>
          <w:i/>
        </w:rPr>
        <w:t>IPR</w:t>
      </w:r>
      <w:r w:rsidRPr="00C60403">
        <w:rPr>
          <w:b w:val="0"/>
          <w:i/>
          <w:vertAlign w:val="subscript"/>
        </w:rPr>
        <w:t>n,m,j</w:t>
      </w:r>
      <w:r w:rsidRPr="00C60403">
        <w:rPr>
          <w:b w:val="0"/>
        </w:rPr>
        <w:t xml:space="preserve"> corresponderán a los definidos en este artículo a partir del primer día hábil del mes siguiente a la fecha límite para la presentación de los planes.</w:t>
      </w:r>
    </w:p>
    <w:p w:rsidR="00A71B19" w:rsidRPr="00C60403" w:rsidRDefault="00A71B19" w:rsidP="00A71B19"/>
    <w:p w:rsidR="00A71B19" w:rsidRPr="00C60403" w:rsidRDefault="00A71B19" w:rsidP="00A71B19">
      <w:pPr>
        <w:pStyle w:val="Artculo"/>
        <w:numPr>
          <w:ilvl w:val="0"/>
          <w:numId w:val="2"/>
        </w:numPr>
        <w:tabs>
          <w:tab w:val="left" w:pos="1701"/>
        </w:tabs>
        <w:ind w:left="0" w:firstLine="0"/>
        <w:rPr>
          <w:b w:val="0"/>
        </w:rPr>
      </w:pPr>
      <w:bookmarkStart w:id="20" w:name="_Ref261440209"/>
      <w:bookmarkEnd w:id="18"/>
      <w:bookmarkEnd w:id="19"/>
      <w:r w:rsidRPr="00C60403">
        <w:t xml:space="preserve">Pérdidas reconocidas en el nivel de tensión 1, </w:t>
      </w:r>
      <w:r w:rsidRPr="00C60403">
        <w:rPr>
          <w:i/>
        </w:rPr>
        <w:t>P</w:t>
      </w:r>
      <w:r w:rsidRPr="00C60403">
        <w:rPr>
          <w:i/>
          <w:vertAlign w:val="subscript"/>
        </w:rPr>
        <w:t>j,1</w:t>
      </w:r>
      <w:r w:rsidRPr="00C60403">
        <w:t xml:space="preserve">. </w:t>
      </w:r>
      <w:bookmarkEnd w:id="20"/>
      <w:r w:rsidRPr="00C60403">
        <w:rPr>
          <w:b w:val="0"/>
        </w:rPr>
        <w:t>Corresponden</w:t>
      </w:r>
      <w:r w:rsidRPr="00C60403">
        <w:t xml:space="preserve"> </w:t>
      </w:r>
      <w:r w:rsidRPr="00C60403">
        <w:rPr>
          <w:b w:val="0"/>
        </w:rPr>
        <w:t xml:space="preserve">a las pérdidas eficientes en el nivel de tensión 1, definidas en esta resolución, y son calculadas de acuerdo con lo establecido en la Resolución CREG 097 de 2008 y el </w:t>
      </w:r>
      <w:fldSimple w:instr=" REF _Ref266435164 \r \h  \* MERGEFORMAT ">
        <w:r w:rsidR="00322DB3" w:rsidRPr="00322DB3">
          <w:rPr>
            <w:b w:val="0"/>
          </w:rPr>
          <w:t>ANEXO 5</w:t>
        </w:r>
      </w:fldSimple>
      <w:r w:rsidRPr="00C60403">
        <w:rPr>
          <w:b w:val="0"/>
        </w:rPr>
        <w:t xml:space="preserve"> de la presente resolución. Esté valor de pérdidas reemplaza al aprobado en la resolución particular de costos y cargos máximos de distribución para cada OR y el definido en la Resolución CREG 119 de 2008 para cada mercado de comercialización. De acuerdo con los parágrafos 1 y 2 del artículo 14 de la Resolución CREG 119 de 2007 los valores de las variables </w:t>
      </w:r>
      <w:r w:rsidRPr="00C60403">
        <w:rPr>
          <w:b w:val="0"/>
          <w:i/>
        </w:rPr>
        <w:t>IPR</w:t>
      </w:r>
      <w:r w:rsidRPr="00C60403">
        <w:rPr>
          <w:b w:val="0"/>
          <w:i/>
          <w:vertAlign w:val="subscript"/>
        </w:rPr>
        <w:t>1,m,j</w:t>
      </w:r>
      <w:r w:rsidRPr="00C60403">
        <w:rPr>
          <w:b w:val="0"/>
        </w:rPr>
        <w:t xml:space="preserve"> corresponderán a los definidos en este artículo a partir del primer día hábil del mes siguiente a la fecha límite para presentación de los planes.</w:t>
      </w:r>
    </w:p>
    <w:p w:rsidR="00A71B19" w:rsidRPr="00C9708B" w:rsidRDefault="00A71B19" w:rsidP="00A71B19">
      <w:pPr>
        <w:pStyle w:val="Artculo"/>
        <w:rPr>
          <w:b w:val="0"/>
        </w:rPr>
      </w:pPr>
    </w:p>
    <w:p w:rsidR="00A71B19" w:rsidRDefault="00A71B19" w:rsidP="00A71B19">
      <w:r w:rsidRPr="00402DAB">
        <w:rPr>
          <w:b/>
        </w:rPr>
        <w:t>Parágrafo.</w:t>
      </w:r>
      <w:r w:rsidRPr="00402DAB">
        <w:t xml:space="preserve"> El valor de la variable </w:t>
      </w:r>
      <w:r w:rsidRPr="00EA4DAC">
        <w:rPr>
          <w:i/>
        </w:rPr>
        <w:t>P</w:t>
      </w:r>
      <w:r w:rsidRPr="00EA4DAC">
        <w:rPr>
          <w:i/>
          <w:vertAlign w:val="subscript"/>
        </w:rPr>
        <w:t>j,1</w:t>
      </w:r>
      <w:r w:rsidRPr="00402DAB">
        <w:t xml:space="preserve"> será igual al </w:t>
      </w:r>
      <w:r>
        <w:t>menor valor entre el índice de pérdidas reconocidas del nivel de tensión 1 (</w:t>
      </w:r>
      <w:r w:rsidRPr="00C60403">
        <w:rPr>
          <w:i/>
        </w:rPr>
        <w:t>P</w:t>
      </w:r>
      <w:r w:rsidRPr="00C60403">
        <w:rPr>
          <w:i/>
          <w:vertAlign w:val="subscript"/>
        </w:rPr>
        <w:t>j,1</w:t>
      </w:r>
      <w:r>
        <w:t xml:space="preserve">) vigente para el OR al momento de presentación del plan de reducción de pérdidas </w:t>
      </w:r>
      <w:r w:rsidRPr="00C27278">
        <w:t xml:space="preserve">no técnicas </w:t>
      </w:r>
      <w:r>
        <w:t xml:space="preserve">y el </w:t>
      </w:r>
      <w:r w:rsidRPr="00402DAB">
        <w:t xml:space="preserve">índice de Pérdidas Eficientes de Energía de Referencia de Nivel de Tensión 1, cuando se </w:t>
      </w:r>
      <w:r w:rsidRPr="00C9708B">
        <w:t>presente una de las siguientes situaciones:</w:t>
      </w:r>
    </w:p>
    <w:p w:rsidR="00A71B19" w:rsidRPr="00C9708B" w:rsidRDefault="00A71B19" w:rsidP="00A71B19"/>
    <w:p w:rsidR="00A71B19" w:rsidRPr="00A3665A" w:rsidRDefault="00A71B19" w:rsidP="00A71B19">
      <w:pPr>
        <w:pStyle w:val="Prrafodelista"/>
        <w:numPr>
          <w:ilvl w:val="0"/>
          <w:numId w:val="10"/>
        </w:numPr>
        <w:ind w:left="426" w:hanging="426"/>
      </w:pPr>
      <w:r w:rsidRPr="00A3665A">
        <w:t xml:space="preserve">El OR no presentó plan de reducción de </w:t>
      </w:r>
      <w:r>
        <w:t xml:space="preserve">pérdidas </w:t>
      </w:r>
      <w:r w:rsidRPr="00C27278">
        <w:t>no técnicas</w:t>
      </w:r>
      <w:r w:rsidRPr="00A3665A">
        <w:t xml:space="preserve"> en la oportunidad establecida en el </w:t>
      </w:r>
      <w:fldSimple w:instr=" REF _Ref259687856 \r \h  \* MERGEFORMAT ">
        <w:r w:rsidR="00322DB3">
          <w:t>Artículo 6</w:t>
        </w:r>
      </w:fldSimple>
      <w:r w:rsidRPr="00A3665A">
        <w:t xml:space="preserve"> de la presente resolución</w:t>
      </w:r>
      <w:r>
        <w:t>.</w:t>
      </w:r>
    </w:p>
    <w:p w:rsidR="00A71B19" w:rsidRPr="00A3665A" w:rsidRDefault="00A71B19" w:rsidP="00A71B19">
      <w:pPr>
        <w:pStyle w:val="Prrafodelista"/>
        <w:numPr>
          <w:ilvl w:val="0"/>
          <w:numId w:val="10"/>
        </w:numPr>
        <w:ind w:left="426" w:hanging="426"/>
      </w:pPr>
      <w:r w:rsidRPr="00A3665A">
        <w:t xml:space="preserve">Cuando el OR haya presentado un plan de reducción de </w:t>
      </w:r>
      <w:r>
        <w:t xml:space="preserve">pérdidas </w:t>
      </w:r>
      <w:r w:rsidRPr="00C27278">
        <w:t>no técnicas</w:t>
      </w:r>
      <w:r w:rsidRPr="00A3665A">
        <w:t xml:space="preserve"> que no fue aprobado por incumplimiento de los requisitos mínimos exigidos en el </w:t>
      </w:r>
      <w:fldSimple w:instr=" REF _Ref259687819 \r \h  \* MERGEFORMAT ">
        <w:r w:rsidR="00322DB3">
          <w:t>Artículo 5</w:t>
        </w:r>
      </w:fldSimple>
      <w:r w:rsidRPr="00A3665A">
        <w:t xml:space="preserve"> de la presente resolución. </w:t>
      </w:r>
    </w:p>
    <w:p w:rsidR="00A71B19" w:rsidRDefault="00A71B19" w:rsidP="00A71B19">
      <w:pPr>
        <w:pStyle w:val="Prrafodelista"/>
        <w:numPr>
          <w:ilvl w:val="0"/>
          <w:numId w:val="0"/>
        </w:numPr>
        <w:ind w:left="426"/>
      </w:pPr>
    </w:p>
    <w:p w:rsidR="00A71B19" w:rsidRDefault="00A71B19" w:rsidP="00A71B19">
      <w:pPr>
        <w:pStyle w:val="Prrafodelista"/>
        <w:numPr>
          <w:ilvl w:val="0"/>
          <w:numId w:val="10"/>
        </w:numPr>
        <w:ind w:left="426" w:hanging="426"/>
      </w:pPr>
      <w:r w:rsidRPr="00A3665A">
        <w:t xml:space="preserve">Cuando </w:t>
      </w:r>
      <w:r>
        <w:t xml:space="preserve">la CREG </w:t>
      </w:r>
      <w:r w:rsidRPr="00A3665A">
        <w:t xml:space="preserve">haya aprobado la ejecución del plan en resolución particular y </w:t>
      </w:r>
      <w:r>
        <w:t xml:space="preserve">el OR no haya </w:t>
      </w:r>
      <w:r w:rsidRPr="00A3665A">
        <w:t>inform</w:t>
      </w:r>
      <w:r>
        <w:t>ado</w:t>
      </w:r>
      <w:r w:rsidRPr="00A3665A">
        <w:t xml:space="preserve"> a la CREG su aceptación en el término establecido en la presente resolución.</w:t>
      </w:r>
    </w:p>
    <w:p w:rsidR="00CA75B9" w:rsidRPr="00A3665A" w:rsidRDefault="00CA75B9" w:rsidP="00A71B19">
      <w:pPr>
        <w:pStyle w:val="Prrafodelista"/>
        <w:numPr>
          <w:ilvl w:val="0"/>
          <w:numId w:val="10"/>
        </w:numPr>
        <w:ind w:left="426" w:hanging="426"/>
      </w:pPr>
      <w:r>
        <w:t xml:space="preserve">Cuando se cancele el plan según lo establecido en el </w:t>
      </w:r>
      <w:r w:rsidR="00822579">
        <w:fldChar w:fldCharType="begin"/>
      </w:r>
      <w:r>
        <w:instrText xml:space="preserve"> REF _Ref280706592 \r \h </w:instrText>
      </w:r>
      <w:r w:rsidR="00822579">
        <w:fldChar w:fldCharType="separate"/>
      </w:r>
      <w:r w:rsidR="00322DB3">
        <w:t>Artículo 11</w:t>
      </w:r>
      <w:r w:rsidR="00822579">
        <w:fldChar w:fldCharType="end"/>
      </w:r>
      <w:r>
        <w:t xml:space="preserve"> de la presente resolución.</w:t>
      </w:r>
    </w:p>
    <w:p w:rsidR="00A71B19" w:rsidRPr="00402DAB" w:rsidRDefault="00A71B19" w:rsidP="00A71B19">
      <w:pPr>
        <w:ind w:left="360"/>
      </w:pPr>
    </w:p>
    <w:p w:rsidR="00A71B19" w:rsidRDefault="00A71B19" w:rsidP="00A71B19">
      <w:r w:rsidRPr="00402DAB">
        <w:t>Este índice será aplicable a partir del tercer mes de la publicación del índice de Pérdidas Eficientes de Energía de Referencia de Nivel de Tensión 1 por parte de la CREG.</w:t>
      </w:r>
    </w:p>
    <w:p w:rsidR="00A71B19" w:rsidRPr="00402DAB" w:rsidRDefault="00A71B19" w:rsidP="00A71B19"/>
    <w:p w:rsidR="00A71B19" w:rsidRPr="00402DAB" w:rsidRDefault="00A71B19" w:rsidP="00A71B19">
      <w:pPr>
        <w:pStyle w:val="Artculo"/>
        <w:numPr>
          <w:ilvl w:val="0"/>
          <w:numId w:val="2"/>
        </w:numPr>
        <w:tabs>
          <w:tab w:val="left" w:pos="1701"/>
        </w:tabs>
        <w:ind w:left="0" w:firstLine="0"/>
      </w:pPr>
      <w:r w:rsidRPr="00402DAB">
        <w:t xml:space="preserve">Verificación de la información. </w:t>
      </w:r>
      <w:r w:rsidRPr="00DF500C">
        <w:rPr>
          <w:b w:val="0"/>
        </w:rPr>
        <w:t>Durante el proceso de aprobación del plan de reducción d</w:t>
      </w:r>
      <w:r w:rsidRPr="00C27278">
        <w:rPr>
          <w:b w:val="0"/>
        </w:rPr>
        <w:t>e pérdidas no técnicas</w:t>
      </w:r>
      <w:r w:rsidRPr="00DF500C">
        <w:rPr>
          <w:b w:val="0"/>
        </w:rPr>
        <w:t xml:space="preserve"> y durante su ejecución, la CREG </w:t>
      </w:r>
      <w:r w:rsidR="00315185">
        <w:rPr>
          <w:b w:val="0"/>
        </w:rPr>
        <w:t>podrá</w:t>
      </w:r>
      <w:r>
        <w:rPr>
          <w:b w:val="0"/>
        </w:rPr>
        <w:t xml:space="preserve"> hacer la </w:t>
      </w:r>
      <w:r w:rsidRPr="00411C16">
        <w:rPr>
          <w:b w:val="0"/>
        </w:rPr>
        <w:t>revisi</w:t>
      </w:r>
      <w:r>
        <w:rPr>
          <w:b w:val="0"/>
        </w:rPr>
        <w:t xml:space="preserve">ón </w:t>
      </w:r>
      <w:r w:rsidRPr="00DF500C">
        <w:rPr>
          <w:b w:val="0"/>
        </w:rPr>
        <w:t>de la información entregada</w:t>
      </w:r>
      <w:r w:rsidR="00315185">
        <w:rPr>
          <w:b w:val="0"/>
        </w:rPr>
        <w:t>,</w:t>
      </w:r>
      <w:r>
        <w:rPr>
          <w:b w:val="0"/>
        </w:rPr>
        <w:t xml:space="preserve"> cuando lo estime conveniente</w:t>
      </w:r>
      <w:r w:rsidRPr="00DF500C">
        <w:rPr>
          <w:b w:val="0"/>
        </w:rPr>
        <w:t>.</w:t>
      </w:r>
      <w:r w:rsidRPr="00402DAB">
        <w:t xml:space="preserve"> </w:t>
      </w:r>
    </w:p>
    <w:p w:rsidR="00A71B19" w:rsidRDefault="00A71B19" w:rsidP="00A71B19">
      <w:pPr>
        <w:pStyle w:val="articulo"/>
      </w:pPr>
      <w:r w:rsidRPr="00402DAB">
        <w:t xml:space="preserve">La CREG aplicará el mecanismo de verificación que se establece en el </w:t>
      </w:r>
      <w:fldSimple w:instr=" REF _Ref259799803 \r \h  \* MERGEFORMAT ">
        <w:r w:rsidR="00322DB3">
          <w:t>ANEXO 7</w:t>
        </w:r>
      </w:fldSimple>
      <w:r w:rsidRPr="00402DAB">
        <w:t xml:space="preserve"> de la presente Resolución, </w:t>
      </w:r>
      <w:r w:rsidRPr="002C073B">
        <w:t>sin perjuicio de la facultad de decretar otras pruebas conforme al artículo 108</w:t>
      </w:r>
      <w:r w:rsidRPr="00402DAB">
        <w:t xml:space="preserve"> de la Ley 142 de 1994.</w:t>
      </w:r>
    </w:p>
    <w:p w:rsidR="00A71B19" w:rsidRPr="00C9708B" w:rsidRDefault="00A71B19" w:rsidP="00A71B19"/>
    <w:p w:rsidR="00A71B19" w:rsidRDefault="00A71B19" w:rsidP="00A71B19">
      <w:pPr>
        <w:pStyle w:val="Artculo"/>
        <w:numPr>
          <w:ilvl w:val="0"/>
          <w:numId w:val="2"/>
        </w:numPr>
        <w:tabs>
          <w:tab w:val="left" w:pos="1701"/>
        </w:tabs>
        <w:ind w:left="0" w:firstLine="0"/>
      </w:pPr>
      <w:r w:rsidRPr="00402DAB">
        <w:t>Actualización, Liquidación y Recaudo del CPROG</w:t>
      </w:r>
      <w:r w:rsidRPr="00C130D3">
        <w:rPr>
          <w:vertAlign w:val="subscript"/>
        </w:rPr>
        <w:t>j,m</w:t>
      </w:r>
      <w:r w:rsidRPr="00402DAB">
        <w:t xml:space="preserve"> </w:t>
      </w:r>
      <w:r w:rsidRPr="00DF500C">
        <w:rPr>
          <w:b w:val="0"/>
        </w:rPr>
        <w:t xml:space="preserve">Los cargos por concepto de remuneración de los planes de reducción de pérdidas serán actualizados y  liquidados por el Liquidador y Administrador de Cuentas (LAC) y facturados </w:t>
      </w:r>
      <w:r>
        <w:rPr>
          <w:b w:val="0"/>
        </w:rPr>
        <w:t xml:space="preserve">y recaudados </w:t>
      </w:r>
      <w:r w:rsidRPr="00DF500C">
        <w:rPr>
          <w:b w:val="0"/>
        </w:rPr>
        <w:t xml:space="preserve">por los OR a los comercializadores que atienden Usuarios en su mercado de comercialización, siguiendo las disposiciones contenidas en el </w:t>
      </w:r>
      <w:fldSimple w:instr=" REF _Ref263841090 \r \h  \* MERGEFORMAT ">
        <w:r w:rsidR="00322DB3" w:rsidRPr="00322DB3">
          <w:rPr>
            <w:b w:val="0"/>
          </w:rPr>
          <w:t>ANEXO 3</w:t>
        </w:r>
      </w:fldSimple>
      <w:r w:rsidRPr="00DF500C">
        <w:rPr>
          <w:b w:val="0"/>
        </w:rPr>
        <w:t xml:space="preserve"> de la presente Resolución.</w:t>
      </w:r>
    </w:p>
    <w:p w:rsidR="00A71B19" w:rsidRDefault="00A71B19" w:rsidP="00A71B19"/>
    <w:p w:rsidR="00A71B19" w:rsidRDefault="00A71B19" w:rsidP="00A71B19">
      <w:pPr>
        <w:pStyle w:val="Artculo"/>
        <w:numPr>
          <w:ilvl w:val="0"/>
          <w:numId w:val="2"/>
        </w:numPr>
        <w:tabs>
          <w:tab w:val="left" w:pos="1701"/>
        </w:tabs>
        <w:ind w:left="0" w:firstLine="0"/>
      </w:pPr>
      <w:bookmarkStart w:id="21" w:name="_Ref280712360"/>
      <w:r>
        <w:t xml:space="preserve">Variación del Costo Unitario de Prestación del Servicio. </w:t>
      </w:r>
      <w:r>
        <w:rPr>
          <w:b w:val="0"/>
        </w:rPr>
        <w:t xml:space="preserve">Los comercializadores no podrán efectuar incrementos mensuales superiores al 3% del Costo Unitario de Prestación del Servicio por la aplicación del cobro de la variable </w:t>
      </w:r>
      <w:r w:rsidRPr="00B266F7">
        <w:rPr>
          <w:b w:val="0"/>
          <w:i/>
        </w:rPr>
        <w:t>CPROG</w:t>
      </w:r>
      <w:r w:rsidRPr="00B266F7">
        <w:rPr>
          <w:b w:val="0"/>
          <w:i/>
          <w:vertAlign w:val="subscript"/>
        </w:rPr>
        <w:t>j,m</w:t>
      </w:r>
      <w:r w:rsidRPr="00B266F7">
        <w:rPr>
          <w:b w:val="0"/>
          <w:i/>
        </w:rPr>
        <w:t>.</w:t>
      </w:r>
      <w:bookmarkEnd w:id="21"/>
      <w:r>
        <w:rPr>
          <w:b w:val="0"/>
        </w:rPr>
        <w:t xml:space="preserve"> </w:t>
      </w:r>
    </w:p>
    <w:p w:rsidR="00A71B19" w:rsidRDefault="00A71B19" w:rsidP="00A71B19">
      <w:pPr>
        <w:pStyle w:val="Artculo"/>
      </w:pPr>
    </w:p>
    <w:p w:rsidR="00A71B19" w:rsidRDefault="00A71B19" w:rsidP="00A71B19">
      <w:pPr>
        <w:pStyle w:val="Artculo"/>
        <w:numPr>
          <w:ilvl w:val="0"/>
          <w:numId w:val="2"/>
        </w:numPr>
        <w:tabs>
          <w:tab w:val="left" w:pos="1701"/>
        </w:tabs>
        <w:ind w:left="0" w:firstLine="0"/>
      </w:pPr>
      <w:r w:rsidRPr="00402DAB">
        <w:t xml:space="preserve">Recursos. </w:t>
      </w:r>
      <w:r w:rsidRPr="00DF500C">
        <w:rPr>
          <w:b w:val="0"/>
        </w:rPr>
        <w:t xml:space="preserve">De acuerdo con lo previsto por el </w:t>
      </w:r>
      <w:r>
        <w:rPr>
          <w:b w:val="0"/>
        </w:rPr>
        <w:t>a</w:t>
      </w:r>
      <w:r w:rsidRPr="00DF500C">
        <w:rPr>
          <w:b w:val="0"/>
        </w:rPr>
        <w:t>rtículo 113 de la Ley 142 de 1994, contra la decisión mediante la cual la Comisión apruebe los planes de reducción de pérdidas de cada Operador de Red, procede el recurso de reposición, ante la Dirección Ejecutiva de la Comisión, dentro de los cinco (5) días hábiles siguientes a la fecha en que sea notificada o publicada, según el caso.</w:t>
      </w:r>
    </w:p>
    <w:p w:rsidR="00A71B19" w:rsidRPr="00402DAB" w:rsidRDefault="00A71B19" w:rsidP="00A71B19"/>
    <w:p w:rsidR="00A71B19" w:rsidRPr="00402DAB" w:rsidRDefault="00A71B19" w:rsidP="00A71B19">
      <w:pPr>
        <w:pStyle w:val="Artculo"/>
        <w:numPr>
          <w:ilvl w:val="0"/>
          <w:numId w:val="2"/>
        </w:numPr>
        <w:tabs>
          <w:tab w:val="left" w:pos="1701"/>
        </w:tabs>
        <w:ind w:left="0" w:firstLine="0"/>
      </w:pPr>
      <w:r w:rsidRPr="00402DAB">
        <w:t xml:space="preserve">Vigencia. </w:t>
      </w:r>
      <w:r w:rsidRPr="00DF500C">
        <w:rPr>
          <w:b w:val="0"/>
        </w:rPr>
        <w:t>La presente resolución rige a partir de su publicación en el Diario Oficial y deroga las disposiciones que le sean contrarias.</w:t>
      </w:r>
    </w:p>
    <w:p w:rsidR="00A71B19" w:rsidRDefault="00A71B19" w:rsidP="00A71B19"/>
    <w:p w:rsidR="00A71B19" w:rsidRPr="00555E6A" w:rsidRDefault="00555E6A" w:rsidP="00A71B19">
      <w:pPr>
        <w:rPr>
          <w:rFonts w:cs="Arial"/>
          <w:b/>
          <w:spacing w:val="-3"/>
        </w:rPr>
      </w:pPr>
      <w:r w:rsidRPr="00555E6A">
        <w:rPr>
          <w:b/>
        </w:rPr>
        <w:t>Firma del proyecto</w:t>
      </w:r>
    </w:p>
    <w:p w:rsidR="00A71B19" w:rsidRDefault="00A71B19" w:rsidP="00A71B19">
      <w:pPr>
        <w:rPr>
          <w:rFonts w:cs="Arial"/>
          <w:spacing w:val="-3"/>
        </w:rPr>
      </w:pPr>
    </w:p>
    <w:p w:rsidR="008C2424" w:rsidRDefault="008C2424" w:rsidP="00A71B19">
      <w:pPr>
        <w:rPr>
          <w:rFonts w:cs="Arial"/>
          <w:spacing w:val="-3"/>
        </w:rPr>
      </w:pPr>
    </w:p>
    <w:p w:rsidR="008C2424" w:rsidRDefault="008C2424" w:rsidP="00A71B19">
      <w:pPr>
        <w:rPr>
          <w:rFonts w:cs="Arial"/>
          <w:spacing w:val="-3"/>
        </w:rPr>
      </w:pPr>
    </w:p>
    <w:p w:rsidR="008C2424" w:rsidRDefault="008C2424" w:rsidP="00A71B19">
      <w:pPr>
        <w:rPr>
          <w:rFonts w:cs="Arial"/>
          <w:spacing w:val="-3"/>
        </w:rPr>
      </w:pPr>
    </w:p>
    <w:tbl>
      <w:tblPr>
        <w:tblW w:w="0" w:type="auto"/>
        <w:jc w:val="center"/>
        <w:tblInd w:w="-679" w:type="dxa"/>
        <w:tblLayout w:type="fixed"/>
        <w:tblCellMar>
          <w:left w:w="70" w:type="dxa"/>
          <w:right w:w="70" w:type="dxa"/>
        </w:tblCellMar>
        <w:tblLook w:val="0000"/>
      </w:tblPr>
      <w:tblGrid>
        <w:gridCol w:w="4624"/>
        <w:gridCol w:w="4624"/>
      </w:tblGrid>
      <w:tr w:rsidR="00A71B19" w:rsidRPr="00993355" w:rsidTr="00FA1C52">
        <w:trPr>
          <w:trHeight w:val="391"/>
          <w:jc w:val="center"/>
        </w:trPr>
        <w:tc>
          <w:tcPr>
            <w:tcW w:w="4624" w:type="dxa"/>
            <w:vAlign w:val="center"/>
          </w:tcPr>
          <w:p w:rsidR="00A71B19" w:rsidRPr="00993355" w:rsidRDefault="00A71B19" w:rsidP="008C2424">
            <w:pPr>
              <w:ind w:left="-3"/>
              <w:jc w:val="center"/>
              <w:rPr>
                <w:rFonts w:cs="Arial"/>
                <w:b/>
                <w:spacing w:val="-3"/>
              </w:rPr>
            </w:pPr>
            <w:r>
              <w:rPr>
                <w:rFonts w:cs="Arial"/>
                <w:b/>
                <w:spacing w:val="-3"/>
              </w:rPr>
              <w:t>TOM</w:t>
            </w:r>
            <w:r w:rsidR="008C2424">
              <w:rPr>
                <w:rFonts w:cs="Arial"/>
                <w:b/>
                <w:spacing w:val="-3"/>
              </w:rPr>
              <w:t>Á</w:t>
            </w:r>
            <w:r>
              <w:rPr>
                <w:rFonts w:cs="Arial"/>
                <w:b/>
                <w:spacing w:val="-3"/>
              </w:rPr>
              <w:t>S GONZÁLEZ</w:t>
            </w:r>
            <w:r w:rsidR="008C2424">
              <w:rPr>
                <w:rFonts w:cs="Arial"/>
                <w:b/>
                <w:spacing w:val="-3"/>
              </w:rPr>
              <w:t xml:space="preserve"> ESTRADA</w:t>
            </w:r>
          </w:p>
        </w:tc>
        <w:tc>
          <w:tcPr>
            <w:tcW w:w="4624" w:type="dxa"/>
            <w:vAlign w:val="center"/>
          </w:tcPr>
          <w:p w:rsidR="00A71B19" w:rsidRPr="00993355" w:rsidRDefault="00A71B19" w:rsidP="00FA1C52">
            <w:pPr>
              <w:ind w:left="-70"/>
              <w:jc w:val="center"/>
              <w:rPr>
                <w:rFonts w:cs="Arial"/>
                <w:b/>
                <w:spacing w:val="-3"/>
              </w:rPr>
            </w:pPr>
            <w:r>
              <w:rPr>
                <w:rFonts w:cs="Arial"/>
                <w:b/>
                <w:spacing w:val="-3"/>
              </w:rPr>
              <w:t>JAVIER AUGUSTO DÍ</w:t>
            </w:r>
            <w:r w:rsidRPr="00993355">
              <w:rPr>
                <w:rFonts w:cs="Arial"/>
                <w:b/>
                <w:spacing w:val="-3"/>
              </w:rPr>
              <w:t>AZ VELASCO</w:t>
            </w:r>
          </w:p>
        </w:tc>
      </w:tr>
      <w:tr w:rsidR="00A71B19" w:rsidRPr="00993355" w:rsidTr="00FA1C52">
        <w:trPr>
          <w:jc w:val="center"/>
        </w:trPr>
        <w:tc>
          <w:tcPr>
            <w:tcW w:w="4624" w:type="dxa"/>
          </w:tcPr>
          <w:p w:rsidR="00A71B19" w:rsidRPr="00993355" w:rsidRDefault="00A71B19" w:rsidP="00FA1C52">
            <w:pPr>
              <w:ind w:left="-3"/>
              <w:jc w:val="center"/>
            </w:pPr>
            <w:r w:rsidRPr="00993355">
              <w:t>Viceministr</w:t>
            </w:r>
            <w:r>
              <w:t>o</w:t>
            </w:r>
            <w:r w:rsidRPr="00993355">
              <w:t xml:space="preserve"> de Minas y Energía</w:t>
            </w:r>
          </w:p>
        </w:tc>
        <w:tc>
          <w:tcPr>
            <w:tcW w:w="4624" w:type="dxa"/>
          </w:tcPr>
          <w:p w:rsidR="00A71B19" w:rsidRPr="00993355" w:rsidRDefault="00A71B19" w:rsidP="00FA1C52">
            <w:pPr>
              <w:ind w:left="-70"/>
              <w:jc w:val="center"/>
            </w:pPr>
            <w:r w:rsidRPr="00993355">
              <w:t>Director Ejecutivo</w:t>
            </w:r>
          </w:p>
        </w:tc>
      </w:tr>
      <w:tr w:rsidR="00A71B19" w:rsidRPr="00993355" w:rsidTr="00FA1C52">
        <w:trPr>
          <w:jc w:val="center"/>
        </w:trPr>
        <w:tc>
          <w:tcPr>
            <w:tcW w:w="4624" w:type="dxa"/>
          </w:tcPr>
          <w:p w:rsidR="00A71B19" w:rsidRPr="00993355" w:rsidRDefault="00A71B19" w:rsidP="00FA1C52">
            <w:pPr>
              <w:ind w:left="-3"/>
              <w:jc w:val="center"/>
              <w:rPr>
                <w:rFonts w:cs="Arial"/>
                <w:spacing w:val="-3"/>
              </w:rPr>
            </w:pPr>
            <w:r w:rsidRPr="00993355">
              <w:rPr>
                <w:rFonts w:cs="Arial"/>
                <w:spacing w:val="-3"/>
              </w:rPr>
              <w:t>Delegado del Ministro de Minas y Energía</w:t>
            </w:r>
          </w:p>
        </w:tc>
        <w:tc>
          <w:tcPr>
            <w:tcW w:w="4624" w:type="dxa"/>
          </w:tcPr>
          <w:p w:rsidR="00A71B19" w:rsidRPr="00993355" w:rsidRDefault="00A71B19" w:rsidP="00FA1C52">
            <w:pPr>
              <w:ind w:left="-70"/>
            </w:pPr>
          </w:p>
        </w:tc>
      </w:tr>
      <w:tr w:rsidR="00A71B19" w:rsidRPr="00993355" w:rsidTr="00FA1C52">
        <w:trPr>
          <w:jc w:val="center"/>
        </w:trPr>
        <w:tc>
          <w:tcPr>
            <w:tcW w:w="4624" w:type="dxa"/>
          </w:tcPr>
          <w:p w:rsidR="00A71B19" w:rsidRPr="00993355" w:rsidRDefault="00A71B19" w:rsidP="00FA1C52">
            <w:pPr>
              <w:ind w:left="-3"/>
              <w:jc w:val="center"/>
              <w:rPr>
                <w:rFonts w:cs="Arial"/>
                <w:spacing w:val="-3"/>
              </w:rPr>
            </w:pPr>
            <w:r w:rsidRPr="00993355">
              <w:rPr>
                <w:rFonts w:cs="Arial"/>
                <w:spacing w:val="-3"/>
              </w:rPr>
              <w:t>Presidente</w:t>
            </w:r>
          </w:p>
        </w:tc>
        <w:tc>
          <w:tcPr>
            <w:tcW w:w="4624" w:type="dxa"/>
          </w:tcPr>
          <w:p w:rsidR="00A71B19" w:rsidRPr="00993355" w:rsidRDefault="00A71B19" w:rsidP="00FA1C52">
            <w:pPr>
              <w:ind w:left="-70"/>
            </w:pPr>
          </w:p>
        </w:tc>
      </w:tr>
    </w:tbl>
    <w:p w:rsidR="00A71B19" w:rsidRDefault="00A71B19" w:rsidP="00A71B19">
      <w:pPr>
        <w:rPr>
          <w:rFonts w:cs="Arial"/>
        </w:rPr>
      </w:pPr>
    </w:p>
    <w:p w:rsidR="00A71B19" w:rsidRDefault="00A71B19" w:rsidP="00A71B19">
      <w:pPr>
        <w:rPr>
          <w:rFonts w:cs="Arial"/>
        </w:rPr>
      </w:pPr>
    </w:p>
    <w:p w:rsidR="00A71B19" w:rsidRDefault="00A71B19" w:rsidP="00A71B19">
      <w:pPr>
        <w:rPr>
          <w:rFonts w:cs="Arial"/>
        </w:rPr>
      </w:pPr>
    </w:p>
    <w:p w:rsidR="00555E6A" w:rsidRDefault="00555E6A" w:rsidP="00A71B19">
      <w:pPr>
        <w:rPr>
          <w:rFonts w:cs="Arial"/>
        </w:rPr>
      </w:pPr>
    </w:p>
    <w:p w:rsidR="00A71B19" w:rsidRDefault="00A71B19" w:rsidP="00A71B19">
      <w:pPr>
        <w:rPr>
          <w:rFonts w:cs="Arial"/>
        </w:rPr>
      </w:pPr>
    </w:p>
    <w:sdt>
      <w:sdtPr>
        <w:id w:val="26784470"/>
        <w:docPartObj>
          <w:docPartGallery w:val="Table of Contents"/>
          <w:docPartUnique/>
        </w:docPartObj>
      </w:sdtPr>
      <w:sdtContent>
        <w:p w:rsidR="00A71B19" w:rsidRDefault="00A71B19" w:rsidP="00A71B19">
          <w:pPr>
            <w:jc w:val="center"/>
            <w:rPr>
              <w:b/>
            </w:rPr>
          </w:pPr>
          <w:r w:rsidRPr="00B0528E">
            <w:rPr>
              <w:b/>
            </w:rPr>
            <w:t>CONTENIDO</w:t>
          </w:r>
        </w:p>
        <w:p w:rsidR="00A71B19" w:rsidRDefault="00A71B19" w:rsidP="00A71B19">
          <w:pPr>
            <w:jc w:val="center"/>
          </w:pPr>
        </w:p>
        <w:p w:rsidR="00C46940" w:rsidRDefault="00822579">
          <w:pPr>
            <w:pStyle w:val="TDC1"/>
            <w:rPr>
              <w:rFonts w:asciiTheme="minorHAnsi" w:eastAsiaTheme="minorEastAsia" w:hAnsiTheme="minorHAnsi" w:cstheme="minorBidi"/>
              <w:b w:val="0"/>
              <w:sz w:val="22"/>
              <w:szCs w:val="22"/>
            </w:rPr>
          </w:pPr>
          <w:r w:rsidRPr="00822579">
            <w:rPr>
              <w:bCs/>
              <w:caps/>
              <w:szCs w:val="28"/>
            </w:rPr>
            <w:fldChar w:fldCharType="begin"/>
          </w:r>
          <w:r w:rsidR="00A71B19">
            <w:instrText xml:space="preserve"> TOC \o "1-3" \h \z \u </w:instrText>
          </w:r>
          <w:r w:rsidRPr="00822579">
            <w:rPr>
              <w:bCs/>
              <w:caps/>
              <w:szCs w:val="28"/>
            </w:rPr>
            <w:fldChar w:fldCharType="separate"/>
          </w:r>
          <w:hyperlink w:anchor="_Toc280712143" w:history="1">
            <w:r w:rsidR="00C46940" w:rsidRPr="00475D9B">
              <w:rPr>
                <w:rStyle w:val="Hipervnculo"/>
              </w:rPr>
              <w:t>ANEXO 1</w:t>
            </w:r>
            <w:r w:rsidR="00C46940">
              <w:rPr>
                <w:rFonts w:asciiTheme="minorHAnsi" w:eastAsiaTheme="minorEastAsia" w:hAnsiTheme="minorHAnsi" w:cstheme="minorBidi"/>
                <w:b w:val="0"/>
                <w:sz w:val="22"/>
                <w:szCs w:val="22"/>
              </w:rPr>
              <w:tab/>
            </w:r>
            <w:r w:rsidR="00C46940" w:rsidRPr="00475D9B">
              <w:rPr>
                <w:rStyle w:val="Hipervnculo"/>
              </w:rPr>
              <w:t>GUÍA PARA LA PRESENTACIÓN DEL PLAN DE REDUCCIÓN DE PÉRDIDAS no técnicas</w:t>
            </w:r>
            <w:r w:rsidR="00C46940">
              <w:rPr>
                <w:webHidden/>
              </w:rPr>
              <w:tab/>
            </w:r>
            <w:r>
              <w:rPr>
                <w:webHidden/>
              </w:rPr>
              <w:fldChar w:fldCharType="begin"/>
            </w:r>
            <w:r w:rsidR="00C46940">
              <w:rPr>
                <w:webHidden/>
              </w:rPr>
              <w:instrText xml:space="preserve"> PAGEREF _Toc280712143 \h </w:instrText>
            </w:r>
            <w:r>
              <w:rPr>
                <w:webHidden/>
              </w:rPr>
            </w:r>
            <w:r>
              <w:rPr>
                <w:webHidden/>
              </w:rPr>
              <w:fldChar w:fldCharType="separate"/>
            </w:r>
            <w:r w:rsidR="00322DB3">
              <w:rPr>
                <w:webHidden/>
              </w:rPr>
              <w:t>16</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44" w:history="1">
            <w:r w:rsidR="00C46940" w:rsidRPr="00475D9B">
              <w:rPr>
                <w:rStyle w:val="Hipervnculo"/>
              </w:rPr>
              <w:t>1.1</w:t>
            </w:r>
            <w:r w:rsidR="00C46940">
              <w:rPr>
                <w:rFonts w:asciiTheme="minorHAnsi" w:eastAsiaTheme="minorEastAsia" w:hAnsiTheme="minorHAnsi" w:cstheme="minorBidi"/>
                <w:bCs w:val="0"/>
                <w:sz w:val="22"/>
                <w:szCs w:val="22"/>
                <w:lang w:val="es-ES"/>
              </w:rPr>
              <w:tab/>
            </w:r>
            <w:r w:rsidR="00C46940" w:rsidRPr="00475D9B">
              <w:rPr>
                <w:rStyle w:val="Hipervnculo"/>
              </w:rPr>
              <w:t>Formato resumen del plan de reducción de pérdidas no técnicas</w:t>
            </w:r>
            <w:r w:rsidR="00C46940">
              <w:rPr>
                <w:webHidden/>
              </w:rPr>
              <w:tab/>
            </w:r>
            <w:r>
              <w:rPr>
                <w:webHidden/>
              </w:rPr>
              <w:fldChar w:fldCharType="begin"/>
            </w:r>
            <w:r w:rsidR="00C46940">
              <w:rPr>
                <w:webHidden/>
              </w:rPr>
              <w:instrText xml:space="preserve"> PAGEREF _Toc280712144 \h </w:instrText>
            </w:r>
            <w:r>
              <w:rPr>
                <w:webHidden/>
              </w:rPr>
            </w:r>
            <w:r>
              <w:rPr>
                <w:webHidden/>
              </w:rPr>
              <w:fldChar w:fldCharType="separate"/>
            </w:r>
            <w:r w:rsidR="00322DB3">
              <w:rPr>
                <w:webHidden/>
              </w:rPr>
              <w:t>17</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45" w:history="1">
            <w:r w:rsidR="00C46940" w:rsidRPr="00475D9B">
              <w:rPr>
                <w:rStyle w:val="Hipervnculo"/>
              </w:rPr>
              <w:t>1.2</w:t>
            </w:r>
            <w:r w:rsidR="00C46940">
              <w:rPr>
                <w:rFonts w:asciiTheme="minorHAnsi" w:eastAsiaTheme="minorEastAsia" w:hAnsiTheme="minorHAnsi" w:cstheme="minorBidi"/>
                <w:bCs w:val="0"/>
                <w:sz w:val="22"/>
                <w:szCs w:val="22"/>
                <w:lang w:val="es-ES"/>
              </w:rPr>
              <w:tab/>
            </w:r>
            <w:r w:rsidR="00C46940" w:rsidRPr="00475D9B">
              <w:rPr>
                <w:rStyle w:val="Hipervnculo"/>
              </w:rPr>
              <w:t>Formato de actividades a desarrollar</w:t>
            </w:r>
            <w:r w:rsidR="00C46940">
              <w:rPr>
                <w:webHidden/>
              </w:rPr>
              <w:tab/>
            </w:r>
            <w:r>
              <w:rPr>
                <w:webHidden/>
              </w:rPr>
              <w:fldChar w:fldCharType="begin"/>
            </w:r>
            <w:r w:rsidR="00C46940">
              <w:rPr>
                <w:webHidden/>
              </w:rPr>
              <w:instrText xml:space="preserve"> PAGEREF _Toc280712145 \h </w:instrText>
            </w:r>
            <w:r>
              <w:rPr>
                <w:webHidden/>
              </w:rPr>
            </w:r>
            <w:r>
              <w:rPr>
                <w:webHidden/>
              </w:rPr>
              <w:fldChar w:fldCharType="separate"/>
            </w:r>
            <w:r w:rsidR="00322DB3">
              <w:rPr>
                <w:webHidden/>
              </w:rPr>
              <w:t>18</w:t>
            </w:r>
            <w:r>
              <w:rPr>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46" w:history="1">
            <w:r w:rsidR="00C46940" w:rsidRPr="00475D9B">
              <w:rPr>
                <w:rStyle w:val="Hipervnculo"/>
              </w:rPr>
              <w:t>ANEXO 2</w:t>
            </w:r>
            <w:r w:rsidR="00C46940">
              <w:rPr>
                <w:rFonts w:asciiTheme="minorHAnsi" w:eastAsiaTheme="minorEastAsia" w:hAnsiTheme="minorHAnsi" w:cstheme="minorBidi"/>
                <w:b w:val="0"/>
                <w:sz w:val="22"/>
                <w:szCs w:val="22"/>
              </w:rPr>
              <w:tab/>
            </w:r>
            <w:r w:rsidR="00C46940" w:rsidRPr="00475D9B">
              <w:rPr>
                <w:rStyle w:val="Hipervnculo"/>
              </w:rPr>
              <w:t>CÁLCULO DEL COSTO DEL PLAN</w:t>
            </w:r>
            <w:r w:rsidR="00C46940">
              <w:rPr>
                <w:webHidden/>
              </w:rPr>
              <w:tab/>
            </w:r>
            <w:r>
              <w:rPr>
                <w:webHidden/>
              </w:rPr>
              <w:fldChar w:fldCharType="begin"/>
            </w:r>
            <w:r w:rsidR="00C46940">
              <w:rPr>
                <w:webHidden/>
              </w:rPr>
              <w:instrText xml:space="preserve"> PAGEREF _Toc280712146 \h </w:instrText>
            </w:r>
            <w:r>
              <w:rPr>
                <w:webHidden/>
              </w:rPr>
            </w:r>
            <w:r>
              <w:rPr>
                <w:webHidden/>
              </w:rPr>
              <w:fldChar w:fldCharType="separate"/>
            </w:r>
            <w:r w:rsidR="00322DB3">
              <w:rPr>
                <w:webHidden/>
              </w:rPr>
              <w:t>19</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47" w:history="1">
            <w:r w:rsidR="00C46940" w:rsidRPr="00475D9B">
              <w:rPr>
                <w:rStyle w:val="Hipervnculo"/>
              </w:rPr>
              <w:t>2.1</w:t>
            </w:r>
            <w:r w:rsidR="00C46940">
              <w:rPr>
                <w:rFonts w:asciiTheme="minorHAnsi" w:eastAsiaTheme="minorEastAsia" w:hAnsiTheme="minorHAnsi" w:cstheme="minorBidi"/>
                <w:bCs w:val="0"/>
                <w:sz w:val="22"/>
                <w:szCs w:val="22"/>
                <w:lang w:val="es-ES"/>
              </w:rPr>
              <w:tab/>
            </w:r>
            <w:r w:rsidR="00C46940" w:rsidRPr="00475D9B">
              <w:rPr>
                <w:rStyle w:val="Hipervnculo"/>
              </w:rPr>
              <w:t>Calculo de la variable CAPj</w:t>
            </w:r>
            <w:r w:rsidR="00C46940">
              <w:rPr>
                <w:webHidden/>
              </w:rPr>
              <w:tab/>
            </w:r>
            <w:r>
              <w:rPr>
                <w:webHidden/>
              </w:rPr>
              <w:fldChar w:fldCharType="begin"/>
            </w:r>
            <w:r w:rsidR="00C46940">
              <w:rPr>
                <w:webHidden/>
              </w:rPr>
              <w:instrText xml:space="preserve"> PAGEREF _Toc280712147 \h </w:instrText>
            </w:r>
            <w:r>
              <w:rPr>
                <w:webHidden/>
              </w:rPr>
            </w:r>
            <w:r>
              <w:rPr>
                <w:webHidden/>
              </w:rPr>
              <w:fldChar w:fldCharType="separate"/>
            </w:r>
            <w:r w:rsidR="00322DB3">
              <w:rPr>
                <w:webHidden/>
              </w:rPr>
              <w:t>19</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48" w:history="1">
            <w:r w:rsidR="00C46940" w:rsidRPr="00475D9B">
              <w:rPr>
                <w:rStyle w:val="Hipervnculo"/>
              </w:rPr>
              <w:t>2.2</w:t>
            </w:r>
            <w:r w:rsidR="00C46940">
              <w:rPr>
                <w:rFonts w:asciiTheme="minorHAnsi" w:eastAsiaTheme="minorEastAsia" w:hAnsiTheme="minorHAnsi" w:cstheme="minorBidi"/>
                <w:bCs w:val="0"/>
                <w:sz w:val="22"/>
                <w:szCs w:val="22"/>
                <w:lang w:val="es-ES"/>
              </w:rPr>
              <w:tab/>
            </w:r>
            <w:r w:rsidR="00C46940" w:rsidRPr="00475D9B">
              <w:rPr>
                <w:rStyle w:val="Hipervnculo"/>
              </w:rPr>
              <w:t>Costo total del plan</w:t>
            </w:r>
            <w:r w:rsidR="00C46940">
              <w:rPr>
                <w:webHidden/>
              </w:rPr>
              <w:tab/>
            </w:r>
            <w:r>
              <w:rPr>
                <w:webHidden/>
              </w:rPr>
              <w:fldChar w:fldCharType="begin"/>
            </w:r>
            <w:r w:rsidR="00C46940">
              <w:rPr>
                <w:webHidden/>
              </w:rPr>
              <w:instrText xml:space="preserve"> PAGEREF _Toc280712148 \h </w:instrText>
            </w:r>
            <w:r>
              <w:rPr>
                <w:webHidden/>
              </w:rPr>
            </w:r>
            <w:r>
              <w:rPr>
                <w:webHidden/>
              </w:rPr>
              <w:fldChar w:fldCharType="separate"/>
            </w:r>
            <w:r w:rsidR="00322DB3">
              <w:rPr>
                <w:webHidden/>
              </w:rPr>
              <w:t>21</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49" w:history="1">
            <w:r w:rsidR="00C46940" w:rsidRPr="00475D9B">
              <w:rPr>
                <w:rStyle w:val="Hipervnculo"/>
              </w:rPr>
              <w:t>2.3</w:t>
            </w:r>
            <w:r w:rsidR="00C46940">
              <w:rPr>
                <w:rFonts w:asciiTheme="minorHAnsi" w:eastAsiaTheme="minorEastAsia" w:hAnsiTheme="minorHAnsi" w:cstheme="minorBidi"/>
                <w:bCs w:val="0"/>
                <w:sz w:val="22"/>
                <w:szCs w:val="22"/>
                <w:lang w:val="es-ES"/>
              </w:rPr>
              <w:tab/>
            </w:r>
            <w:r w:rsidR="00C46940" w:rsidRPr="00475D9B">
              <w:rPr>
                <w:rStyle w:val="Hipervnculo"/>
              </w:rPr>
              <w:t xml:space="preserve">Calculo de la variable </w:t>
            </w:r>
            <w:r w:rsidR="00C46940" w:rsidRPr="00475D9B">
              <w:rPr>
                <w:rStyle w:val="Hipervnculo"/>
                <w:i/>
              </w:rPr>
              <w:t>CPCE</w:t>
            </w:r>
            <w:r w:rsidR="00C46940" w:rsidRPr="00475D9B">
              <w:rPr>
                <w:rStyle w:val="Hipervnculo"/>
                <w:i/>
                <w:vertAlign w:val="subscript"/>
              </w:rPr>
              <w:t>j</w:t>
            </w:r>
            <w:r w:rsidR="00C46940">
              <w:rPr>
                <w:webHidden/>
              </w:rPr>
              <w:tab/>
            </w:r>
            <w:r>
              <w:rPr>
                <w:webHidden/>
              </w:rPr>
              <w:fldChar w:fldCharType="begin"/>
            </w:r>
            <w:r w:rsidR="00C46940">
              <w:rPr>
                <w:webHidden/>
              </w:rPr>
              <w:instrText xml:space="preserve"> PAGEREF _Toc280712149 \h </w:instrText>
            </w:r>
            <w:r>
              <w:rPr>
                <w:webHidden/>
              </w:rPr>
            </w:r>
            <w:r>
              <w:rPr>
                <w:webHidden/>
              </w:rPr>
              <w:fldChar w:fldCharType="separate"/>
            </w:r>
            <w:r w:rsidR="00322DB3">
              <w:rPr>
                <w:webHidden/>
              </w:rPr>
              <w:t>21</w:t>
            </w:r>
            <w:r>
              <w:rPr>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50" w:history="1">
            <w:r w:rsidR="00C46940" w:rsidRPr="00475D9B">
              <w:rPr>
                <w:rStyle w:val="Hipervnculo"/>
                <w:noProof/>
              </w:rPr>
              <w:t>2.3.1</w:t>
            </w:r>
            <w:r w:rsidR="00C46940">
              <w:rPr>
                <w:rFonts w:asciiTheme="minorHAnsi" w:eastAsiaTheme="minorEastAsia" w:hAnsiTheme="minorHAnsi" w:cstheme="minorBidi"/>
                <w:noProof/>
                <w:sz w:val="22"/>
                <w:szCs w:val="22"/>
                <w:lang w:val="es-ES"/>
              </w:rPr>
              <w:tab/>
            </w:r>
            <w:r w:rsidR="00C46940" w:rsidRPr="00475D9B">
              <w:rPr>
                <w:rStyle w:val="Hipervnculo"/>
                <w:noProof/>
              </w:rPr>
              <w:t>Listado de activos a reconocer</w:t>
            </w:r>
            <w:r w:rsidR="00C46940">
              <w:rPr>
                <w:noProof/>
                <w:webHidden/>
              </w:rPr>
              <w:tab/>
            </w:r>
            <w:r>
              <w:rPr>
                <w:noProof/>
                <w:webHidden/>
              </w:rPr>
              <w:fldChar w:fldCharType="begin"/>
            </w:r>
            <w:r w:rsidR="00C46940">
              <w:rPr>
                <w:noProof/>
                <w:webHidden/>
              </w:rPr>
              <w:instrText xml:space="preserve"> PAGEREF _Toc280712150 \h </w:instrText>
            </w:r>
            <w:r>
              <w:rPr>
                <w:noProof/>
                <w:webHidden/>
              </w:rPr>
            </w:r>
            <w:r>
              <w:rPr>
                <w:noProof/>
                <w:webHidden/>
              </w:rPr>
              <w:fldChar w:fldCharType="separate"/>
            </w:r>
            <w:r w:rsidR="00322DB3">
              <w:rPr>
                <w:noProof/>
                <w:webHidden/>
              </w:rPr>
              <w:t>21</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51" w:history="1">
            <w:r w:rsidR="00C46940" w:rsidRPr="00475D9B">
              <w:rPr>
                <w:rStyle w:val="Hipervnculo"/>
                <w:noProof/>
              </w:rPr>
              <w:t>2.3.2</w:t>
            </w:r>
            <w:r w:rsidR="00C46940">
              <w:rPr>
                <w:rFonts w:asciiTheme="minorHAnsi" w:eastAsiaTheme="minorEastAsia" w:hAnsiTheme="minorHAnsi" w:cstheme="minorBidi"/>
                <w:noProof/>
                <w:sz w:val="22"/>
                <w:szCs w:val="22"/>
                <w:lang w:val="es-ES"/>
              </w:rPr>
              <w:tab/>
            </w:r>
            <w:r w:rsidR="00C46940" w:rsidRPr="00475D9B">
              <w:rPr>
                <w:rStyle w:val="Hipervnculo"/>
                <w:noProof/>
              </w:rPr>
              <w:t>Listado de actividades a reconocer</w:t>
            </w:r>
            <w:r w:rsidR="00C46940">
              <w:rPr>
                <w:noProof/>
                <w:webHidden/>
              </w:rPr>
              <w:tab/>
            </w:r>
            <w:r>
              <w:rPr>
                <w:noProof/>
                <w:webHidden/>
              </w:rPr>
              <w:fldChar w:fldCharType="begin"/>
            </w:r>
            <w:r w:rsidR="00C46940">
              <w:rPr>
                <w:noProof/>
                <w:webHidden/>
              </w:rPr>
              <w:instrText xml:space="preserve"> PAGEREF _Toc280712151 \h </w:instrText>
            </w:r>
            <w:r>
              <w:rPr>
                <w:noProof/>
                <w:webHidden/>
              </w:rPr>
            </w:r>
            <w:r>
              <w:rPr>
                <w:noProof/>
                <w:webHidden/>
              </w:rPr>
              <w:fldChar w:fldCharType="separate"/>
            </w:r>
            <w:r w:rsidR="00322DB3">
              <w:rPr>
                <w:noProof/>
                <w:webHidden/>
              </w:rPr>
              <w:t>22</w:t>
            </w:r>
            <w:r>
              <w:rPr>
                <w:noProof/>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52" w:history="1">
            <w:r w:rsidR="00C46940" w:rsidRPr="00475D9B">
              <w:rPr>
                <w:rStyle w:val="Hipervnculo"/>
              </w:rPr>
              <w:t>ANEXO 3</w:t>
            </w:r>
            <w:r w:rsidR="00C46940">
              <w:rPr>
                <w:rFonts w:asciiTheme="minorHAnsi" w:eastAsiaTheme="minorEastAsia" w:hAnsiTheme="minorHAnsi" w:cstheme="minorBidi"/>
                <w:b w:val="0"/>
                <w:sz w:val="22"/>
                <w:szCs w:val="22"/>
              </w:rPr>
              <w:tab/>
            </w:r>
            <w:r w:rsidR="00C46940" w:rsidRPr="00475D9B">
              <w:rPr>
                <w:rStyle w:val="Hipervnculo"/>
              </w:rPr>
              <w:t xml:space="preserve">METODOLOGÍA PARA LA ACTUALIZACIÓN, LIQUIDACIÓN Y RECAUDO DEL </w:t>
            </w:r>
            <w:r w:rsidR="00C46940" w:rsidRPr="00475D9B">
              <w:rPr>
                <w:rStyle w:val="Hipervnculo"/>
                <w:i/>
              </w:rPr>
              <w:t>CPROG</w:t>
            </w:r>
            <w:r w:rsidR="00C46940" w:rsidRPr="00475D9B">
              <w:rPr>
                <w:rStyle w:val="Hipervnculo"/>
                <w:i/>
                <w:vertAlign w:val="subscript"/>
              </w:rPr>
              <w:t>j,m</w:t>
            </w:r>
            <w:r w:rsidR="00C46940">
              <w:rPr>
                <w:webHidden/>
              </w:rPr>
              <w:tab/>
            </w:r>
            <w:r>
              <w:rPr>
                <w:webHidden/>
              </w:rPr>
              <w:fldChar w:fldCharType="begin"/>
            </w:r>
            <w:r w:rsidR="00C46940">
              <w:rPr>
                <w:webHidden/>
              </w:rPr>
              <w:instrText xml:space="preserve"> PAGEREF _Toc280712152 \h </w:instrText>
            </w:r>
            <w:r>
              <w:rPr>
                <w:webHidden/>
              </w:rPr>
            </w:r>
            <w:r>
              <w:rPr>
                <w:webHidden/>
              </w:rPr>
              <w:fldChar w:fldCharType="separate"/>
            </w:r>
            <w:r w:rsidR="00322DB3">
              <w:rPr>
                <w:webHidden/>
              </w:rPr>
              <w:t>23</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53" w:history="1">
            <w:r w:rsidR="00C46940" w:rsidRPr="00475D9B">
              <w:rPr>
                <w:rStyle w:val="Hipervnculo"/>
              </w:rPr>
              <w:t>3.1</w:t>
            </w:r>
            <w:r w:rsidR="00C46940">
              <w:rPr>
                <w:rFonts w:asciiTheme="minorHAnsi" w:eastAsiaTheme="minorEastAsia" w:hAnsiTheme="minorHAnsi" w:cstheme="minorBidi"/>
                <w:bCs w:val="0"/>
                <w:sz w:val="22"/>
                <w:szCs w:val="22"/>
                <w:lang w:val="es-ES"/>
              </w:rPr>
              <w:tab/>
            </w:r>
            <w:r w:rsidR="00C46940" w:rsidRPr="00475D9B">
              <w:rPr>
                <w:rStyle w:val="Hipervnculo"/>
              </w:rPr>
              <w:t>Determinación del cargo mensual</w:t>
            </w:r>
            <w:r w:rsidR="00C46940">
              <w:rPr>
                <w:webHidden/>
              </w:rPr>
              <w:tab/>
            </w:r>
            <w:r>
              <w:rPr>
                <w:webHidden/>
              </w:rPr>
              <w:fldChar w:fldCharType="begin"/>
            </w:r>
            <w:r w:rsidR="00C46940">
              <w:rPr>
                <w:webHidden/>
              </w:rPr>
              <w:instrText xml:space="preserve"> PAGEREF _Toc280712153 \h </w:instrText>
            </w:r>
            <w:r>
              <w:rPr>
                <w:webHidden/>
              </w:rPr>
            </w:r>
            <w:r>
              <w:rPr>
                <w:webHidden/>
              </w:rPr>
              <w:fldChar w:fldCharType="separate"/>
            </w:r>
            <w:r w:rsidR="00322DB3">
              <w:rPr>
                <w:webHidden/>
              </w:rPr>
              <w:t>23</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54" w:history="1">
            <w:r w:rsidR="00C46940" w:rsidRPr="00475D9B">
              <w:rPr>
                <w:rStyle w:val="Hipervnculo"/>
              </w:rPr>
              <w:t>3.2</w:t>
            </w:r>
            <w:r w:rsidR="00C46940">
              <w:rPr>
                <w:rFonts w:asciiTheme="minorHAnsi" w:eastAsiaTheme="minorEastAsia" w:hAnsiTheme="minorHAnsi" w:cstheme="minorBidi"/>
                <w:bCs w:val="0"/>
                <w:sz w:val="22"/>
                <w:szCs w:val="22"/>
                <w:lang w:val="es-ES"/>
              </w:rPr>
              <w:tab/>
            </w:r>
            <w:r w:rsidR="00C46940" w:rsidRPr="00475D9B">
              <w:rPr>
                <w:rStyle w:val="Hipervnculo"/>
              </w:rPr>
              <w:t>Liquidación y recaudo</w:t>
            </w:r>
            <w:r w:rsidR="00C46940">
              <w:rPr>
                <w:webHidden/>
              </w:rPr>
              <w:tab/>
            </w:r>
            <w:r>
              <w:rPr>
                <w:webHidden/>
              </w:rPr>
              <w:fldChar w:fldCharType="begin"/>
            </w:r>
            <w:r w:rsidR="00C46940">
              <w:rPr>
                <w:webHidden/>
              </w:rPr>
              <w:instrText xml:space="preserve"> PAGEREF _Toc280712154 \h </w:instrText>
            </w:r>
            <w:r>
              <w:rPr>
                <w:webHidden/>
              </w:rPr>
            </w:r>
            <w:r>
              <w:rPr>
                <w:webHidden/>
              </w:rPr>
              <w:fldChar w:fldCharType="separate"/>
            </w:r>
            <w:r w:rsidR="00322DB3">
              <w:rPr>
                <w:webHidden/>
              </w:rPr>
              <w:t>24</w:t>
            </w:r>
            <w:r>
              <w:rPr>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55" w:history="1">
            <w:r w:rsidR="00C46940" w:rsidRPr="00475D9B">
              <w:rPr>
                <w:rStyle w:val="Hipervnculo"/>
              </w:rPr>
              <w:t>ANEXO 4</w:t>
            </w:r>
            <w:r w:rsidR="00C46940">
              <w:rPr>
                <w:rFonts w:asciiTheme="minorHAnsi" w:eastAsiaTheme="minorEastAsia" w:hAnsiTheme="minorHAnsi" w:cstheme="minorBidi"/>
                <w:b w:val="0"/>
                <w:sz w:val="22"/>
                <w:szCs w:val="22"/>
              </w:rPr>
              <w:tab/>
            </w:r>
            <w:r w:rsidR="00C46940" w:rsidRPr="00475D9B">
              <w:rPr>
                <w:rStyle w:val="Hipervnculo"/>
              </w:rPr>
              <w:t>CÁLCULO DE ÍNDICES DE PÉRDIDAS</w:t>
            </w:r>
            <w:r w:rsidR="00C46940">
              <w:rPr>
                <w:webHidden/>
              </w:rPr>
              <w:tab/>
            </w:r>
            <w:r>
              <w:rPr>
                <w:webHidden/>
              </w:rPr>
              <w:fldChar w:fldCharType="begin"/>
            </w:r>
            <w:r w:rsidR="00C46940">
              <w:rPr>
                <w:webHidden/>
              </w:rPr>
              <w:instrText xml:space="preserve"> PAGEREF _Toc280712155 \h </w:instrText>
            </w:r>
            <w:r>
              <w:rPr>
                <w:webHidden/>
              </w:rPr>
            </w:r>
            <w:r>
              <w:rPr>
                <w:webHidden/>
              </w:rPr>
              <w:fldChar w:fldCharType="separate"/>
            </w:r>
            <w:r w:rsidR="00322DB3">
              <w:rPr>
                <w:webHidden/>
              </w:rPr>
              <w:t>25</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56" w:history="1">
            <w:r w:rsidR="00C46940" w:rsidRPr="00475D9B">
              <w:rPr>
                <w:rStyle w:val="Hipervnculo"/>
              </w:rPr>
              <w:t>4.1</w:t>
            </w:r>
            <w:r w:rsidR="00C46940">
              <w:rPr>
                <w:rFonts w:asciiTheme="minorHAnsi" w:eastAsiaTheme="minorEastAsia" w:hAnsiTheme="minorHAnsi" w:cstheme="minorBidi"/>
                <w:bCs w:val="0"/>
                <w:sz w:val="22"/>
                <w:szCs w:val="22"/>
                <w:lang w:val="es-ES"/>
              </w:rPr>
              <w:tab/>
            </w:r>
            <w:r w:rsidR="00C46940" w:rsidRPr="00475D9B">
              <w:rPr>
                <w:rStyle w:val="Hipervnculo"/>
              </w:rPr>
              <w:t>Pérdidas totales de energía y perdidas de energía en el Nivel de tensión 1 en los mercados de comercialización</w:t>
            </w:r>
            <w:r w:rsidR="00C46940">
              <w:rPr>
                <w:webHidden/>
              </w:rPr>
              <w:tab/>
            </w:r>
            <w:r>
              <w:rPr>
                <w:webHidden/>
              </w:rPr>
              <w:fldChar w:fldCharType="begin"/>
            </w:r>
            <w:r w:rsidR="00C46940">
              <w:rPr>
                <w:webHidden/>
              </w:rPr>
              <w:instrText xml:space="preserve"> PAGEREF _Toc280712156 \h </w:instrText>
            </w:r>
            <w:r>
              <w:rPr>
                <w:webHidden/>
              </w:rPr>
            </w:r>
            <w:r>
              <w:rPr>
                <w:webHidden/>
              </w:rPr>
              <w:fldChar w:fldCharType="separate"/>
            </w:r>
            <w:r w:rsidR="00322DB3">
              <w:rPr>
                <w:webHidden/>
              </w:rPr>
              <w:t>25</w:t>
            </w:r>
            <w:r>
              <w:rPr>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57" w:history="1">
            <w:r w:rsidR="00C46940" w:rsidRPr="00475D9B">
              <w:rPr>
                <w:rStyle w:val="Hipervnculo"/>
                <w:noProof/>
              </w:rPr>
              <w:t>4.1.1</w:t>
            </w:r>
            <w:r w:rsidR="00C46940">
              <w:rPr>
                <w:rFonts w:asciiTheme="minorHAnsi" w:eastAsiaTheme="minorEastAsia" w:hAnsiTheme="minorHAnsi" w:cstheme="minorBidi"/>
                <w:noProof/>
                <w:sz w:val="22"/>
                <w:szCs w:val="22"/>
                <w:lang w:val="es-ES"/>
              </w:rPr>
              <w:tab/>
            </w:r>
            <w:r w:rsidR="00C46940" w:rsidRPr="00475D9B">
              <w:rPr>
                <w:rStyle w:val="Hipervnculo"/>
                <w:noProof/>
              </w:rPr>
              <w:t>Pérdidas totales de energía</w:t>
            </w:r>
            <w:r w:rsidR="00C46940">
              <w:rPr>
                <w:noProof/>
                <w:webHidden/>
              </w:rPr>
              <w:tab/>
            </w:r>
            <w:r>
              <w:rPr>
                <w:noProof/>
                <w:webHidden/>
              </w:rPr>
              <w:fldChar w:fldCharType="begin"/>
            </w:r>
            <w:r w:rsidR="00C46940">
              <w:rPr>
                <w:noProof/>
                <w:webHidden/>
              </w:rPr>
              <w:instrText xml:space="preserve"> PAGEREF _Toc280712157 \h </w:instrText>
            </w:r>
            <w:r>
              <w:rPr>
                <w:noProof/>
                <w:webHidden/>
              </w:rPr>
            </w:r>
            <w:r>
              <w:rPr>
                <w:noProof/>
                <w:webHidden/>
              </w:rPr>
              <w:fldChar w:fldCharType="separate"/>
            </w:r>
            <w:r w:rsidR="00322DB3">
              <w:rPr>
                <w:noProof/>
                <w:webHidden/>
              </w:rPr>
              <w:t>25</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58" w:history="1">
            <w:r w:rsidR="00C46940" w:rsidRPr="00475D9B">
              <w:rPr>
                <w:rStyle w:val="Hipervnculo"/>
                <w:noProof/>
              </w:rPr>
              <w:t>4.1.2</w:t>
            </w:r>
            <w:r w:rsidR="00C46940">
              <w:rPr>
                <w:rFonts w:asciiTheme="minorHAnsi" w:eastAsiaTheme="minorEastAsia" w:hAnsiTheme="minorHAnsi" w:cstheme="minorBidi"/>
                <w:noProof/>
                <w:sz w:val="22"/>
                <w:szCs w:val="22"/>
                <w:lang w:val="es-ES"/>
              </w:rPr>
              <w:tab/>
            </w:r>
            <w:r w:rsidR="00C46940" w:rsidRPr="00475D9B">
              <w:rPr>
                <w:rStyle w:val="Hipervnculo"/>
                <w:noProof/>
              </w:rPr>
              <w:t>Pérdidas de energía en el Nivel de Tensión 1</w:t>
            </w:r>
            <w:r w:rsidR="00C46940">
              <w:rPr>
                <w:noProof/>
                <w:webHidden/>
              </w:rPr>
              <w:tab/>
            </w:r>
            <w:r>
              <w:rPr>
                <w:noProof/>
                <w:webHidden/>
              </w:rPr>
              <w:fldChar w:fldCharType="begin"/>
            </w:r>
            <w:r w:rsidR="00C46940">
              <w:rPr>
                <w:noProof/>
                <w:webHidden/>
              </w:rPr>
              <w:instrText xml:space="preserve"> PAGEREF _Toc280712158 \h </w:instrText>
            </w:r>
            <w:r>
              <w:rPr>
                <w:noProof/>
                <w:webHidden/>
              </w:rPr>
            </w:r>
            <w:r>
              <w:rPr>
                <w:noProof/>
                <w:webHidden/>
              </w:rPr>
              <w:fldChar w:fldCharType="separate"/>
            </w:r>
            <w:r w:rsidR="00322DB3">
              <w:rPr>
                <w:noProof/>
                <w:webHidden/>
              </w:rPr>
              <w:t>26</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59" w:history="1">
            <w:r w:rsidR="00C46940" w:rsidRPr="00475D9B">
              <w:rPr>
                <w:rStyle w:val="Hipervnculo"/>
                <w:noProof/>
              </w:rPr>
              <w:t>4.1.3</w:t>
            </w:r>
            <w:r w:rsidR="00C46940">
              <w:rPr>
                <w:rFonts w:asciiTheme="minorHAnsi" w:eastAsiaTheme="minorEastAsia" w:hAnsiTheme="minorHAnsi" w:cstheme="minorBidi"/>
                <w:noProof/>
                <w:sz w:val="22"/>
                <w:szCs w:val="22"/>
                <w:lang w:val="es-ES"/>
              </w:rPr>
              <w:tab/>
            </w:r>
            <w:r w:rsidR="00C46940" w:rsidRPr="00475D9B">
              <w:rPr>
                <w:rStyle w:val="Hipervnculo"/>
                <w:noProof/>
              </w:rPr>
              <w:t>Cálculo de la energía de entrada para cada Nivel de Tensión</w:t>
            </w:r>
            <w:r w:rsidR="00C46940">
              <w:rPr>
                <w:noProof/>
                <w:webHidden/>
              </w:rPr>
              <w:tab/>
            </w:r>
            <w:r>
              <w:rPr>
                <w:noProof/>
                <w:webHidden/>
              </w:rPr>
              <w:fldChar w:fldCharType="begin"/>
            </w:r>
            <w:r w:rsidR="00C46940">
              <w:rPr>
                <w:noProof/>
                <w:webHidden/>
              </w:rPr>
              <w:instrText xml:space="preserve"> PAGEREF _Toc280712159 \h </w:instrText>
            </w:r>
            <w:r>
              <w:rPr>
                <w:noProof/>
                <w:webHidden/>
              </w:rPr>
            </w:r>
            <w:r>
              <w:rPr>
                <w:noProof/>
                <w:webHidden/>
              </w:rPr>
              <w:fldChar w:fldCharType="separate"/>
            </w:r>
            <w:r w:rsidR="00322DB3">
              <w:rPr>
                <w:noProof/>
                <w:webHidden/>
              </w:rPr>
              <w:t>26</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0" w:history="1">
            <w:r w:rsidR="00C46940" w:rsidRPr="00475D9B">
              <w:rPr>
                <w:rStyle w:val="Hipervnculo"/>
                <w:noProof/>
              </w:rPr>
              <w:t>4.1.4</w:t>
            </w:r>
            <w:r w:rsidR="00C46940">
              <w:rPr>
                <w:rFonts w:asciiTheme="minorHAnsi" w:eastAsiaTheme="minorEastAsia" w:hAnsiTheme="minorHAnsi" w:cstheme="minorBidi"/>
                <w:noProof/>
                <w:sz w:val="22"/>
                <w:szCs w:val="22"/>
                <w:lang w:val="es-ES"/>
              </w:rPr>
              <w:tab/>
            </w:r>
            <w:r w:rsidR="00C46940" w:rsidRPr="00475D9B">
              <w:rPr>
                <w:rStyle w:val="Hipervnculo"/>
                <w:noProof/>
              </w:rPr>
              <w:t>Cálculo de la energía de salida para cada Nivel de Tensión</w:t>
            </w:r>
            <w:r w:rsidR="00C46940">
              <w:rPr>
                <w:noProof/>
                <w:webHidden/>
              </w:rPr>
              <w:tab/>
            </w:r>
            <w:r>
              <w:rPr>
                <w:noProof/>
                <w:webHidden/>
              </w:rPr>
              <w:fldChar w:fldCharType="begin"/>
            </w:r>
            <w:r w:rsidR="00C46940">
              <w:rPr>
                <w:noProof/>
                <w:webHidden/>
              </w:rPr>
              <w:instrText xml:space="preserve"> PAGEREF _Toc280712160 \h </w:instrText>
            </w:r>
            <w:r>
              <w:rPr>
                <w:noProof/>
                <w:webHidden/>
              </w:rPr>
            </w:r>
            <w:r>
              <w:rPr>
                <w:noProof/>
                <w:webHidden/>
              </w:rPr>
              <w:fldChar w:fldCharType="separate"/>
            </w:r>
            <w:r w:rsidR="00322DB3">
              <w:rPr>
                <w:noProof/>
                <w:webHidden/>
              </w:rPr>
              <w:t>27</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1" w:history="1">
            <w:r w:rsidR="00C46940" w:rsidRPr="00475D9B">
              <w:rPr>
                <w:rStyle w:val="Hipervnculo"/>
                <w:noProof/>
              </w:rPr>
              <w:t>4.1.5</w:t>
            </w:r>
            <w:r w:rsidR="00C46940">
              <w:rPr>
                <w:rFonts w:asciiTheme="minorHAnsi" w:eastAsiaTheme="minorEastAsia" w:hAnsiTheme="minorHAnsi" w:cstheme="minorBidi"/>
                <w:noProof/>
                <w:sz w:val="22"/>
                <w:szCs w:val="22"/>
                <w:lang w:val="es-ES"/>
              </w:rPr>
              <w:tab/>
            </w:r>
            <w:r w:rsidR="00C46940" w:rsidRPr="00475D9B">
              <w:rPr>
                <w:rStyle w:val="Hipervnculo"/>
                <w:noProof/>
              </w:rPr>
              <w:t>Pérdidas de energía reconocidas</w:t>
            </w:r>
            <w:r w:rsidR="00C46940">
              <w:rPr>
                <w:noProof/>
                <w:webHidden/>
              </w:rPr>
              <w:tab/>
            </w:r>
            <w:r>
              <w:rPr>
                <w:noProof/>
                <w:webHidden/>
              </w:rPr>
              <w:fldChar w:fldCharType="begin"/>
            </w:r>
            <w:r w:rsidR="00C46940">
              <w:rPr>
                <w:noProof/>
                <w:webHidden/>
              </w:rPr>
              <w:instrText xml:space="preserve"> PAGEREF _Toc280712161 \h </w:instrText>
            </w:r>
            <w:r>
              <w:rPr>
                <w:noProof/>
                <w:webHidden/>
              </w:rPr>
            </w:r>
            <w:r>
              <w:rPr>
                <w:noProof/>
                <w:webHidden/>
              </w:rPr>
              <w:fldChar w:fldCharType="separate"/>
            </w:r>
            <w:r w:rsidR="00322DB3">
              <w:rPr>
                <w:noProof/>
                <w:webHidden/>
              </w:rPr>
              <w:t>28</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2" w:history="1">
            <w:r w:rsidR="00C46940" w:rsidRPr="00475D9B">
              <w:rPr>
                <w:rStyle w:val="Hipervnculo"/>
                <w:noProof/>
              </w:rPr>
              <w:t>4.1.6</w:t>
            </w:r>
            <w:r w:rsidR="00C46940">
              <w:rPr>
                <w:rFonts w:asciiTheme="minorHAnsi" w:eastAsiaTheme="minorEastAsia" w:hAnsiTheme="minorHAnsi" w:cstheme="minorBidi"/>
                <w:noProof/>
                <w:sz w:val="22"/>
                <w:szCs w:val="22"/>
                <w:lang w:val="es-ES"/>
              </w:rPr>
              <w:tab/>
            </w:r>
            <w:r w:rsidR="00C46940" w:rsidRPr="00475D9B">
              <w:rPr>
                <w:rStyle w:val="Hipervnculo"/>
                <w:noProof/>
              </w:rPr>
              <w:t>Energía de entrada desde Niveles de Tensión superiores</w:t>
            </w:r>
            <w:r w:rsidR="00C46940">
              <w:rPr>
                <w:noProof/>
                <w:webHidden/>
              </w:rPr>
              <w:tab/>
            </w:r>
            <w:r>
              <w:rPr>
                <w:noProof/>
                <w:webHidden/>
              </w:rPr>
              <w:fldChar w:fldCharType="begin"/>
            </w:r>
            <w:r w:rsidR="00C46940">
              <w:rPr>
                <w:noProof/>
                <w:webHidden/>
              </w:rPr>
              <w:instrText xml:space="preserve"> PAGEREF _Toc280712162 \h </w:instrText>
            </w:r>
            <w:r>
              <w:rPr>
                <w:noProof/>
                <w:webHidden/>
              </w:rPr>
            </w:r>
            <w:r>
              <w:rPr>
                <w:noProof/>
                <w:webHidden/>
              </w:rPr>
              <w:fldChar w:fldCharType="separate"/>
            </w:r>
            <w:r w:rsidR="00322DB3">
              <w:rPr>
                <w:noProof/>
                <w:webHidden/>
              </w:rPr>
              <w:t>29</w:t>
            </w:r>
            <w:r>
              <w:rPr>
                <w:noProof/>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63" w:history="1">
            <w:r w:rsidR="00C46940" w:rsidRPr="00475D9B">
              <w:rPr>
                <w:rStyle w:val="Hipervnculo"/>
              </w:rPr>
              <w:t>4.2</w:t>
            </w:r>
            <w:r w:rsidR="00C46940">
              <w:rPr>
                <w:rFonts w:asciiTheme="minorHAnsi" w:eastAsiaTheme="minorEastAsia" w:hAnsiTheme="minorHAnsi" w:cstheme="minorBidi"/>
                <w:bCs w:val="0"/>
                <w:sz w:val="22"/>
                <w:szCs w:val="22"/>
                <w:lang w:val="es-ES"/>
              </w:rPr>
              <w:tab/>
            </w:r>
            <w:r w:rsidR="00C46940" w:rsidRPr="00475D9B">
              <w:rPr>
                <w:rStyle w:val="Hipervnculo"/>
              </w:rPr>
              <w:t>Pérdidas de energía a distribuir en los mercados de comercialización</w:t>
            </w:r>
            <w:r w:rsidR="00C46940">
              <w:rPr>
                <w:webHidden/>
              </w:rPr>
              <w:tab/>
            </w:r>
            <w:r>
              <w:rPr>
                <w:webHidden/>
              </w:rPr>
              <w:fldChar w:fldCharType="begin"/>
            </w:r>
            <w:r w:rsidR="00C46940">
              <w:rPr>
                <w:webHidden/>
              </w:rPr>
              <w:instrText xml:space="preserve"> PAGEREF _Toc280712163 \h </w:instrText>
            </w:r>
            <w:r>
              <w:rPr>
                <w:webHidden/>
              </w:rPr>
            </w:r>
            <w:r>
              <w:rPr>
                <w:webHidden/>
              </w:rPr>
              <w:fldChar w:fldCharType="separate"/>
            </w:r>
            <w:r w:rsidR="00322DB3">
              <w:rPr>
                <w:webHidden/>
              </w:rPr>
              <w:t>30</w:t>
            </w:r>
            <w:r>
              <w:rPr>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4" w:history="1">
            <w:r w:rsidR="00C46940" w:rsidRPr="00475D9B">
              <w:rPr>
                <w:rStyle w:val="Hipervnculo"/>
                <w:noProof/>
              </w:rPr>
              <w:t>4.2.1</w:t>
            </w:r>
            <w:r w:rsidR="00C46940">
              <w:rPr>
                <w:rFonts w:asciiTheme="minorHAnsi" w:eastAsiaTheme="minorEastAsia" w:hAnsiTheme="minorHAnsi" w:cstheme="minorBidi"/>
                <w:noProof/>
                <w:sz w:val="22"/>
                <w:szCs w:val="22"/>
                <w:lang w:val="es-ES"/>
              </w:rPr>
              <w:tab/>
            </w:r>
            <w:r w:rsidR="00C46940" w:rsidRPr="00475D9B">
              <w:rPr>
                <w:rStyle w:val="Hipervnculo"/>
                <w:noProof/>
              </w:rPr>
              <w:t>Pérdidas totales de energía de la senda</w:t>
            </w:r>
            <w:r w:rsidR="00C46940">
              <w:rPr>
                <w:noProof/>
                <w:webHidden/>
              </w:rPr>
              <w:tab/>
            </w:r>
            <w:r>
              <w:rPr>
                <w:noProof/>
                <w:webHidden/>
              </w:rPr>
              <w:fldChar w:fldCharType="begin"/>
            </w:r>
            <w:r w:rsidR="00C46940">
              <w:rPr>
                <w:noProof/>
                <w:webHidden/>
              </w:rPr>
              <w:instrText xml:space="preserve"> PAGEREF _Toc280712164 \h </w:instrText>
            </w:r>
            <w:r>
              <w:rPr>
                <w:noProof/>
                <w:webHidden/>
              </w:rPr>
            </w:r>
            <w:r>
              <w:rPr>
                <w:noProof/>
                <w:webHidden/>
              </w:rPr>
              <w:fldChar w:fldCharType="separate"/>
            </w:r>
            <w:r w:rsidR="00322DB3">
              <w:rPr>
                <w:noProof/>
                <w:webHidden/>
              </w:rPr>
              <w:t>30</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5" w:history="1">
            <w:r w:rsidR="00C46940" w:rsidRPr="00475D9B">
              <w:rPr>
                <w:rStyle w:val="Hipervnculo"/>
                <w:noProof/>
              </w:rPr>
              <w:t>4.2.2</w:t>
            </w:r>
            <w:r w:rsidR="00C46940">
              <w:rPr>
                <w:rFonts w:asciiTheme="minorHAnsi" w:eastAsiaTheme="minorEastAsia" w:hAnsiTheme="minorHAnsi" w:cstheme="minorBidi"/>
                <w:noProof/>
                <w:sz w:val="22"/>
                <w:szCs w:val="22"/>
                <w:lang w:val="es-ES"/>
              </w:rPr>
              <w:tab/>
            </w:r>
            <w:r w:rsidR="00C46940" w:rsidRPr="00475D9B">
              <w:rPr>
                <w:rStyle w:val="Hipervnculo"/>
                <w:noProof/>
              </w:rPr>
              <w:t>Pérdidas totales de energía calculadas</w:t>
            </w:r>
            <w:r w:rsidR="00C46940">
              <w:rPr>
                <w:noProof/>
                <w:webHidden/>
              </w:rPr>
              <w:tab/>
            </w:r>
            <w:r>
              <w:rPr>
                <w:noProof/>
                <w:webHidden/>
              </w:rPr>
              <w:fldChar w:fldCharType="begin"/>
            </w:r>
            <w:r w:rsidR="00C46940">
              <w:rPr>
                <w:noProof/>
                <w:webHidden/>
              </w:rPr>
              <w:instrText xml:space="preserve"> PAGEREF _Toc280712165 \h </w:instrText>
            </w:r>
            <w:r>
              <w:rPr>
                <w:noProof/>
                <w:webHidden/>
              </w:rPr>
            </w:r>
            <w:r>
              <w:rPr>
                <w:noProof/>
                <w:webHidden/>
              </w:rPr>
              <w:fldChar w:fldCharType="separate"/>
            </w:r>
            <w:r w:rsidR="00322DB3">
              <w:rPr>
                <w:noProof/>
                <w:webHidden/>
              </w:rPr>
              <w:t>31</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6" w:history="1">
            <w:r w:rsidR="00C46940" w:rsidRPr="00475D9B">
              <w:rPr>
                <w:rStyle w:val="Hipervnculo"/>
                <w:noProof/>
              </w:rPr>
              <w:t>4.2.3</w:t>
            </w:r>
            <w:r w:rsidR="00C46940">
              <w:rPr>
                <w:rFonts w:asciiTheme="minorHAnsi" w:eastAsiaTheme="minorEastAsia" w:hAnsiTheme="minorHAnsi" w:cstheme="minorBidi"/>
                <w:noProof/>
                <w:sz w:val="22"/>
                <w:szCs w:val="22"/>
                <w:lang w:val="es-ES"/>
              </w:rPr>
              <w:tab/>
            </w:r>
            <w:r w:rsidR="00C46940" w:rsidRPr="00475D9B">
              <w:rPr>
                <w:rStyle w:val="Hipervnculo"/>
                <w:noProof/>
              </w:rPr>
              <w:t>Cálculo de la energía de entrada para cada Nivel de Tensión</w:t>
            </w:r>
            <w:r w:rsidR="00C46940">
              <w:rPr>
                <w:noProof/>
                <w:webHidden/>
              </w:rPr>
              <w:tab/>
            </w:r>
            <w:r>
              <w:rPr>
                <w:noProof/>
                <w:webHidden/>
              </w:rPr>
              <w:fldChar w:fldCharType="begin"/>
            </w:r>
            <w:r w:rsidR="00C46940">
              <w:rPr>
                <w:noProof/>
                <w:webHidden/>
              </w:rPr>
              <w:instrText xml:space="preserve"> PAGEREF _Toc280712166 \h </w:instrText>
            </w:r>
            <w:r>
              <w:rPr>
                <w:noProof/>
                <w:webHidden/>
              </w:rPr>
            </w:r>
            <w:r>
              <w:rPr>
                <w:noProof/>
                <w:webHidden/>
              </w:rPr>
              <w:fldChar w:fldCharType="separate"/>
            </w:r>
            <w:r w:rsidR="00322DB3">
              <w:rPr>
                <w:noProof/>
                <w:webHidden/>
              </w:rPr>
              <w:t>31</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7" w:history="1">
            <w:r w:rsidR="00C46940" w:rsidRPr="00475D9B">
              <w:rPr>
                <w:rStyle w:val="Hipervnculo"/>
                <w:noProof/>
              </w:rPr>
              <w:t>4.2.4</w:t>
            </w:r>
            <w:r w:rsidR="00C46940">
              <w:rPr>
                <w:rFonts w:asciiTheme="minorHAnsi" w:eastAsiaTheme="minorEastAsia" w:hAnsiTheme="minorHAnsi" w:cstheme="minorBidi"/>
                <w:noProof/>
                <w:sz w:val="22"/>
                <w:szCs w:val="22"/>
                <w:lang w:val="es-ES"/>
              </w:rPr>
              <w:tab/>
            </w:r>
            <w:r w:rsidR="00C46940" w:rsidRPr="00475D9B">
              <w:rPr>
                <w:rStyle w:val="Hipervnculo"/>
                <w:noProof/>
              </w:rPr>
              <w:t>Cálculo de la energía de salida para cada Nivel de Tensión</w:t>
            </w:r>
            <w:r w:rsidR="00C46940">
              <w:rPr>
                <w:noProof/>
                <w:webHidden/>
              </w:rPr>
              <w:tab/>
            </w:r>
            <w:r>
              <w:rPr>
                <w:noProof/>
                <w:webHidden/>
              </w:rPr>
              <w:fldChar w:fldCharType="begin"/>
            </w:r>
            <w:r w:rsidR="00C46940">
              <w:rPr>
                <w:noProof/>
                <w:webHidden/>
              </w:rPr>
              <w:instrText xml:space="preserve"> PAGEREF _Toc280712167 \h </w:instrText>
            </w:r>
            <w:r>
              <w:rPr>
                <w:noProof/>
                <w:webHidden/>
              </w:rPr>
            </w:r>
            <w:r>
              <w:rPr>
                <w:noProof/>
                <w:webHidden/>
              </w:rPr>
              <w:fldChar w:fldCharType="separate"/>
            </w:r>
            <w:r w:rsidR="00322DB3">
              <w:rPr>
                <w:noProof/>
                <w:webHidden/>
              </w:rPr>
              <w:t>32</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8" w:history="1">
            <w:r w:rsidR="00C46940" w:rsidRPr="00475D9B">
              <w:rPr>
                <w:rStyle w:val="Hipervnculo"/>
                <w:noProof/>
              </w:rPr>
              <w:t>4.2.5</w:t>
            </w:r>
            <w:r w:rsidR="00C46940">
              <w:rPr>
                <w:rFonts w:asciiTheme="minorHAnsi" w:eastAsiaTheme="minorEastAsia" w:hAnsiTheme="minorHAnsi" w:cstheme="minorBidi"/>
                <w:noProof/>
                <w:sz w:val="22"/>
                <w:szCs w:val="22"/>
                <w:lang w:val="es-ES"/>
              </w:rPr>
              <w:tab/>
            </w:r>
            <w:r w:rsidR="00C46940" w:rsidRPr="00475D9B">
              <w:rPr>
                <w:rStyle w:val="Hipervnculo"/>
                <w:noProof/>
              </w:rPr>
              <w:t>Pérdidas de energía reconocidas</w:t>
            </w:r>
            <w:r w:rsidR="00C46940">
              <w:rPr>
                <w:noProof/>
                <w:webHidden/>
              </w:rPr>
              <w:tab/>
            </w:r>
            <w:r>
              <w:rPr>
                <w:noProof/>
                <w:webHidden/>
              </w:rPr>
              <w:fldChar w:fldCharType="begin"/>
            </w:r>
            <w:r w:rsidR="00C46940">
              <w:rPr>
                <w:noProof/>
                <w:webHidden/>
              </w:rPr>
              <w:instrText xml:space="preserve"> PAGEREF _Toc280712168 \h </w:instrText>
            </w:r>
            <w:r>
              <w:rPr>
                <w:noProof/>
                <w:webHidden/>
              </w:rPr>
            </w:r>
            <w:r>
              <w:rPr>
                <w:noProof/>
                <w:webHidden/>
              </w:rPr>
              <w:fldChar w:fldCharType="separate"/>
            </w:r>
            <w:r w:rsidR="00322DB3">
              <w:rPr>
                <w:noProof/>
                <w:webHidden/>
              </w:rPr>
              <w:t>33</w:t>
            </w:r>
            <w:r>
              <w:rPr>
                <w:noProof/>
                <w:webHidden/>
              </w:rPr>
              <w:fldChar w:fldCharType="end"/>
            </w:r>
          </w:hyperlink>
        </w:p>
        <w:p w:rsidR="00C46940" w:rsidRDefault="00822579">
          <w:pPr>
            <w:pStyle w:val="TDC3"/>
            <w:rPr>
              <w:rFonts w:asciiTheme="minorHAnsi" w:eastAsiaTheme="minorEastAsia" w:hAnsiTheme="minorHAnsi" w:cstheme="minorBidi"/>
              <w:noProof/>
              <w:sz w:val="22"/>
              <w:szCs w:val="22"/>
              <w:lang w:val="es-ES"/>
            </w:rPr>
          </w:pPr>
          <w:hyperlink w:anchor="_Toc280712169" w:history="1">
            <w:r w:rsidR="00C46940" w:rsidRPr="00475D9B">
              <w:rPr>
                <w:rStyle w:val="Hipervnculo"/>
                <w:noProof/>
              </w:rPr>
              <w:t>4.2.6</w:t>
            </w:r>
            <w:r w:rsidR="00C46940">
              <w:rPr>
                <w:rFonts w:asciiTheme="minorHAnsi" w:eastAsiaTheme="minorEastAsia" w:hAnsiTheme="minorHAnsi" w:cstheme="minorBidi"/>
                <w:noProof/>
                <w:sz w:val="22"/>
                <w:szCs w:val="22"/>
                <w:lang w:val="es-ES"/>
              </w:rPr>
              <w:tab/>
            </w:r>
            <w:r w:rsidR="00C46940" w:rsidRPr="00475D9B">
              <w:rPr>
                <w:rStyle w:val="Hipervnculo"/>
                <w:noProof/>
              </w:rPr>
              <w:t>Energía de entrada desde Niveles de Tensión superiores</w:t>
            </w:r>
            <w:r w:rsidR="00C46940">
              <w:rPr>
                <w:noProof/>
                <w:webHidden/>
              </w:rPr>
              <w:tab/>
            </w:r>
            <w:r>
              <w:rPr>
                <w:noProof/>
                <w:webHidden/>
              </w:rPr>
              <w:fldChar w:fldCharType="begin"/>
            </w:r>
            <w:r w:rsidR="00C46940">
              <w:rPr>
                <w:noProof/>
                <w:webHidden/>
              </w:rPr>
              <w:instrText xml:space="preserve"> PAGEREF _Toc280712169 \h </w:instrText>
            </w:r>
            <w:r>
              <w:rPr>
                <w:noProof/>
                <w:webHidden/>
              </w:rPr>
            </w:r>
            <w:r>
              <w:rPr>
                <w:noProof/>
                <w:webHidden/>
              </w:rPr>
              <w:fldChar w:fldCharType="separate"/>
            </w:r>
            <w:r w:rsidR="00322DB3">
              <w:rPr>
                <w:noProof/>
                <w:webHidden/>
              </w:rPr>
              <w:t>33</w:t>
            </w:r>
            <w:r>
              <w:rPr>
                <w:noProof/>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70" w:history="1">
            <w:r w:rsidR="00C46940" w:rsidRPr="00475D9B">
              <w:rPr>
                <w:rStyle w:val="Hipervnculo"/>
              </w:rPr>
              <w:t>ANEXO 5</w:t>
            </w:r>
            <w:r w:rsidR="00C46940">
              <w:rPr>
                <w:rFonts w:asciiTheme="minorHAnsi" w:eastAsiaTheme="minorEastAsia" w:hAnsiTheme="minorHAnsi" w:cstheme="minorBidi"/>
                <w:b w:val="0"/>
                <w:sz w:val="22"/>
                <w:szCs w:val="22"/>
              </w:rPr>
              <w:tab/>
            </w:r>
            <w:r w:rsidR="00C46940" w:rsidRPr="00475D9B">
              <w:rPr>
                <w:rStyle w:val="Hipervnculo"/>
              </w:rPr>
              <w:t>PÉRDIDAS RECONOCIDAS</w:t>
            </w:r>
            <w:r w:rsidR="00C46940">
              <w:rPr>
                <w:webHidden/>
              </w:rPr>
              <w:tab/>
            </w:r>
            <w:r>
              <w:rPr>
                <w:webHidden/>
              </w:rPr>
              <w:fldChar w:fldCharType="begin"/>
            </w:r>
            <w:r w:rsidR="00C46940">
              <w:rPr>
                <w:webHidden/>
              </w:rPr>
              <w:instrText xml:space="preserve"> PAGEREF _Toc280712170 \h </w:instrText>
            </w:r>
            <w:r>
              <w:rPr>
                <w:webHidden/>
              </w:rPr>
            </w:r>
            <w:r>
              <w:rPr>
                <w:webHidden/>
              </w:rPr>
              <w:fldChar w:fldCharType="separate"/>
            </w:r>
            <w:r w:rsidR="00322DB3">
              <w:rPr>
                <w:webHidden/>
              </w:rPr>
              <w:t>35</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1" w:history="1">
            <w:r w:rsidR="00C46940" w:rsidRPr="00475D9B">
              <w:rPr>
                <w:rStyle w:val="Hipervnculo"/>
              </w:rPr>
              <w:t>5.1</w:t>
            </w:r>
            <w:r w:rsidR="00C46940">
              <w:rPr>
                <w:rFonts w:asciiTheme="minorHAnsi" w:eastAsiaTheme="minorEastAsia" w:hAnsiTheme="minorHAnsi" w:cstheme="minorBidi"/>
                <w:bCs w:val="0"/>
                <w:sz w:val="22"/>
                <w:szCs w:val="22"/>
                <w:lang w:val="es-ES"/>
              </w:rPr>
              <w:tab/>
            </w:r>
            <w:r w:rsidR="00C46940" w:rsidRPr="00475D9B">
              <w:rPr>
                <w:rStyle w:val="Hipervnculo"/>
              </w:rPr>
              <w:t>OR con pérdidas de Nivel de Tensión 1 inferiores a las reconocidas</w:t>
            </w:r>
            <w:r w:rsidR="00C46940">
              <w:rPr>
                <w:webHidden/>
              </w:rPr>
              <w:tab/>
            </w:r>
            <w:r>
              <w:rPr>
                <w:webHidden/>
              </w:rPr>
              <w:fldChar w:fldCharType="begin"/>
            </w:r>
            <w:r w:rsidR="00C46940">
              <w:rPr>
                <w:webHidden/>
              </w:rPr>
              <w:instrText xml:space="preserve"> PAGEREF _Toc280712171 \h </w:instrText>
            </w:r>
            <w:r>
              <w:rPr>
                <w:webHidden/>
              </w:rPr>
            </w:r>
            <w:r>
              <w:rPr>
                <w:webHidden/>
              </w:rPr>
              <w:fldChar w:fldCharType="separate"/>
            </w:r>
            <w:r w:rsidR="00322DB3">
              <w:rPr>
                <w:webHidden/>
              </w:rPr>
              <w:t>35</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2" w:history="1">
            <w:r w:rsidR="00C46940" w:rsidRPr="00475D9B">
              <w:rPr>
                <w:rStyle w:val="Hipervnculo"/>
              </w:rPr>
              <w:t>5.2</w:t>
            </w:r>
            <w:r w:rsidR="00C46940">
              <w:rPr>
                <w:rFonts w:asciiTheme="minorHAnsi" w:eastAsiaTheme="minorEastAsia" w:hAnsiTheme="minorHAnsi" w:cstheme="minorBidi"/>
                <w:bCs w:val="0"/>
                <w:sz w:val="22"/>
                <w:szCs w:val="22"/>
                <w:lang w:val="es-ES"/>
              </w:rPr>
              <w:tab/>
            </w:r>
            <w:r w:rsidR="00C46940" w:rsidRPr="00475D9B">
              <w:rPr>
                <w:rStyle w:val="Hipervnculo"/>
              </w:rPr>
              <w:t>OR con pérdidas de nivel de tensión 1 superiores a las reconocidas</w:t>
            </w:r>
            <w:r w:rsidR="00C46940">
              <w:rPr>
                <w:webHidden/>
              </w:rPr>
              <w:tab/>
            </w:r>
            <w:r>
              <w:rPr>
                <w:webHidden/>
              </w:rPr>
              <w:fldChar w:fldCharType="begin"/>
            </w:r>
            <w:r w:rsidR="00C46940">
              <w:rPr>
                <w:webHidden/>
              </w:rPr>
              <w:instrText xml:space="preserve"> PAGEREF _Toc280712172 \h </w:instrText>
            </w:r>
            <w:r>
              <w:rPr>
                <w:webHidden/>
              </w:rPr>
            </w:r>
            <w:r>
              <w:rPr>
                <w:webHidden/>
              </w:rPr>
              <w:fldChar w:fldCharType="separate"/>
            </w:r>
            <w:r w:rsidR="00322DB3">
              <w:rPr>
                <w:webHidden/>
              </w:rPr>
              <w:t>35</w:t>
            </w:r>
            <w:r>
              <w:rPr>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73" w:history="1">
            <w:r w:rsidR="00C46940" w:rsidRPr="00475D9B">
              <w:rPr>
                <w:rStyle w:val="Hipervnculo"/>
              </w:rPr>
              <w:t>ANEXO 6</w:t>
            </w:r>
            <w:r w:rsidR="00C46940">
              <w:rPr>
                <w:rFonts w:asciiTheme="minorHAnsi" w:eastAsiaTheme="minorEastAsia" w:hAnsiTheme="minorHAnsi" w:cstheme="minorBidi"/>
                <w:b w:val="0"/>
                <w:sz w:val="22"/>
                <w:szCs w:val="22"/>
              </w:rPr>
              <w:tab/>
            </w:r>
            <w:r w:rsidR="00C46940" w:rsidRPr="00475D9B">
              <w:rPr>
                <w:rStyle w:val="Hipervnculo"/>
              </w:rPr>
              <w:t>EVALUACIÓN DEL CUMPLIMIENTO DEL PLAN</w:t>
            </w:r>
            <w:r w:rsidR="00C46940">
              <w:rPr>
                <w:webHidden/>
              </w:rPr>
              <w:tab/>
            </w:r>
            <w:r>
              <w:rPr>
                <w:webHidden/>
              </w:rPr>
              <w:fldChar w:fldCharType="begin"/>
            </w:r>
            <w:r w:rsidR="00C46940">
              <w:rPr>
                <w:webHidden/>
              </w:rPr>
              <w:instrText xml:space="preserve"> PAGEREF _Toc280712173 \h </w:instrText>
            </w:r>
            <w:r>
              <w:rPr>
                <w:webHidden/>
              </w:rPr>
            </w:r>
            <w:r>
              <w:rPr>
                <w:webHidden/>
              </w:rPr>
              <w:fldChar w:fldCharType="separate"/>
            </w:r>
            <w:r w:rsidR="00322DB3">
              <w:rPr>
                <w:webHidden/>
              </w:rPr>
              <w:t>37</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4" w:history="1">
            <w:r w:rsidR="00C46940" w:rsidRPr="00475D9B">
              <w:rPr>
                <w:rStyle w:val="Hipervnculo"/>
              </w:rPr>
              <w:t>6.1</w:t>
            </w:r>
            <w:r w:rsidR="00C46940">
              <w:rPr>
                <w:rFonts w:asciiTheme="minorHAnsi" w:eastAsiaTheme="minorEastAsia" w:hAnsiTheme="minorHAnsi" w:cstheme="minorBidi"/>
                <w:bCs w:val="0"/>
                <w:sz w:val="22"/>
                <w:szCs w:val="22"/>
                <w:lang w:val="es-ES"/>
              </w:rPr>
              <w:tab/>
            </w:r>
            <w:r w:rsidR="00C46940" w:rsidRPr="00475D9B">
              <w:rPr>
                <w:rStyle w:val="Hipervnculo"/>
              </w:rPr>
              <w:t>Procedimiento de evaluación.</w:t>
            </w:r>
            <w:r w:rsidR="00C46940">
              <w:rPr>
                <w:webHidden/>
              </w:rPr>
              <w:tab/>
            </w:r>
            <w:r>
              <w:rPr>
                <w:webHidden/>
              </w:rPr>
              <w:fldChar w:fldCharType="begin"/>
            </w:r>
            <w:r w:rsidR="00C46940">
              <w:rPr>
                <w:webHidden/>
              </w:rPr>
              <w:instrText xml:space="preserve"> PAGEREF _Toc280712174 \h </w:instrText>
            </w:r>
            <w:r>
              <w:rPr>
                <w:webHidden/>
              </w:rPr>
            </w:r>
            <w:r>
              <w:rPr>
                <w:webHidden/>
              </w:rPr>
              <w:fldChar w:fldCharType="separate"/>
            </w:r>
            <w:r w:rsidR="00322DB3">
              <w:rPr>
                <w:webHidden/>
              </w:rPr>
              <w:t>37</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5" w:history="1">
            <w:r w:rsidR="00C46940" w:rsidRPr="00475D9B">
              <w:rPr>
                <w:rStyle w:val="Hipervnculo"/>
              </w:rPr>
              <w:t>6.2</w:t>
            </w:r>
            <w:r w:rsidR="00C46940">
              <w:rPr>
                <w:rFonts w:asciiTheme="minorHAnsi" w:eastAsiaTheme="minorEastAsia" w:hAnsiTheme="minorHAnsi" w:cstheme="minorBidi"/>
                <w:bCs w:val="0"/>
                <w:sz w:val="22"/>
                <w:szCs w:val="22"/>
                <w:lang w:val="es-ES"/>
              </w:rPr>
              <w:tab/>
            </w:r>
            <w:r w:rsidR="00C46940" w:rsidRPr="00475D9B">
              <w:rPr>
                <w:rStyle w:val="Hipervnculo"/>
              </w:rPr>
              <w:t>Modificación de metas</w:t>
            </w:r>
            <w:r w:rsidR="00C46940">
              <w:rPr>
                <w:webHidden/>
              </w:rPr>
              <w:tab/>
            </w:r>
            <w:r>
              <w:rPr>
                <w:webHidden/>
              </w:rPr>
              <w:fldChar w:fldCharType="begin"/>
            </w:r>
            <w:r w:rsidR="00C46940">
              <w:rPr>
                <w:webHidden/>
              </w:rPr>
              <w:instrText xml:space="preserve"> PAGEREF _Toc280712175 \h </w:instrText>
            </w:r>
            <w:r>
              <w:rPr>
                <w:webHidden/>
              </w:rPr>
            </w:r>
            <w:r>
              <w:rPr>
                <w:webHidden/>
              </w:rPr>
              <w:fldChar w:fldCharType="separate"/>
            </w:r>
            <w:r w:rsidR="00322DB3">
              <w:rPr>
                <w:webHidden/>
              </w:rPr>
              <w:t>38</w:t>
            </w:r>
            <w:r>
              <w:rPr>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76" w:history="1">
            <w:r w:rsidR="00C46940" w:rsidRPr="00475D9B">
              <w:rPr>
                <w:rStyle w:val="Hipervnculo"/>
              </w:rPr>
              <w:t>ANEXO 7</w:t>
            </w:r>
            <w:r w:rsidR="00C46940">
              <w:rPr>
                <w:rFonts w:asciiTheme="minorHAnsi" w:eastAsiaTheme="minorEastAsia" w:hAnsiTheme="minorHAnsi" w:cstheme="minorBidi"/>
                <w:b w:val="0"/>
                <w:sz w:val="22"/>
                <w:szCs w:val="22"/>
              </w:rPr>
              <w:tab/>
            </w:r>
            <w:r w:rsidR="00C46940" w:rsidRPr="00475D9B">
              <w:rPr>
                <w:rStyle w:val="Hipervnculo"/>
              </w:rPr>
              <w:t>MECANISMO DE VERIFICACIÓN DE LA INFORMACIÓN</w:t>
            </w:r>
            <w:r w:rsidR="00C46940">
              <w:rPr>
                <w:webHidden/>
              </w:rPr>
              <w:tab/>
            </w:r>
            <w:r>
              <w:rPr>
                <w:webHidden/>
              </w:rPr>
              <w:fldChar w:fldCharType="begin"/>
            </w:r>
            <w:r w:rsidR="00C46940">
              <w:rPr>
                <w:webHidden/>
              </w:rPr>
              <w:instrText xml:space="preserve"> PAGEREF _Toc280712176 \h </w:instrText>
            </w:r>
            <w:r>
              <w:rPr>
                <w:webHidden/>
              </w:rPr>
            </w:r>
            <w:r>
              <w:rPr>
                <w:webHidden/>
              </w:rPr>
              <w:fldChar w:fldCharType="separate"/>
            </w:r>
            <w:r w:rsidR="00322DB3">
              <w:rPr>
                <w:webHidden/>
              </w:rPr>
              <w:t>39</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7" w:history="1">
            <w:r w:rsidR="00C46940" w:rsidRPr="00475D9B">
              <w:rPr>
                <w:rStyle w:val="Hipervnculo"/>
              </w:rPr>
              <w:t>7.1</w:t>
            </w:r>
            <w:r w:rsidR="00C46940">
              <w:rPr>
                <w:rFonts w:asciiTheme="minorHAnsi" w:eastAsiaTheme="minorEastAsia" w:hAnsiTheme="minorHAnsi" w:cstheme="minorBidi"/>
                <w:bCs w:val="0"/>
                <w:sz w:val="22"/>
                <w:szCs w:val="22"/>
                <w:lang w:val="es-ES"/>
              </w:rPr>
              <w:tab/>
            </w:r>
            <w:r w:rsidR="00C46940" w:rsidRPr="00475D9B">
              <w:rPr>
                <w:rStyle w:val="Hipervnculo"/>
              </w:rPr>
              <w:t>Verificación de información de vínculos de usuarios a la red</w:t>
            </w:r>
            <w:r w:rsidR="00C46940">
              <w:rPr>
                <w:webHidden/>
              </w:rPr>
              <w:tab/>
            </w:r>
            <w:r>
              <w:rPr>
                <w:webHidden/>
              </w:rPr>
              <w:fldChar w:fldCharType="begin"/>
            </w:r>
            <w:r w:rsidR="00C46940">
              <w:rPr>
                <w:webHidden/>
              </w:rPr>
              <w:instrText xml:space="preserve"> PAGEREF _Toc280712177 \h </w:instrText>
            </w:r>
            <w:r>
              <w:rPr>
                <w:webHidden/>
              </w:rPr>
            </w:r>
            <w:r>
              <w:rPr>
                <w:webHidden/>
              </w:rPr>
              <w:fldChar w:fldCharType="separate"/>
            </w:r>
            <w:r w:rsidR="00322DB3">
              <w:rPr>
                <w:webHidden/>
              </w:rPr>
              <w:t>39</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8" w:history="1">
            <w:r w:rsidR="00C46940" w:rsidRPr="00475D9B">
              <w:rPr>
                <w:rStyle w:val="Hipervnculo"/>
              </w:rPr>
              <w:t>7.2</w:t>
            </w:r>
            <w:r w:rsidR="00C46940">
              <w:rPr>
                <w:rFonts w:asciiTheme="minorHAnsi" w:eastAsiaTheme="minorEastAsia" w:hAnsiTheme="minorHAnsi" w:cstheme="minorBidi"/>
                <w:bCs w:val="0"/>
                <w:sz w:val="22"/>
                <w:szCs w:val="22"/>
                <w:lang w:val="es-ES"/>
              </w:rPr>
              <w:tab/>
            </w:r>
            <w:r w:rsidR="00C46940" w:rsidRPr="00475D9B">
              <w:rPr>
                <w:rStyle w:val="Hipervnculo"/>
              </w:rPr>
              <w:t>Verificación de información de costos y gastos</w:t>
            </w:r>
            <w:r w:rsidR="00C46940">
              <w:rPr>
                <w:webHidden/>
              </w:rPr>
              <w:tab/>
            </w:r>
            <w:r>
              <w:rPr>
                <w:webHidden/>
              </w:rPr>
              <w:fldChar w:fldCharType="begin"/>
            </w:r>
            <w:r w:rsidR="00C46940">
              <w:rPr>
                <w:webHidden/>
              </w:rPr>
              <w:instrText xml:space="preserve"> PAGEREF _Toc280712178 \h </w:instrText>
            </w:r>
            <w:r>
              <w:rPr>
                <w:webHidden/>
              </w:rPr>
            </w:r>
            <w:r>
              <w:rPr>
                <w:webHidden/>
              </w:rPr>
              <w:fldChar w:fldCharType="separate"/>
            </w:r>
            <w:r w:rsidR="00322DB3">
              <w:rPr>
                <w:webHidden/>
              </w:rPr>
              <w:t>39</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79" w:history="1">
            <w:r w:rsidR="00C46940" w:rsidRPr="00475D9B">
              <w:rPr>
                <w:rStyle w:val="Hipervnculo"/>
              </w:rPr>
              <w:t>7.3</w:t>
            </w:r>
            <w:r w:rsidR="00C46940">
              <w:rPr>
                <w:rFonts w:asciiTheme="minorHAnsi" w:eastAsiaTheme="minorEastAsia" w:hAnsiTheme="minorHAnsi" w:cstheme="minorBidi"/>
                <w:bCs w:val="0"/>
                <w:sz w:val="22"/>
                <w:szCs w:val="22"/>
                <w:lang w:val="es-ES"/>
              </w:rPr>
              <w:tab/>
            </w:r>
            <w:r w:rsidR="00C46940" w:rsidRPr="00475D9B">
              <w:rPr>
                <w:rStyle w:val="Hipervnculo"/>
              </w:rPr>
              <w:t>Verificación de infraestructura</w:t>
            </w:r>
            <w:r w:rsidR="00C46940">
              <w:rPr>
                <w:webHidden/>
              </w:rPr>
              <w:tab/>
            </w:r>
            <w:r>
              <w:rPr>
                <w:webHidden/>
              </w:rPr>
              <w:fldChar w:fldCharType="begin"/>
            </w:r>
            <w:r w:rsidR="00C46940">
              <w:rPr>
                <w:webHidden/>
              </w:rPr>
              <w:instrText xml:space="preserve"> PAGEREF _Toc280712179 \h </w:instrText>
            </w:r>
            <w:r>
              <w:rPr>
                <w:webHidden/>
              </w:rPr>
            </w:r>
            <w:r>
              <w:rPr>
                <w:webHidden/>
              </w:rPr>
              <w:fldChar w:fldCharType="separate"/>
            </w:r>
            <w:r w:rsidR="00322DB3">
              <w:rPr>
                <w:webHidden/>
              </w:rPr>
              <w:t>40</w:t>
            </w:r>
            <w:r>
              <w:rPr>
                <w:webHidden/>
              </w:rPr>
              <w:fldChar w:fldCharType="end"/>
            </w:r>
          </w:hyperlink>
        </w:p>
        <w:p w:rsidR="00C46940" w:rsidRDefault="00822579">
          <w:pPr>
            <w:pStyle w:val="TDC1"/>
            <w:rPr>
              <w:rFonts w:asciiTheme="minorHAnsi" w:eastAsiaTheme="minorEastAsia" w:hAnsiTheme="minorHAnsi" w:cstheme="minorBidi"/>
              <w:b w:val="0"/>
              <w:sz w:val="22"/>
              <w:szCs w:val="22"/>
            </w:rPr>
          </w:pPr>
          <w:hyperlink w:anchor="_Toc280712180" w:history="1">
            <w:r w:rsidR="00C46940" w:rsidRPr="00475D9B">
              <w:rPr>
                <w:rStyle w:val="Hipervnculo"/>
              </w:rPr>
              <w:t>ANEXO 8</w:t>
            </w:r>
            <w:r w:rsidR="00C46940">
              <w:rPr>
                <w:rFonts w:asciiTheme="minorHAnsi" w:eastAsiaTheme="minorEastAsia" w:hAnsiTheme="minorHAnsi" w:cstheme="minorBidi"/>
                <w:b w:val="0"/>
                <w:sz w:val="22"/>
                <w:szCs w:val="22"/>
              </w:rPr>
              <w:tab/>
            </w:r>
            <w:r w:rsidR="00C46940" w:rsidRPr="00475D9B">
              <w:rPr>
                <w:rStyle w:val="Hipervnculo"/>
              </w:rPr>
              <w:t>METODOLOGÍA PARA DEVOLUCIÓN DE INGRESOS</w:t>
            </w:r>
            <w:r w:rsidR="00C46940">
              <w:rPr>
                <w:webHidden/>
              </w:rPr>
              <w:tab/>
            </w:r>
            <w:r>
              <w:rPr>
                <w:webHidden/>
              </w:rPr>
              <w:fldChar w:fldCharType="begin"/>
            </w:r>
            <w:r w:rsidR="00C46940">
              <w:rPr>
                <w:webHidden/>
              </w:rPr>
              <w:instrText xml:space="preserve"> PAGEREF _Toc280712180 \h </w:instrText>
            </w:r>
            <w:r>
              <w:rPr>
                <w:webHidden/>
              </w:rPr>
            </w:r>
            <w:r>
              <w:rPr>
                <w:webHidden/>
              </w:rPr>
              <w:fldChar w:fldCharType="separate"/>
            </w:r>
            <w:r w:rsidR="00322DB3">
              <w:rPr>
                <w:webHidden/>
              </w:rPr>
              <w:t>41</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81" w:history="1">
            <w:r w:rsidR="00C46940" w:rsidRPr="00475D9B">
              <w:rPr>
                <w:rStyle w:val="Hipervnculo"/>
              </w:rPr>
              <w:t>8.1</w:t>
            </w:r>
            <w:r w:rsidR="00C46940">
              <w:rPr>
                <w:rFonts w:asciiTheme="minorHAnsi" w:eastAsiaTheme="minorEastAsia" w:hAnsiTheme="minorHAnsi" w:cstheme="minorBidi"/>
                <w:bCs w:val="0"/>
                <w:sz w:val="22"/>
                <w:szCs w:val="22"/>
                <w:lang w:val="es-ES"/>
              </w:rPr>
              <w:tab/>
            </w:r>
            <w:r w:rsidR="00C46940" w:rsidRPr="00475D9B">
              <w:rPr>
                <w:rStyle w:val="Hipervnculo"/>
              </w:rPr>
              <w:t>Cálculo de los ingresos a devolver por parte del OR</w:t>
            </w:r>
            <w:r w:rsidR="00C46940">
              <w:rPr>
                <w:webHidden/>
              </w:rPr>
              <w:tab/>
            </w:r>
            <w:r>
              <w:rPr>
                <w:webHidden/>
              </w:rPr>
              <w:fldChar w:fldCharType="begin"/>
            </w:r>
            <w:r w:rsidR="00C46940">
              <w:rPr>
                <w:webHidden/>
              </w:rPr>
              <w:instrText xml:space="preserve"> PAGEREF _Toc280712181 \h </w:instrText>
            </w:r>
            <w:r>
              <w:rPr>
                <w:webHidden/>
              </w:rPr>
            </w:r>
            <w:r>
              <w:rPr>
                <w:webHidden/>
              </w:rPr>
              <w:fldChar w:fldCharType="separate"/>
            </w:r>
            <w:r w:rsidR="00322DB3">
              <w:rPr>
                <w:webHidden/>
              </w:rPr>
              <w:t>41</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82" w:history="1">
            <w:r w:rsidR="00C46940" w:rsidRPr="00475D9B">
              <w:rPr>
                <w:rStyle w:val="Hipervnculo"/>
              </w:rPr>
              <w:t>8.2</w:t>
            </w:r>
            <w:r w:rsidR="00C46940">
              <w:rPr>
                <w:rFonts w:asciiTheme="minorHAnsi" w:eastAsiaTheme="minorEastAsia" w:hAnsiTheme="minorHAnsi" w:cstheme="minorBidi"/>
                <w:bCs w:val="0"/>
                <w:sz w:val="22"/>
                <w:szCs w:val="22"/>
                <w:lang w:val="es-ES"/>
              </w:rPr>
              <w:tab/>
            </w:r>
            <w:r w:rsidR="00C46940" w:rsidRPr="00475D9B">
              <w:rPr>
                <w:rStyle w:val="Hipervnculo"/>
              </w:rPr>
              <w:t xml:space="preserve">Determinación del cargo mensual </w:t>
            </w:r>
            <w:r w:rsidR="00C46940" w:rsidRPr="00475D9B">
              <w:rPr>
                <w:rStyle w:val="Hipervnculo"/>
                <w:i/>
              </w:rPr>
              <w:t>CPROG</w:t>
            </w:r>
            <w:r w:rsidR="00C46940" w:rsidRPr="00475D9B">
              <w:rPr>
                <w:rStyle w:val="Hipervnculo"/>
                <w:i/>
                <w:vertAlign w:val="subscript"/>
              </w:rPr>
              <w:t>j,m</w:t>
            </w:r>
            <w:r w:rsidR="00C46940" w:rsidRPr="00475D9B">
              <w:rPr>
                <w:rStyle w:val="Hipervnculo"/>
              </w:rPr>
              <w:t xml:space="preserve"> con recursos a devolver por parte del OR cuando se cancela la ejecución del Plan</w:t>
            </w:r>
            <w:r w:rsidR="00C46940">
              <w:rPr>
                <w:webHidden/>
              </w:rPr>
              <w:tab/>
            </w:r>
            <w:r>
              <w:rPr>
                <w:webHidden/>
              </w:rPr>
              <w:fldChar w:fldCharType="begin"/>
            </w:r>
            <w:r w:rsidR="00C46940">
              <w:rPr>
                <w:webHidden/>
              </w:rPr>
              <w:instrText xml:space="preserve"> PAGEREF _Toc280712182 \h </w:instrText>
            </w:r>
            <w:r>
              <w:rPr>
                <w:webHidden/>
              </w:rPr>
            </w:r>
            <w:r>
              <w:rPr>
                <w:webHidden/>
              </w:rPr>
              <w:fldChar w:fldCharType="separate"/>
            </w:r>
            <w:r w:rsidR="00322DB3">
              <w:rPr>
                <w:webHidden/>
              </w:rPr>
              <w:t>42</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83" w:history="1">
            <w:r w:rsidR="00C46940" w:rsidRPr="00475D9B">
              <w:rPr>
                <w:rStyle w:val="Hipervnculo"/>
              </w:rPr>
              <w:t>8.3</w:t>
            </w:r>
            <w:r w:rsidR="00C46940">
              <w:rPr>
                <w:rFonts w:asciiTheme="minorHAnsi" w:eastAsiaTheme="minorEastAsia" w:hAnsiTheme="minorHAnsi" w:cstheme="minorBidi"/>
                <w:bCs w:val="0"/>
                <w:sz w:val="22"/>
                <w:szCs w:val="22"/>
                <w:lang w:val="es-ES"/>
              </w:rPr>
              <w:tab/>
            </w:r>
            <w:r w:rsidR="00C46940" w:rsidRPr="00475D9B">
              <w:rPr>
                <w:rStyle w:val="Hipervnculo"/>
              </w:rPr>
              <w:t xml:space="preserve">Determinación del cargo mensual </w:t>
            </w:r>
            <w:r w:rsidR="00C46940" w:rsidRPr="00475D9B">
              <w:rPr>
                <w:rStyle w:val="Hipervnculo"/>
                <w:i/>
              </w:rPr>
              <w:t>CPROG</w:t>
            </w:r>
            <w:r w:rsidR="00C46940" w:rsidRPr="00475D9B">
              <w:rPr>
                <w:rStyle w:val="Hipervnculo"/>
                <w:i/>
                <w:vertAlign w:val="subscript"/>
              </w:rPr>
              <w:t>j,m</w:t>
            </w:r>
            <w:r w:rsidR="00C46940" w:rsidRPr="00475D9B">
              <w:rPr>
                <w:rStyle w:val="Hipervnculo"/>
              </w:rPr>
              <w:t xml:space="preserve"> con los recursos depositados en la Fiducia cuando se cancela la ejecución del Plan</w:t>
            </w:r>
            <w:r w:rsidR="00C46940">
              <w:rPr>
                <w:webHidden/>
              </w:rPr>
              <w:tab/>
            </w:r>
            <w:r>
              <w:rPr>
                <w:webHidden/>
              </w:rPr>
              <w:fldChar w:fldCharType="begin"/>
            </w:r>
            <w:r w:rsidR="00C46940">
              <w:rPr>
                <w:webHidden/>
              </w:rPr>
              <w:instrText xml:space="preserve"> PAGEREF _Toc280712183 \h </w:instrText>
            </w:r>
            <w:r>
              <w:rPr>
                <w:webHidden/>
              </w:rPr>
            </w:r>
            <w:r>
              <w:rPr>
                <w:webHidden/>
              </w:rPr>
              <w:fldChar w:fldCharType="separate"/>
            </w:r>
            <w:r w:rsidR="00322DB3">
              <w:rPr>
                <w:webHidden/>
              </w:rPr>
              <w:t>42</w:t>
            </w:r>
            <w:r>
              <w:rPr>
                <w:webHidden/>
              </w:rPr>
              <w:fldChar w:fldCharType="end"/>
            </w:r>
          </w:hyperlink>
        </w:p>
        <w:p w:rsidR="00C46940" w:rsidRDefault="00822579">
          <w:pPr>
            <w:pStyle w:val="TDC2"/>
            <w:rPr>
              <w:rFonts w:asciiTheme="minorHAnsi" w:eastAsiaTheme="minorEastAsia" w:hAnsiTheme="minorHAnsi" w:cstheme="minorBidi"/>
              <w:bCs w:val="0"/>
              <w:sz w:val="22"/>
              <w:szCs w:val="22"/>
              <w:lang w:val="es-ES"/>
            </w:rPr>
          </w:pPr>
          <w:hyperlink w:anchor="_Toc280712184" w:history="1">
            <w:r w:rsidR="00C46940" w:rsidRPr="00475D9B">
              <w:rPr>
                <w:rStyle w:val="Hipervnculo"/>
              </w:rPr>
              <w:t>8.4</w:t>
            </w:r>
            <w:r w:rsidR="00C46940">
              <w:rPr>
                <w:rFonts w:asciiTheme="minorHAnsi" w:eastAsiaTheme="minorEastAsia" w:hAnsiTheme="minorHAnsi" w:cstheme="minorBidi"/>
                <w:bCs w:val="0"/>
                <w:sz w:val="22"/>
                <w:szCs w:val="22"/>
                <w:lang w:val="es-ES"/>
              </w:rPr>
              <w:tab/>
            </w:r>
            <w:r w:rsidR="00C46940" w:rsidRPr="00475D9B">
              <w:rPr>
                <w:rStyle w:val="Hipervnculo"/>
              </w:rPr>
              <w:t>Liquidación y recaudo</w:t>
            </w:r>
            <w:r w:rsidR="00C46940">
              <w:rPr>
                <w:webHidden/>
              </w:rPr>
              <w:tab/>
            </w:r>
            <w:r>
              <w:rPr>
                <w:webHidden/>
              </w:rPr>
              <w:fldChar w:fldCharType="begin"/>
            </w:r>
            <w:r w:rsidR="00C46940">
              <w:rPr>
                <w:webHidden/>
              </w:rPr>
              <w:instrText xml:space="preserve"> PAGEREF _Toc280712184 \h </w:instrText>
            </w:r>
            <w:r>
              <w:rPr>
                <w:webHidden/>
              </w:rPr>
            </w:r>
            <w:r>
              <w:rPr>
                <w:webHidden/>
              </w:rPr>
              <w:fldChar w:fldCharType="separate"/>
            </w:r>
            <w:r w:rsidR="00322DB3">
              <w:rPr>
                <w:webHidden/>
              </w:rPr>
              <w:t>43</w:t>
            </w:r>
            <w:r>
              <w:rPr>
                <w:webHidden/>
              </w:rPr>
              <w:fldChar w:fldCharType="end"/>
            </w:r>
          </w:hyperlink>
        </w:p>
        <w:p w:rsidR="00A71B19" w:rsidRDefault="00822579" w:rsidP="00A71B19">
          <w:r>
            <w:fldChar w:fldCharType="end"/>
          </w:r>
        </w:p>
      </w:sdtContent>
    </w:sdt>
    <w:p w:rsidR="00A71B19" w:rsidRDefault="00A71B19" w:rsidP="00A71B19">
      <w:pPr>
        <w:jc w:val="left"/>
      </w:pPr>
      <w:r>
        <w:br w:type="page"/>
      </w:r>
    </w:p>
    <w:p w:rsidR="00A71B19" w:rsidRDefault="00A71B19" w:rsidP="00A71B19">
      <w:pPr>
        <w:jc w:val="left"/>
      </w:pPr>
    </w:p>
    <w:p w:rsidR="00A71B19" w:rsidRPr="001F7C24" w:rsidRDefault="00A71B19" w:rsidP="00A71B19">
      <w:pPr>
        <w:pStyle w:val="Ttulo1"/>
      </w:pPr>
      <w:bookmarkStart w:id="22" w:name="_Toc259626857"/>
      <w:bookmarkStart w:id="23" w:name="_Ref259689780"/>
      <w:bookmarkStart w:id="24" w:name="_Ref259690077"/>
      <w:bookmarkStart w:id="25" w:name="_Ref263175453"/>
      <w:bookmarkStart w:id="26" w:name="_Ref269288717"/>
      <w:bookmarkStart w:id="27" w:name="_Toc280712143"/>
      <w:bookmarkStart w:id="28" w:name="_Ref208742125"/>
      <w:bookmarkStart w:id="29" w:name="_Toc259626852"/>
      <w:r w:rsidRPr="002C073B">
        <w:rPr>
          <w:caps w:val="0"/>
        </w:rPr>
        <w:t>GUÍA</w:t>
      </w:r>
      <w:r w:rsidRPr="001F7C24">
        <w:rPr>
          <w:caps w:val="0"/>
        </w:rPr>
        <w:t xml:space="preserve"> PARA LA PRESENTACIÓN DEL PLAN DE REDUCCIÓN DE PÉRDIDAS</w:t>
      </w:r>
      <w:bookmarkEnd w:id="22"/>
      <w:bookmarkEnd w:id="23"/>
      <w:bookmarkEnd w:id="24"/>
      <w:bookmarkEnd w:id="25"/>
      <w:bookmarkEnd w:id="26"/>
      <w:r w:rsidRPr="00C27278">
        <w:t xml:space="preserve"> no técnicas</w:t>
      </w:r>
      <w:bookmarkEnd w:id="27"/>
      <w:r w:rsidRPr="001F7C24">
        <w:t xml:space="preserve"> </w:t>
      </w:r>
    </w:p>
    <w:p w:rsidR="00A71B19" w:rsidRDefault="00A71B19" w:rsidP="00A71B19">
      <w:pPr>
        <w:ind w:left="360"/>
      </w:pPr>
    </w:p>
    <w:p w:rsidR="00A71B19" w:rsidRDefault="00A71B19" w:rsidP="00A71B19">
      <w:r>
        <w:t>El plan de reducción de pérdidas</w:t>
      </w:r>
      <w:r w:rsidRPr="00C27278">
        <w:t xml:space="preserve"> no técnicas </w:t>
      </w:r>
      <w:r>
        <w:t xml:space="preserve">contendrá como mínimo la siguiente información:  </w:t>
      </w:r>
    </w:p>
    <w:p w:rsidR="00A71B19" w:rsidRDefault="00A71B19" w:rsidP="00A71B19"/>
    <w:p w:rsidR="00A71B19" w:rsidRPr="00402DAB" w:rsidRDefault="00A71B19" w:rsidP="00A71B19">
      <w:pPr>
        <w:pStyle w:val="Prrafodelista"/>
        <w:numPr>
          <w:ilvl w:val="0"/>
          <w:numId w:val="6"/>
        </w:numPr>
        <w:spacing w:before="120"/>
        <w:ind w:left="426" w:hanging="426"/>
      </w:pPr>
      <w:r w:rsidRPr="00402DAB">
        <w:t xml:space="preserve">Resumen del </w:t>
      </w:r>
      <w:r>
        <w:t>Plan</w:t>
      </w:r>
      <w:r w:rsidRPr="00402DAB">
        <w:t xml:space="preserve">: El cual debe incluir el costo total, el cálculo de la variable </w:t>
      </w:r>
      <w:r>
        <w:t>CAP</w:t>
      </w:r>
      <w:r w:rsidRPr="00290430">
        <w:t>j</w:t>
      </w:r>
      <w:r w:rsidRPr="00402DAB">
        <w:t>,</w:t>
      </w:r>
      <w:r>
        <w:t xml:space="preserve"> el </w:t>
      </w:r>
      <w:r w:rsidRPr="00402DAB">
        <w:t>índice de pérdidas in</w:t>
      </w:r>
      <w:r>
        <w:t>icial y las metas para cada perí</w:t>
      </w:r>
      <w:r w:rsidRPr="00402DAB">
        <w:t xml:space="preserve">odo de evaluación, según el formato definido en el </w:t>
      </w:r>
      <w:r>
        <w:t xml:space="preserve">numeral </w:t>
      </w:r>
      <w:r w:rsidR="00822579">
        <w:fldChar w:fldCharType="begin"/>
      </w:r>
      <w:r>
        <w:instrText xml:space="preserve"> REF _Ref263255603 \r \h </w:instrText>
      </w:r>
      <w:r w:rsidR="00822579">
        <w:fldChar w:fldCharType="separate"/>
      </w:r>
      <w:r w:rsidR="00322DB3">
        <w:t>1.1</w:t>
      </w:r>
      <w:r w:rsidR="00822579">
        <w:fldChar w:fldCharType="end"/>
      </w:r>
      <w:r>
        <w:t xml:space="preserve"> del presente anexo</w:t>
      </w:r>
      <w:r w:rsidRPr="00402DAB">
        <w:t>.</w:t>
      </w:r>
      <w:r>
        <w:t xml:space="preserve"> </w:t>
      </w:r>
    </w:p>
    <w:p w:rsidR="00A71B19" w:rsidRPr="00402DAB" w:rsidRDefault="00A71B19" w:rsidP="00A71B19">
      <w:pPr>
        <w:pStyle w:val="Prrafodelista"/>
        <w:numPr>
          <w:ilvl w:val="0"/>
          <w:numId w:val="5"/>
        </w:numPr>
        <w:spacing w:before="120"/>
        <w:ind w:left="426" w:hanging="426"/>
      </w:pPr>
      <w:r w:rsidRPr="00402DAB">
        <w:t xml:space="preserve">Balance de energía por nivel de tensión para el año anterior al de presentación de la solicitud, detallando el código SIC de cada Frontera Comercial, según lo expuesto en el </w:t>
      </w:r>
      <w:r w:rsidR="00822579">
        <w:fldChar w:fldCharType="begin"/>
      </w:r>
      <w:r>
        <w:instrText xml:space="preserve"> REF _Ref263330202 \r \h </w:instrText>
      </w:r>
      <w:r w:rsidR="00822579">
        <w:fldChar w:fldCharType="separate"/>
      </w:r>
      <w:r w:rsidR="00322DB3">
        <w:t>ANEXO 4</w:t>
      </w:r>
      <w:r w:rsidR="00822579">
        <w:fldChar w:fldCharType="end"/>
      </w:r>
      <w:r w:rsidRPr="00402DAB">
        <w:t xml:space="preserve"> de la presente resolución. </w:t>
      </w:r>
    </w:p>
    <w:p w:rsidR="00A71B19" w:rsidRPr="00402DAB" w:rsidRDefault="00A71B19" w:rsidP="00A71B19">
      <w:pPr>
        <w:pStyle w:val="Prrafodelista"/>
        <w:numPr>
          <w:ilvl w:val="0"/>
          <w:numId w:val="5"/>
        </w:numPr>
        <w:spacing w:before="120"/>
        <w:ind w:left="426" w:hanging="426"/>
      </w:pPr>
      <w:r w:rsidRPr="00402DAB">
        <w:t xml:space="preserve">Listado de todas las fronteras comerciales existentes en el Mercado de Comercialización del OR, </w:t>
      </w:r>
      <w:r>
        <w:t>señalando el tipo de frontera, el código SIC y el nivel de tensión asociado</w:t>
      </w:r>
      <w:r w:rsidRPr="00402DAB">
        <w:t>.</w:t>
      </w:r>
    </w:p>
    <w:p w:rsidR="00A71B19" w:rsidRPr="00402DAB" w:rsidRDefault="00A71B19" w:rsidP="00A71B19">
      <w:pPr>
        <w:pStyle w:val="Prrafodelista"/>
        <w:numPr>
          <w:ilvl w:val="0"/>
          <w:numId w:val="5"/>
        </w:numPr>
        <w:spacing w:before="120"/>
        <w:ind w:left="426" w:hanging="426"/>
      </w:pPr>
      <w:r w:rsidRPr="00402DAB">
        <w:t xml:space="preserve">Formato </w:t>
      </w:r>
      <w:r w:rsidRPr="00C27278">
        <w:t xml:space="preserve">de actividades a desarrollar en el plan de reducción de pérdidas no técnicas </w:t>
      </w:r>
      <w:r w:rsidRPr="00402DAB">
        <w:t xml:space="preserve">como se presenta en el </w:t>
      </w:r>
      <w:r>
        <w:t xml:space="preserve">numeral </w:t>
      </w:r>
      <w:r w:rsidR="00822579">
        <w:fldChar w:fldCharType="begin"/>
      </w:r>
      <w:r>
        <w:instrText xml:space="preserve"> REF _Ref263255764 \r \h </w:instrText>
      </w:r>
      <w:r w:rsidR="00822579">
        <w:fldChar w:fldCharType="separate"/>
      </w:r>
      <w:r w:rsidR="00322DB3">
        <w:t>1.2</w:t>
      </w:r>
      <w:r w:rsidR="00822579">
        <w:fldChar w:fldCharType="end"/>
      </w:r>
      <w:r>
        <w:t xml:space="preserve"> del presente anexo</w:t>
      </w:r>
      <w:r w:rsidRPr="00402DAB">
        <w:t>.</w:t>
      </w:r>
      <w:r>
        <w:t xml:space="preserve"> </w:t>
      </w:r>
    </w:p>
    <w:p w:rsidR="00A71B19" w:rsidRPr="00402DAB" w:rsidRDefault="00A71B19" w:rsidP="00A71B19">
      <w:pPr>
        <w:pStyle w:val="Prrafodelista"/>
        <w:numPr>
          <w:ilvl w:val="0"/>
          <w:numId w:val="5"/>
        </w:numPr>
        <w:spacing w:before="120"/>
        <w:ind w:left="426" w:hanging="426"/>
      </w:pPr>
      <w:r w:rsidRPr="00402DAB">
        <w:t xml:space="preserve">Inventario de </w:t>
      </w:r>
      <w:r w:rsidRPr="002C073B">
        <w:t>las redes antifraude e</w:t>
      </w:r>
      <w:r w:rsidRPr="00402DAB">
        <w:t xml:space="preserve">xistentes a la fecha de presentación del Plan, con </w:t>
      </w:r>
      <w:r>
        <w:t>los correspondientes códigos de</w:t>
      </w:r>
      <w:r w:rsidRPr="00402DAB">
        <w:t xml:space="preserve"> transformadores de distribución asociados</w:t>
      </w:r>
      <w:r>
        <w:t>.</w:t>
      </w:r>
    </w:p>
    <w:p w:rsidR="00A71B19" w:rsidRPr="00402DAB" w:rsidRDefault="00A71B19" w:rsidP="00A71B19">
      <w:pPr>
        <w:pStyle w:val="Prrafodelista"/>
        <w:numPr>
          <w:ilvl w:val="0"/>
          <w:numId w:val="5"/>
        </w:numPr>
        <w:spacing w:before="120"/>
        <w:ind w:left="426" w:hanging="426"/>
      </w:pPr>
      <w:r>
        <w:t xml:space="preserve">El OR deberá contar con </w:t>
      </w:r>
      <w:r w:rsidRPr="00993355">
        <w:t xml:space="preserve">un procedimiento </w:t>
      </w:r>
      <w:r>
        <w:t xml:space="preserve">verificado por un </w:t>
      </w:r>
      <w:r w:rsidRPr="004C3691">
        <w:t>auditor</w:t>
      </w:r>
      <w:r>
        <w:t xml:space="preserve"> externo </w:t>
      </w:r>
      <w:r w:rsidRPr="00993355">
        <w:t xml:space="preserve">que garantice la actualización permanente de la información de georreferenciación la red y de la vinculación de usuarios a </w:t>
      </w:r>
      <w:r w:rsidRPr="00CF0FC7">
        <w:t>los circuitos y transformadores de aquellos que son intervenidos con el plan</w:t>
      </w:r>
      <w:r>
        <w:t>.</w:t>
      </w:r>
    </w:p>
    <w:p w:rsidR="00A71B19" w:rsidRPr="00402DAB" w:rsidRDefault="00A71B19" w:rsidP="00A71B19">
      <w:pPr>
        <w:pStyle w:val="Prrafodelista"/>
        <w:numPr>
          <w:ilvl w:val="0"/>
          <w:numId w:val="5"/>
        </w:numPr>
        <w:spacing w:before="120"/>
        <w:ind w:left="426" w:hanging="426"/>
      </w:pPr>
      <w:r w:rsidRPr="00402DAB">
        <w:t>Inventario</w:t>
      </w:r>
      <w:r>
        <w:t xml:space="preserve"> georreferenciado</w:t>
      </w:r>
      <w:r w:rsidRPr="00402DAB">
        <w:t xml:space="preserve"> de los equipos de medida </w:t>
      </w:r>
      <w:r>
        <w:t>instalados</w:t>
      </w:r>
      <w:r w:rsidRPr="00402DAB">
        <w:t xml:space="preserve"> por el OR para realizar balances energéticos entre niveles de tensión y su ubicación en un diagrama unifilar del sistema, existentes a la fecha de presentación del plan.</w:t>
      </w:r>
    </w:p>
    <w:p w:rsidR="00A71B19" w:rsidRDefault="00A71B19" w:rsidP="00A71B19">
      <w:pPr>
        <w:pStyle w:val="Prrafodelista"/>
        <w:numPr>
          <w:ilvl w:val="0"/>
          <w:numId w:val="5"/>
        </w:numPr>
        <w:spacing w:before="120"/>
        <w:ind w:left="426" w:hanging="426"/>
      </w:pPr>
      <w:r w:rsidRPr="00402DAB">
        <w:t>Inventario de los macromedidores existentes a la fecha de presentación del plan, relacionando el código del transformador donde se encuentra ubicado</w:t>
      </w:r>
      <w:r>
        <w:t xml:space="preserve"> el equipo de medida</w:t>
      </w:r>
      <w:r w:rsidRPr="00402DAB">
        <w:t>.</w:t>
      </w:r>
    </w:p>
    <w:p w:rsidR="00A71B19" w:rsidRPr="00402DAB" w:rsidRDefault="00A71B19" w:rsidP="00A71B19">
      <w:pPr>
        <w:pStyle w:val="Prrafodelista"/>
        <w:numPr>
          <w:ilvl w:val="0"/>
          <w:numId w:val="5"/>
        </w:numPr>
        <w:spacing w:before="120"/>
        <w:ind w:left="426" w:hanging="426"/>
      </w:pPr>
      <w:r w:rsidRPr="00402DAB">
        <w:t xml:space="preserve">Inventario de los </w:t>
      </w:r>
      <w:r>
        <w:t>sistemas de medición centralizada</w:t>
      </w:r>
      <w:r w:rsidRPr="00402DAB">
        <w:t xml:space="preserve"> existentes a la fecha de presentación del plan, relacionando el código del transformador donde se encuentra ubicado</w:t>
      </w:r>
      <w:r>
        <w:t xml:space="preserve"> el equipo de medida</w:t>
      </w:r>
      <w:r w:rsidRPr="00402DAB">
        <w:t>.</w:t>
      </w:r>
    </w:p>
    <w:p w:rsidR="00A71B19" w:rsidRPr="00402DAB" w:rsidRDefault="00A71B19" w:rsidP="00A71B19">
      <w:pPr>
        <w:pStyle w:val="Prrafodelista"/>
        <w:numPr>
          <w:ilvl w:val="0"/>
          <w:numId w:val="5"/>
        </w:numPr>
        <w:spacing w:before="120"/>
        <w:ind w:left="426" w:hanging="426"/>
      </w:pPr>
      <w:r w:rsidRPr="00402DAB">
        <w:t>Listado de usuarios conectados directamente al STN en el Mercado de Comercialización del OR</w:t>
      </w:r>
      <w:r>
        <w:t>, indicando su ubicación y código SIC</w:t>
      </w:r>
      <w:r w:rsidRPr="00402DAB">
        <w:t>.</w:t>
      </w:r>
    </w:p>
    <w:p w:rsidR="00A71B19" w:rsidRPr="00402DAB" w:rsidRDefault="00A71B19" w:rsidP="00A71B19">
      <w:pPr>
        <w:pStyle w:val="Prrafodelista"/>
        <w:numPr>
          <w:ilvl w:val="0"/>
          <w:numId w:val="5"/>
        </w:numPr>
        <w:spacing w:before="120"/>
        <w:ind w:left="426" w:hanging="426"/>
      </w:pPr>
      <w:r w:rsidRPr="0065215F">
        <w:t>Certificación</w:t>
      </w:r>
      <w:r w:rsidRPr="00402DAB">
        <w:t xml:space="preserve"> del revisor fiscal detallando el código de las cuentas creadas en la contabilidad, que permitan el registro independiente de todas las actividades relacionadas con el plan</w:t>
      </w:r>
      <w:r>
        <w:t xml:space="preserve"> de reducción de pérdidas</w:t>
      </w:r>
      <w:r w:rsidRPr="00C27278">
        <w:t xml:space="preserve"> no técnicas</w:t>
      </w:r>
      <w:r w:rsidRPr="00402DAB">
        <w:t>.</w:t>
      </w:r>
    </w:p>
    <w:p w:rsidR="00A71B19" w:rsidRDefault="00A71B19" w:rsidP="00A71B19">
      <w:pPr>
        <w:pStyle w:val="Ttulo2"/>
      </w:pPr>
      <w:bookmarkStart w:id="30" w:name="_Ref263255603"/>
      <w:bookmarkStart w:id="31" w:name="_Toc280712144"/>
      <w:r>
        <w:t>Formato resumen</w:t>
      </w:r>
      <w:bookmarkEnd w:id="30"/>
      <w:r>
        <w:t xml:space="preserve"> </w:t>
      </w:r>
      <w:r w:rsidRPr="00BF2BB4">
        <w:t>del plan de reducción de pérdidas</w:t>
      </w:r>
      <w:r w:rsidRPr="00C27278">
        <w:t xml:space="preserve"> no técnicas</w:t>
      </w:r>
      <w:bookmarkEnd w:id="31"/>
    </w:p>
    <w:tbl>
      <w:tblPr>
        <w:tblW w:w="8778" w:type="dxa"/>
        <w:jc w:val="center"/>
        <w:tblInd w:w="56" w:type="dxa"/>
        <w:tblCellMar>
          <w:left w:w="70" w:type="dxa"/>
          <w:right w:w="70" w:type="dxa"/>
        </w:tblCellMar>
        <w:tblLook w:val="04A0"/>
      </w:tblPr>
      <w:tblGrid>
        <w:gridCol w:w="400"/>
        <w:gridCol w:w="7205"/>
        <w:gridCol w:w="1173"/>
      </w:tblGrid>
      <w:tr w:rsidR="00A71B19" w:rsidRPr="00896BC1" w:rsidTr="00FA1C52">
        <w:trPr>
          <w:trHeight w:val="630"/>
          <w:jc w:val="center"/>
        </w:trPr>
        <w:tc>
          <w:tcPr>
            <w:tcW w:w="76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B19" w:rsidRPr="00E277FC" w:rsidRDefault="00A71B19" w:rsidP="00FA1C52">
            <w:pPr>
              <w:keepNext/>
              <w:jc w:val="center"/>
              <w:rPr>
                <w:b/>
                <w:bCs/>
                <w:color w:val="000000"/>
                <w:sz w:val="20"/>
                <w:lang w:val="es-CO" w:eastAsia="es-CO"/>
              </w:rPr>
            </w:pPr>
            <w:r w:rsidRPr="00E277FC">
              <w:rPr>
                <w:b/>
                <w:bCs/>
                <w:color w:val="000000"/>
                <w:sz w:val="20"/>
                <w:lang w:val="es-CO" w:eastAsia="es-CO"/>
              </w:rPr>
              <w:t xml:space="preserve">Variable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A71B19" w:rsidRPr="00E277FC" w:rsidRDefault="00A71B19" w:rsidP="00FA1C52">
            <w:pPr>
              <w:keepNext/>
              <w:jc w:val="center"/>
              <w:rPr>
                <w:b/>
                <w:bCs/>
                <w:color w:val="000000"/>
                <w:sz w:val="20"/>
                <w:lang w:val="es-CO" w:eastAsia="es-CO"/>
              </w:rPr>
            </w:pPr>
            <w:r>
              <w:rPr>
                <w:b/>
                <w:bCs/>
                <w:color w:val="000000"/>
                <w:sz w:val="20"/>
                <w:lang w:val="es-CO" w:eastAsia="es-CO"/>
              </w:rPr>
              <w:t>Pesos de diciembre de 2010</w:t>
            </w:r>
          </w:p>
        </w:tc>
      </w:tr>
      <w:tr w:rsidR="00A71B19" w:rsidRPr="00896BC1" w:rsidTr="00FA1C52">
        <w:trPr>
          <w:trHeight w:val="431"/>
          <w:jc w:val="center"/>
        </w:trPr>
        <w:tc>
          <w:tcPr>
            <w:tcW w:w="7605" w:type="dxa"/>
            <w:gridSpan w:val="2"/>
            <w:tcBorders>
              <w:top w:val="nil"/>
              <w:left w:val="single" w:sz="4" w:space="0" w:color="auto"/>
              <w:bottom w:val="single" w:sz="4" w:space="0" w:color="auto"/>
              <w:right w:val="single" w:sz="4" w:space="0" w:color="auto"/>
            </w:tcBorders>
            <w:shd w:val="clear" w:color="auto" w:fill="auto"/>
            <w:vAlign w:val="center"/>
            <w:hideMark/>
          </w:tcPr>
          <w:p w:rsidR="00A71B19" w:rsidRPr="00E277FC" w:rsidRDefault="00A71B19" w:rsidP="00FA1C52">
            <w:pPr>
              <w:keepNext/>
              <w:jc w:val="left"/>
              <w:rPr>
                <w:color w:val="000000"/>
                <w:sz w:val="20"/>
                <w:lang w:val="es-CO" w:eastAsia="es-CO"/>
              </w:rPr>
            </w:pPr>
            <w:r w:rsidRPr="00E277FC">
              <w:rPr>
                <w:color w:val="000000"/>
                <w:sz w:val="20"/>
                <w:lang w:val="es-CO" w:eastAsia="es-CO"/>
              </w:rPr>
              <w:t xml:space="preserve">Costo anual del plan de reducción de pérdidas no técnicas, </w:t>
            </w:r>
            <w:r>
              <w:rPr>
                <w:i/>
                <w:color w:val="000000"/>
                <w:sz w:val="20"/>
                <w:lang w:val="es-CO" w:eastAsia="es-CO"/>
              </w:rPr>
              <w:t>CAP</w:t>
            </w:r>
            <w:r w:rsidRPr="00290430">
              <w:rPr>
                <w:i/>
                <w:color w:val="000000"/>
                <w:sz w:val="20"/>
                <w:lang w:val="es-CO" w:eastAsia="es-CO"/>
              </w:rPr>
              <w:t>j</w:t>
            </w:r>
          </w:p>
        </w:tc>
        <w:tc>
          <w:tcPr>
            <w:tcW w:w="1173" w:type="dxa"/>
            <w:tcBorders>
              <w:top w:val="nil"/>
              <w:left w:val="nil"/>
              <w:bottom w:val="single" w:sz="4" w:space="0" w:color="auto"/>
              <w:right w:val="single" w:sz="4" w:space="0" w:color="auto"/>
            </w:tcBorders>
            <w:shd w:val="clear" w:color="auto" w:fill="auto"/>
            <w:vAlign w:val="center"/>
            <w:hideMark/>
          </w:tcPr>
          <w:p w:rsidR="00A71B19" w:rsidRPr="00E277FC" w:rsidRDefault="00A71B19" w:rsidP="00FA1C52">
            <w:pPr>
              <w:keepNext/>
              <w:jc w:val="left"/>
              <w:rPr>
                <w:b/>
                <w:bCs/>
                <w:color w:val="000000"/>
                <w:sz w:val="20"/>
                <w:lang w:val="es-CO" w:eastAsia="es-CO"/>
              </w:rPr>
            </w:pPr>
            <w:r w:rsidRPr="00E277FC">
              <w:rPr>
                <w:b/>
                <w:bCs/>
                <w:color w:val="000000"/>
                <w:sz w:val="20"/>
                <w:lang w:val="es-CO" w:eastAsia="es-CO"/>
              </w:rPr>
              <w:t> </w:t>
            </w:r>
          </w:p>
        </w:tc>
      </w:tr>
      <w:tr w:rsidR="00A71B19" w:rsidRPr="00896BC1" w:rsidTr="00FA1C52">
        <w:trPr>
          <w:trHeight w:val="630"/>
          <w:jc w:val="center"/>
        </w:trPr>
        <w:tc>
          <w:tcPr>
            <w:tcW w:w="7605" w:type="dxa"/>
            <w:gridSpan w:val="2"/>
            <w:tcBorders>
              <w:top w:val="nil"/>
              <w:left w:val="single" w:sz="4" w:space="0" w:color="auto"/>
              <w:bottom w:val="single" w:sz="4" w:space="0" w:color="auto"/>
              <w:right w:val="single" w:sz="4" w:space="0" w:color="auto"/>
            </w:tcBorders>
            <w:shd w:val="clear" w:color="auto" w:fill="auto"/>
            <w:vAlign w:val="center"/>
            <w:hideMark/>
          </w:tcPr>
          <w:p w:rsidR="00A71B19" w:rsidRPr="00E277FC" w:rsidRDefault="00A71B19" w:rsidP="00FA1C52">
            <w:pPr>
              <w:keepNext/>
              <w:jc w:val="left"/>
              <w:rPr>
                <w:color w:val="000000"/>
                <w:sz w:val="20"/>
                <w:lang w:val="es-CO" w:eastAsia="es-CO"/>
              </w:rPr>
            </w:pPr>
            <w:r w:rsidRPr="00E277FC">
              <w:rPr>
                <w:color w:val="000000"/>
                <w:sz w:val="20"/>
                <w:lang w:val="es-CO" w:eastAsia="es-CO"/>
              </w:rPr>
              <w:t xml:space="preserve">Costo total del plan de reducción de pérdidas no técnicas presentado por el OR, </w:t>
            </w:r>
            <w:r w:rsidRPr="00E277FC">
              <w:rPr>
                <w:b/>
                <w:bCs/>
                <w:color w:val="000000"/>
                <w:sz w:val="20"/>
                <w:lang w:val="es-CO" w:eastAsia="es-CO"/>
              </w:rPr>
              <w:t>(1)+(2)+(3)</w:t>
            </w:r>
          </w:p>
        </w:tc>
        <w:tc>
          <w:tcPr>
            <w:tcW w:w="1173" w:type="dxa"/>
            <w:tcBorders>
              <w:top w:val="nil"/>
              <w:left w:val="nil"/>
              <w:bottom w:val="single" w:sz="4" w:space="0" w:color="auto"/>
              <w:right w:val="single" w:sz="4" w:space="0" w:color="auto"/>
            </w:tcBorders>
            <w:shd w:val="clear" w:color="auto" w:fill="auto"/>
            <w:noWrap/>
            <w:vAlign w:val="bottom"/>
            <w:hideMark/>
          </w:tcPr>
          <w:p w:rsidR="00A71B19" w:rsidRPr="00E277FC" w:rsidRDefault="00A71B19" w:rsidP="00FA1C52">
            <w:pPr>
              <w:keepNext/>
              <w:jc w:val="left"/>
              <w:rPr>
                <w:rFonts w:ascii="Calibri" w:hAnsi="Calibri"/>
                <w:color w:val="000000"/>
                <w:sz w:val="20"/>
                <w:lang w:val="es-CO" w:eastAsia="es-CO"/>
              </w:rPr>
            </w:pPr>
            <w:r w:rsidRPr="00E277FC">
              <w:rPr>
                <w:rFonts w:ascii="Calibri" w:hAnsi="Calibri"/>
                <w:color w:val="000000"/>
                <w:sz w:val="20"/>
                <w:lang w:val="es-CO" w:eastAsia="es-CO"/>
              </w:rPr>
              <w:t> </w:t>
            </w:r>
          </w:p>
        </w:tc>
      </w:tr>
      <w:tr w:rsidR="00A71B19" w:rsidRPr="00896BC1" w:rsidTr="00FA1C52">
        <w:trPr>
          <w:trHeight w:val="435"/>
          <w:jc w:val="center"/>
        </w:trPr>
        <w:tc>
          <w:tcPr>
            <w:tcW w:w="278" w:type="dxa"/>
            <w:tcBorders>
              <w:top w:val="nil"/>
              <w:left w:val="single" w:sz="4" w:space="0" w:color="auto"/>
              <w:bottom w:val="single" w:sz="4" w:space="0" w:color="auto"/>
            </w:tcBorders>
            <w:shd w:val="clear" w:color="auto" w:fill="auto"/>
            <w:hideMark/>
          </w:tcPr>
          <w:p w:rsidR="00A71B19" w:rsidRPr="00E277FC" w:rsidRDefault="00A71B19" w:rsidP="00FA1C52">
            <w:pPr>
              <w:keepNext/>
              <w:jc w:val="left"/>
              <w:rPr>
                <w:b/>
                <w:bCs/>
                <w:color w:val="000000"/>
                <w:sz w:val="20"/>
                <w:lang w:val="es-CO" w:eastAsia="es-CO"/>
              </w:rPr>
            </w:pPr>
            <w:r w:rsidRPr="00E277FC">
              <w:rPr>
                <w:b/>
                <w:bCs/>
                <w:color w:val="000000"/>
                <w:sz w:val="20"/>
                <w:lang w:val="es-CO" w:eastAsia="es-CO"/>
              </w:rPr>
              <w:t>(1)</w:t>
            </w:r>
          </w:p>
        </w:tc>
        <w:tc>
          <w:tcPr>
            <w:tcW w:w="7327" w:type="dxa"/>
            <w:tcBorders>
              <w:top w:val="nil"/>
              <w:left w:val="nil"/>
              <w:bottom w:val="single" w:sz="4" w:space="0" w:color="auto"/>
              <w:right w:val="single" w:sz="4" w:space="0" w:color="auto"/>
            </w:tcBorders>
            <w:shd w:val="clear" w:color="auto" w:fill="auto"/>
            <w:vAlign w:val="center"/>
          </w:tcPr>
          <w:p w:rsidR="00A71B19" w:rsidRPr="00E277FC" w:rsidRDefault="00A71B19" w:rsidP="00FA1C52">
            <w:pPr>
              <w:keepNext/>
              <w:jc w:val="left"/>
              <w:rPr>
                <w:b/>
                <w:bCs/>
                <w:color w:val="000000"/>
                <w:sz w:val="20"/>
                <w:lang w:val="es-CO" w:eastAsia="es-CO"/>
              </w:rPr>
            </w:pPr>
            <w:r w:rsidRPr="00E277FC">
              <w:rPr>
                <w:color w:val="000000"/>
                <w:sz w:val="20"/>
                <w:lang w:val="es-CO" w:eastAsia="es-CO"/>
              </w:rPr>
              <w:t xml:space="preserve">Suma de los costos y gastos para los años de duración del plan, </w:t>
            </w:r>
            <w:r w:rsidRPr="00446CF7">
              <w:rPr>
                <w:i/>
                <w:color w:val="000000"/>
                <w:sz w:val="20"/>
                <w:lang w:val="es-CO" w:eastAsia="es-CO"/>
              </w:rPr>
              <w:t>ΣCact</w:t>
            </w:r>
            <w:r w:rsidRPr="00446CF7">
              <w:rPr>
                <w:i/>
                <w:color w:val="000000"/>
                <w:sz w:val="20"/>
                <w:vertAlign w:val="subscript"/>
                <w:lang w:val="es-CO" w:eastAsia="es-CO"/>
              </w:rPr>
              <w:t>w,k</w:t>
            </w:r>
          </w:p>
        </w:tc>
        <w:tc>
          <w:tcPr>
            <w:tcW w:w="1173" w:type="dxa"/>
            <w:tcBorders>
              <w:top w:val="nil"/>
              <w:left w:val="nil"/>
              <w:bottom w:val="single" w:sz="4" w:space="0" w:color="auto"/>
              <w:right w:val="single" w:sz="4" w:space="0" w:color="auto"/>
            </w:tcBorders>
            <w:shd w:val="clear" w:color="auto" w:fill="auto"/>
            <w:noWrap/>
            <w:vAlign w:val="bottom"/>
            <w:hideMark/>
          </w:tcPr>
          <w:p w:rsidR="00A71B19" w:rsidRPr="00E277FC" w:rsidRDefault="00A71B19" w:rsidP="00FA1C52">
            <w:pPr>
              <w:keepNext/>
              <w:jc w:val="left"/>
              <w:rPr>
                <w:rFonts w:ascii="Calibri" w:hAnsi="Calibri"/>
                <w:color w:val="000000"/>
                <w:sz w:val="20"/>
                <w:lang w:val="es-CO" w:eastAsia="es-CO"/>
              </w:rPr>
            </w:pPr>
          </w:p>
        </w:tc>
      </w:tr>
      <w:tr w:rsidR="00A71B19" w:rsidRPr="00896BC1" w:rsidTr="00FA1C52">
        <w:trPr>
          <w:trHeight w:val="435"/>
          <w:jc w:val="center"/>
        </w:trPr>
        <w:tc>
          <w:tcPr>
            <w:tcW w:w="278" w:type="dxa"/>
            <w:tcBorders>
              <w:top w:val="single" w:sz="4" w:space="0" w:color="auto"/>
              <w:left w:val="single" w:sz="4" w:space="0" w:color="auto"/>
              <w:bottom w:val="single" w:sz="4" w:space="0" w:color="auto"/>
            </w:tcBorders>
            <w:shd w:val="clear" w:color="auto" w:fill="auto"/>
            <w:hideMark/>
          </w:tcPr>
          <w:p w:rsidR="00A71B19" w:rsidRPr="00E277FC" w:rsidRDefault="00A71B19" w:rsidP="00FA1C52">
            <w:pPr>
              <w:keepNext/>
              <w:jc w:val="left"/>
              <w:rPr>
                <w:b/>
                <w:bCs/>
                <w:color w:val="000000"/>
                <w:sz w:val="20"/>
                <w:lang w:val="es-CO" w:eastAsia="es-CO"/>
              </w:rPr>
            </w:pPr>
            <w:r w:rsidRPr="00E277FC">
              <w:rPr>
                <w:b/>
                <w:bCs/>
                <w:color w:val="000000"/>
                <w:sz w:val="20"/>
                <w:lang w:eastAsia="es-CO"/>
              </w:rPr>
              <w:t>(2)</w:t>
            </w:r>
          </w:p>
        </w:tc>
        <w:tc>
          <w:tcPr>
            <w:tcW w:w="7327" w:type="dxa"/>
            <w:tcBorders>
              <w:top w:val="nil"/>
              <w:left w:val="nil"/>
              <w:bottom w:val="single" w:sz="4" w:space="0" w:color="auto"/>
              <w:right w:val="single" w:sz="4" w:space="0" w:color="auto"/>
            </w:tcBorders>
            <w:shd w:val="clear" w:color="auto" w:fill="auto"/>
            <w:vAlign w:val="center"/>
          </w:tcPr>
          <w:p w:rsidR="00A71B19" w:rsidRPr="00E277FC" w:rsidRDefault="00A71B19" w:rsidP="00FA1C52">
            <w:pPr>
              <w:keepNext/>
              <w:jc w:val="left"/>
              <w:rPr>
                <w:b/>
                <w:bCs/>
                <w:color w:val="000000"/>
                <w:sz w:val="20"/>
                <w:lang w:val="es-CO" w:eastAsia="es-CO"/>
              </w:rPr>
            </w:pPr>
            <w:r w:rsidRPr="00E277FC">
              <w:rPr>
                <w:color w:val="000000"/>
                <w:sz w:val="20"/>
                <w:lang w:eastAsia="es-CO"/>
              </w:rPr>
              <w:t xml:space="preserve">Suma de los activos del listado de activos a reconocer para los años de duración del plan, </w:t>
            </w:r>
            <w:r w:rsidRPr="00446CF7">
              <w:rPr>
                <w:i/>
                <w:color w:val="000000"/>
                <w:sz w:val="20"/>
                <w:lang w:eastAsia="es-CO"/>
              </w:rPr>
              <w:t>ΣA</w:t>
            </w:r>
            <w:r w:rsidRPr="00446CF7">
              <w:rPr>
                <w:i/>
                <w:iCs/>
                <w:color w:val="000000"/>
                <w:sz w:val="20"/>
                <w:lang w:eastAsia="es-CO"/>
              </w:rPr>
              <w:t>s</w:t>
            </w:r>
            <w:r w:rsidRPr="00446CF7">
              <w:rPr>
                <w:i/>
                <w:iCs/>
                <w:color w:val="000000"/>
                <w:sz w:val="20"/>
                <w:vertAlign w:val="subscript"/>
                <w:lang w:eastAsia="es-CO"/>
              </w:rPr>
              <w:t>a,k</w:t>
            </w:r>
          </w:p>
        </w:tc>
        <w:tc>
          <w:tcPr>
            <w:tcW w:w="1173" w:type="dxa"/>
            <w:tcBorders>
              <w:top w:val="nil"/>
              <w:left w:val="nil"/>
              <w:bottom w:val="single" w:sz="4" w:space="0" w:color="auto"/>
              <w:right w:val="single" w:sz="4" w:space="0" w:color="auto"/>
            </w:tcBorders>
            <w:shd w:val="clear" w:color="auto" w:fill="auto"/>
            <w:noWrap/>
            <w:vAlign w:val="bottom"/>
            <w:hideMark/>
          </w:tcPr>
          <w:p w:rsidR="00A71B19" w:rsidRPr="00E277FC" w:rsidRDefault="00A71B19" w:rsidP="00FA1C52">
            <w:pPr>
              <w:keepNext/>
              <w:jc w:val="left"/>
              <w:rPr>
                <w:rFonts w:ascii="Calibri" w:hAnsi="Calibri"/>
                <w:color w:val="000000"/>
                <w:sz w:val="20"/>
                <w:lang w:val="es-CO" w:eastAsia="es-CO"/>
              </w:rPr>
            </w:pPr>
          </w:p>
        </w:tc>
      </w:tr>
      <w:tr w:rsidR="00A71B19" w:rsidRPr="00896BC1" w:rsidTr="00FA1C52">
        <w:trPr>
          <w:trHeight w:val="435"/>
          <w:jc w:val="center"/>
        </w:trPr>
        <w:tc>
          <w:tcPr>
            <w:tcW w:w="278" w:type="dxa"/>
            <w:tcBorders>
              <w:top w:val="single" w:sz="4" w:space="0" w:color="auto"/>
              <w:left w:val="single" w:sz="4" w:space="0" w:color="auto"/>
              <w:bottom w:val="single" w:sz="4" w:space="0" w:color="auto"/>
            </w:tcBorders>
            <w:shd w:val="clear" w:color="auto" w:fill="auto"/>
            <w:hideMark/>
          </w:tcPr>
          <w:p w:rsidR="00A71B19" w:rsidRPr="00E277FC" w:rsidRDefault="00A71B19" w:rsidP="00FA1C52">
            <w:pPr>
              <w:keepNext/>
              <w:jc w:val="left"/>
              <w:rPr>
                <w:b/>
                <w:bCs/>
                <w:color w:val="000000"/>
                <w:sz w:val="20"/>
                <w:lang w:val="es-CO" w:eastAsia="es-CO"/>
              </w:rPr>
            </w:pPr>
            <w:r w:rsidRPr="00E277FC">
              <w:rPr>
                <w:b/>
                <w:bCs/>
                <w:color w:val="000000"/>
                <w:sz w:val="20"/>
                <w:lang w:eastAsia="es-CO"/>
              </w:rPr>
              <w:t>(3)</w:t>
            </w:r>
          </w:p>
        </w:tc>
        <w:tc>
          <w:tcPr>
            <w:tcW w:w="7327" w:type="dxa"/>
            <w:tcBorders>
              <w:top w:val="nil"/>
              <w:left w:val="nil"/>
              <w:bottom w:val="single" w:sz="4" w:space="0" w:color="auto"/>
              <w:right w:val="single" w:sz="4" w:space="0" w:color="auto"/>
            </w:tcBorders>
            <w:shd w:val="clear" w:color="auto" w:fill="auto"/>
            <w:vAlign w:val="center"/>
          </w:tcPr>
          <w:p w:rsidR="00A71B19" w:rsidRPr="00E277FC" w:rsidRDefault="00A71B19" w:rsidP="00FA1C52">
            <w:pPr>
              <w:keepNext/>
              <w:jc w:val="left"/>
              <w:rPr>
                <w:b/>
                <w:bCs/>
                <w:color w:val="000000"/>
                <w:sz w:val="20"/>
                <w:lang w:val="es-CO" w:eastAsia="es-CO"/>
              </w:rPr>
            </w:pPr>
            <w:r w:rsidRPr="00E277FC">
              <w:rPr>
                <w:color w:val="000000"/>
                <w:sz w:val="20"/>
                <w:lang w:eastAsia="es-CO"/>
              </w:rPr>
              <w:t>Suma de las inversiones en activos de uso para los años de duración del plan, Σ</w:t>
            </w:r>
            <w:r w:rsidRPr="00E277FC">
              <w:rPr>
                <w:i/>
                <w:iCs/>
                <w:color w:val="000000"/>
                <w:sz w:val="20"/>
                <w:lang w:eastAsia="es-CO"/>
              </w:rPr>
              <w:t>INV</w:t>
            </w:r>
            <w:r w:rsidRPr="00E277FC">
              <w:rPr>
                <w:i/>
                <w:iCs/>
                <w:color w:val="000000"/>
                <w:sz w:val="20"/>
                <w:vertAlign w:val="subscript"/>
                <w:lang w:eastAsia="es-CO"/>
              </w:rPr>
              <w:t>u,k</w:t>
            </w:r>
          </w:p>
        </w:tc>
        <w:tc>
          <w:tcPr>
            <w:tcW w:w="1173" w:type="dxa"/>
            <w:tcBorders>
              <w:top w:val="nil"/>
              <w:left w:val="nil"/>
              <w:bottom w:val="single" w:sz="4" w:space="0" w:color="auto"/>
              <w:right w:val="single" w:sz="4" w:space="0" w:color="auto"/>
            </w:tcBorders>
            <w:shd w:val="clear" w:color="auto" w:fill="auto"/>
            <w:noWrap/>
            <w:vAlign w:val="bottom"/>
            <w:hideMark/>
          </w:tcPr>
          <w:p w:rsidR="00A71B19" w:rsidRPr="00E277FC" w:rsidRDefault="00A71B19" w:rsidP="00FA1C52">
            <w:pPr>
              <w:keepNext/>
              <w:jc w:val="left"/>
              <w:rPr>
                <w:rFonts w:ascii="Calibri" w:hAnsi="Calibri"/>
                <w:color w:val="000000"/>
                <w:sz w:val="20"/>
                <w:lang w:val="es-CO" w:eastAsia="es-CO"/>
              </w:rPr>
            </w:pPr>
          </w:p>
        </w:tc>
      </w:tr>
      <w:tr w:rsidR="00A71B19" w:rsidRPr="00896BC1" w:rsidTr="00FA1C52">
        <w:trPr>
          <w:trHeight w:val="435"/>
          <w:jc w:val="center"/>
        </w:trPr>
        <w:tc>
          <w:tcPr>
            <w:tcW w:w="7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1B19" w:rsidRPr="00E277FC" w:rsidRDefault="00A71B19" w:rsidP="00FA1C52">
            <w:pPr>
              <w:keepNext/>
              <w:rPr>
                <w:b/>
                <w:bCs/>
                <w:color w:val="000000"/>
                <w:sz w:val="20"/>
                <w:lang w:eastAsia="es-CO"/>
              </w:rPr>
            </w:pPr>
            <w:r w:rsidRPr="00E277FC">
              <w:rPr>
                <w:bCs/>
                <w:color w:val="000000"/>
                <w:sz w:val="20"/>
                <w:lang w:eastAsia="es-CO"/>
              </w:rPr>
              <w:t xml:space="preserve">Promedio anual de costos y gastos asociados con la recuperación de pérdidas de energía reconocidos en el AOM de la actividad de distribución de energía eléctrica según lo establecido en la Resolución CREG 097 de 2008, </w:t>
            </w:r>
            <w:r w:rsidRPr="00E277FC">
              <w:rPr>
                <w:bCs/>
                <w:i/>
                <w:color w:val="000000"/>
                <w:sz w:val="20"/>
                <w:lang w:eastAsia="es-CO"/>
              </w:rPr>
              <w:t>AOM</w:t>
            </w:r>
            <w:r w:rsidRPr="00E277FC">
              <w:rPr>
                <w:bCs/>
                <w:i/>
                <w:color w:val="000000"/>
                <w:sz w:val="20"/>
                <w:vertAlign w:val="subscript"/>
                <w:lang w:eastAsia="es-CO"/>
              </w:rPr>
              <w:t>dj</w:t>
            </w:r>
            <w:r w:rsidRPr="00E277FC">
              <w:rPr>
                <w:bCs/>
                <w:color w:val="000000"/>
                <w:sz w:val="20"/>
                <w:lang w:eastAsia="es-CO"/>
              </w:rPr>
              <w:t>.</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rsidR="00A71B19" w:rsidRPr="00E277FC" w:rsidRDefault="00A71B19" w:rsidP="00FA1C52">
            <w:pPr>
              <w:keepNext/>
              <w:jc w:val="left"/>
              <w:rPr>
                <w:rFonts w:ascii="Calibri" w:hAnsi="Calibri"/>
                <w:color w:val="000000"/>
                <w:sz w:val="20"/>
                <w:lang w:val="es-CO" w:eastAsia="es-CO"/>
              </w:rPr>
            </w:pPr>
          </w:p>
        </w:tc>
      </w:tr>
    </w:tbl>
    <w:p w:rsidR="00A71B19" w:rsidRDefault="00A71B19" w:rsidP="00A71B19">
      <w:pPr>
        <w:keepNext/>
        <w:rPr>
          <w:lang w:val="es-CO"/>
        </w:rPr>
      </w:pPr>
    </w:p>
    <w:tbl>
      <w:tblPr>
        <w:tblW w:w="8803" w:type="dxa"/>
        <w:jc w:val="center"/>
        <w:tblInd w:w="56" w:type="dxa"/>
        <w:tblCellMar>
          <w:left w:w="70" w:type="dxa"/>
          <w:right w:w="70" w:type="dxa"/>
        </w:tblCellMar>
        <w:tblLook w:val="04A0"/>
      </w:tblPr>
      <w:tblGrid>
        <w:gridCol w:w="6677"/>
        <w:gridCol w:w="2126"/>
      </w:tblGrid>
      <w:tr w:rsidR="00A71B19" w:rsidRPr="00446CF7" w:rsidTr="00FA1C52">
        <w:trPr>
          <w:trHeight w:val="585"/>
          <w:jc w:val="center"/>
        </w:trPr>
        <w:tc>
          <w:tcPr>
            <w:tcW w:w="6677" w:type="dxa"/>
            <w:tcBorders>
              <w:top w:val="single" w:sz="4" w:space="0" w:color="auto"/>
              <w:left w:val="single" w:sz="4" w:space="0" w:color="auto"/>
              <w:bottom w:val="single" w:sz="4" w:space="0" w:color="auto"/>
            </w:tcBorders>
            <w:shd w:val="clear" w:color="auto" w:fill="auto"/>
            <w:noWrap/>
            <w:vAlign w:val="center"/>
            <w:hideMark/>
          </w:tcPr>
          <w:p w:rsidR="00A71B19" w:rsidRPr="00446CF7" w:rsidRDefault="00A71B19" w:rsidP="00FA1C52">
            <w:pPr>
              <w:keepNext/>
              <w:jc w:val="center"/>
              <w:rPr>
                <w:b/>
                <w:bCs/>
                <w:color w:val="000000"/>
                <w:sz w:val="20"/>
                <w:lang w:val="es-CO" w:eastAsia="es-CO"/>
              </w:rPr>
            </w:pPr>
            <w:r>
              <w:rPr>
                <w:b/>
                <w:bCs/>
                <w:color w:val="000000"/>
                <w:sz w:val="20"/>
                <w:lang w:val="es-CO" w:eastAsia="es-CO"/>
              </w:rPr>
              <w:t xml:space="preserve">                               </w:t>
            </w:r>
            <w:r w:rsidRPr="00446CF7">
              <w:rPr>
                <w:b/>
                <w:bCs/>
                <w:color w:val="000000"/>
                <w:sz w:val="20"/>
                <w:lang w:val="es-CO" w:eastAsia="es-CO"/>
              </w:rPr>
              <w:t xml:space="preserve">Variable </w:t>
            </w:r>
            <w:r>
              <w:rPr>
                <w:b/>
                <w:bCs/>
                <w:color w:val="000000"/>
                <w:sz w:val="20"/>
                <w:lang w:val="es-CO" w:eastAsia="es-CO"/>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71B19" w:rsidRPr="00446CF7" w:rsidRDefault="00A71B19" w:rsidP="00FA1C52">
            <w:pPr>
              <w:keepNext/>
              <w:jc w:val="center"/>
              <w:rPr>
                <w:b/>
                <w:bCs/>
                <w:color w:val="000000"/>
                <w:sz w:val="20"/>
                <w:lang w:val="es-CO" w:eastAsia="es-CO"/>
              </w:rPr>
            </w:pP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bottom"/>
            <w:hideMark/>
          </w:tcPr>
          <w:p w:rsidR="00A71B19" w:rsidRPr="00446CF7" w:rsidRDefault="00A71B19" w:rsidP="00FA1C52">
            <w:pPr>
              <w:keepNext/>
              <w:jc w:val="left"/>
              <w:rPr>
                <w:color w:val="000000"/>
                <w:sz w:val="20"/>
                <w:lang w:val="es-CO" w:eastAsia="es-CO"/>
              </w:rPr>
            </w:pPr>
            <w:r>
              <w:rPr>
                <w:color w:val="000000"/>
                <w:sz w:val="20"/>
                <w:lang w:eastAsia="es-CO"/>
              </w:rPr>
              <w:t xml:space="preserve">Índice de </w:t>
            </w:r>
            <w:r w:rsidRPr="00446CF7">
              <w:rPr>
                <w:color w:val="000000"/>
                <w:sz w:val="20"/>
                <w:lang w:eastAsia="es-CO"/>
              </w:rPr>
              <w:t>pérdidas de Nivel de Tensión 1 al inicio del plan, P</w:t>
            </w:r>
            <w:r w:rsidRPr="00446CF7">
              <w:rPr>
                <w:color w:val="000000"/>
                <w:sz w:val="20"/>
                <w:vertAlign w:val="subscript"/>
                <w:lang w:eastAsia="es-CO"/>
              </w:rPr>
              <w:t>j,1,0</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i/>
                <w:iCs/>
                <w:color w:val="000000"/>
                <w:sz w:val="20"/>
                <w:lang w:val="es-CO" w:eastAsia="es-CO"/>
              </w:rPr>
            </w:pPr>
            <w:r>
              <w:rPr>
                <w:color w:val="000000"/>
                <w:sz w:val="20"/>
                <w:lang w:eastAsia="es-CO"/>
              </w:rPr>
              <w:t xml:space="preserve">Índice de </w:t>
            </w:r>
            <w:r w:rsidRPr="00446CF7">
              <w:rPr>
                <w:color w:val="000000"/>
                <w:sz w:val="20"/>
                <w:lang w:eastAsia="es-CO"/>
              </w:rPr>
              <w:t>pérdidas</w:t>
            </w:r>
            <w:r>
              <w:rPr>
                <w:color w:val="000000"/>
                <w:sz w:val="20"/>
                <w:lang w:eastAsia="es-CO"/>
              </w:rPr>
              <w:t xml:space="preserve"> totales de energía al inicio del plan,  </w:t>
            </w:r>
            <w:r w:rsidRPr="00446CF7">
              <w:rPr>
                <w:color w:val="000000"/>
                <w:sz w:val="20"/>
                <w:lang w:val="es-CO" w:eastAsia="es-CO"/>
              </w:rPr>
              <w:t>IPT</w:t>
            </w:r>
            <w:r w:rsidRPr="00446CF7">
              <w:rPr>
                <w:color w:val="000000"/>
                <w:sz w:val="20"/>
                <w:vertAlign w:val="subscript"/>
                <w:lang w:val="es-CO" w:eastAsia="es-CO"/>
              </w:rPr>
              <w:t>j,</w:t>
            </w:r>
            <w:r>
              <w:rPr>
                <w:color w:val="000000"/>
                <w:sz w:val="20"/>
                <w:vertAlign w:val="subscript"/>
                <w:lang w:val="es-CO" w:eastAsia="es-CO"/>
              </w:rPr>
              <w:t>0</w:t>
            </w:r>
          </w:p>
        </w:tc>
        <w:tc>
          <w:tcPr>
            <w:tcW w:w="2126" w:type="dxa"/>
            <w:tcBorders>
              <w:top w:val="nil"/>
              <w:left w:val="nil"/>
              <w:bottom w:val="single" w:sz="4" w:space="0" w:color="auto"/>
              <w:right w:val="single" w:sz="4" w:space="0" w:color="auto"/>
            </w:tcBorders>
            <w:shd w:val="clear" w:color="auto" w:fill="auto"/>
            <w:noWrap/>
            <w:vAlign w:val="center"/>
            <w:hideMark/>
          </w:tcPr>
          <w:p w:rsidR="00A71B19" w:rsidRPr="00446CF7" w:rsidRDefault="00A71B19" w:rsidP="00FA1C52">
            <w:pPr>
              <w:keepNext/>
              <w:jc w:val="center"/>
              <w:rPr>
                <w:rFonts w:ascii="Calibri" w:hAnsi="Calibri"/>
                <w:color w:val="000000"/>
                <w:sz w:val="20"/>
                <w:szCs w:val="22"/>
                <w:lang w:val="es-CO" w:eastAsia="es-CO"/>
              </w:rPr>
            </w:pP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2F3159" w:rsidRDefault="00A71B19" w:rsidP="00FA1C52">
            <w:pPr>
              <w:keepNext/>
              <w:jc w:val="left"/>
              <w:rPr>
                <w:b/>
                <w:i/>
                <w:iCs/>
                <w:color w:val="000000"/>
                <w:sz w:val="20"/>
                <w:lang w:val="es-CO" w:eastAsia="es-CO"/>
              </w:rPr>
            </w:pPr>
            <w:r w:rsidRPr="002F3159">
              <w:rPr>
                <w:b/>
                <w:i/>
                <w:iCs/>
                <w:color w:val="000000"/>
                <w:sz w:val="20"/>
                <w:lang w:val="es-CO" w:eastAsia="es-CO"/>
              </w:rPr>
              <w:t>Metas</w:t>
            </w:r>
            <w:r>
              <w:rPr>
                <w:b/>
                <w:i/>
                <w:iCs/>
                <w:color w:val="000000"/>
                <w:sz w:val="20"/>
                <w:lang w:val="es-CO" w:eastAsia="es-CO"/>
              </w:rPr>
              <w:t xml:space="preserve"> de</w:t>
            </w:r>
            <w:r w:rsidRPr="002F3159">
              <w:rPr>
                <w:b/>
                <w:i/>
                <w:iCs/>
                <w:color w:val="000000"/>
                <w:sz w:val="20"/>
                <w:lang w:val="es-CO" w:eastAsia="es-CO"/>
              </w:rPr>
              <w:t xml:space="preserve"> la senda de reducción de pérdidas</w:t>
            </w:r>
          </w:p>
        </w:tc>
        <w:tc>
          <w:tcPr>
            <w:tcW w:w="2126" w:type="dxa"/>
            <w:tcBorders>
              <w:top w:val="nil"/>
              <w:left w:val="nil"/>
              <w:bottom w:val="single" w:sz="4" w:space="0" w:color="auto"/>
              <w:right w:val="single" w:sz="4" w:space="0" w:color="auto"/>
            </w:tcBorders>
            <w:shd w:val="clear" w:color="auto" w:fill="auto"/>
            <w:noWrap/>
            <w:vAlign w:val="center"/>
            <w:hideMark/>
          </w:tcPr>
          <w:p w:rsidR="00A71B19" w:rsidRPr="00446CF7" w:rsidRDefault="00A71B19" w:rsidP="00FA1C52">
            <w:pPr>
              <w:keepNext/>
              <w:jc w:val="center"/>
              <w:rPr>
                <w:rFonts w:ascii="Calibri" w:hAnsi="Calibri"/>
                <w:color w:val="000000"/>
                <w:sz w:val="20"/>
                <w:lang w:val="es-CO" w:eastAsia="es-CO"/>
              </w:rPr>
            </w:pP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 xml:space="preserve">Periodo de evaluación 1, </w:t>
            </w:r>
            <w:bookmarkStart w:id="32" w:name="OLE_LINK6"/>
            <w:bookmarkStart w:id="33" w:name="OLE_LINK7"/>
            <w:r w:rsidRPr="00446CF7">
              <w:rPr>
                <w:color w:val="000000"/>
                <w:sz w:val="20"/>
                <w:lang w:val="es-CO" w:eastAsia="es-CO"/>
              </w:rPr>
              <w:t>IPT</w:t>
            </w:r>
            <w:r>
              <w:rPr>
                <w:color w:val="000000"/>
                <w:sz w:val="20"/>
                <w:lang w:val="es-CO" w:eastAsia="es-CO"/>
              </w:rPr>
              <w:t>S</w:t>
            </w:r>
            <w:r w:rsidRPr="00446CF7">
              <w:rPr>
                <w:color w:val="000000"/>
                <w:sz w:val="20"/>
                <w:vertAlign w:val="subscript"/>
                <w:lang w:val="es-CO" w:eastAsia="es-CO"/>
              </w:rPr>
              <w:t>j,1</w:t>
            </w:r>
            <w:bookmarkEnd w:id="32"/>
            <w:bookmarkEnd w:id="33"/>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2, IPT</w:t>
            </w:r>
            <w:r>
              <w:rPr>
                <w:color w:val="000000"/>
                <w:sz w:val="20"/>
                <w:lang w:val="es-CO" w:eastAsia="es-CO"/>
              </w:rPr>
              <w:t>S</w:t>
            </w:r>
            <w:r w:rsidRPr="00446CF7">
              <w:rPr>
                <w:color w:val="000000"/>
                <w:sz w:val="20"/>
                <w:vertAlign w:val="subscript"/>
                <w:lang w:val="es-CO" w:eastAsia="es-CO"/>
              </w:rPr>
              <w:t>j,2</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3, IPT</w:t>
            </w:r>
            <w:r>
              <w:rPr>
                <w:color w:val="000000"/>
                <w:sz w:val="20"/>
                <w:lang w:val="es-CO" w:eastAsia="es-CO"/>
              </w:rPr>
              <w:t>S</w:t>
            </w:r>
            <w:r w:rsidRPr="00446CF7">
              <w:rPr>
                <w:color w:val="000000"/>
                <w:sz w:val="20"/>
                <w:vertAlign w:val="subscript"/>
                <w:lang w:val="es-CO" w:eastAsia="es-CO"/>
              </w:rPr>
              <w:t>j,3</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4, IPT</w:t>
            </w:r>
            <w:r>
              <w:rPr>
                <w:color w:val="000000"/>
                <w:sz w:val="20"/>
                <w:lang w:val="es-CO" w:eastAsia="es-CO"/>
              </w:rPr>
              <w:t>S</w:t>
            </w:r>
            <w:r w:rsidRPr="00446CF7">
              <w:rPr>
                <w:color w:val="000000"/>
                <w:sz w:val="20"/>
                <w:vertAlign w:val="subscript"/>
                <w:lang w:val="es-CO" w:eastAsia="es-CO"/>
              </w:rPr>
              <w:t>j,4</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5, IPT</w:t>
            </w:r>
            <w:r>
              <w:rPr>
                <w:color w:val="000000"/>
                <w:sz w:val="20"/>
                <w:lang w:val="es-CO" w:eastAsia="es-CO"/>
              </w:rPr>
              <w:t>S</w:t>
            </w:r>
            <w:r w:rsidRPr="00446CF7">
              <w:rPr>
                <w:color w:val="000000"/>
                <w:sz w:val="20"/>
                <w:vertAlign w:val="subscript"/>
                <w:lang w:val="es-CO" w:eastAsia="es-CO"/>
              </w:rPr>
              <w:t>j,5</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6, IPT</w:t>
            </w:r>
            <w:r>
              <w:rPr>
                <w:color w:val="000000"/>
                <w:sz w:val="20"/>
                <w:lang w:val="es-CO" w:eastAsia="es-CO"/>
              </w:rPr>
              <w:t>S</w:t>
            </w:r>
            <w:r w:rsidRPr="00446CF7">
              <w:rPr>
                <w:color w:val="000000"/>
                <w:sz w:val="20"/>
                <w:vertAlign w:val="subscript"/>
                <w:lang w:val="es-CO" w:eastAsia="es-CO"/>
              </w:rPr>
              <w:t>j,6</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7, IPT</w:t>
            </w:r>
            <w:r>
              <w:rPr>
                <w:color w:val="000000"/>
                <w:sz w:val="20"/>
                <w:lang w:val="es-CO" w:eastAsia="es-CO"/>
              </w:rPr>
              <w:t>S</w:t>
            </w:r>
            <w:r w:rsidRPr="00446CF7">
              <w:rPr>
                <w:color w:val="000000"/>
                <w:sz w:val="20"/>
                <w:vertAlign w:val="subscript"/>
                <w:lang w:val="es-CO" w:eastAsia="es-CO"/>
              </w:rPr>
              <w:t>j,7</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8, IPT</w:t>
            </w:r>
            <w:r>
              <w:rPr>
                <w:color w:val="000000"/>
                <w:sz w:val="20"/>
                <w:lang w:val="es-CO" w:eastAsia="es-CO"/>
              </w:rPr>
              <w:t>S</w:t>
            </w:r>
            <w:r w:rsidRPr="00446CF7">
              <w:rPr>
                <w:color w:val="000000"/>
                <w:sz w:val="20"/>
                <w:vertAlign w:val="subscript"/>
                <w:lang w:val="es-CO" w:eastAsia="es-CO"/>
              </w:rPr>
              <w:t>j,8</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keepNext/>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9, IPT</w:t>
            </w:r>
            <w:r>
              <w:rPr>
                <w:color w:val="000000"/>
                <w:sz w:val="20"/>
                <w:lang w:val="es-CO" w:eastAsia="es-CO"/>
              </w:rPr>
              <w:t>S</w:t>
            </w:r>
            <w:r w:rsidRPr="00446CF7">
              <w:rPr>
                <w:color w:val="000000"/>
                <w:sz w:val="20"/>
                <w:vertAlign w:val="subscript"/>
                <w:lang w:val="es-CO" w:eastAsia="es-CO"/>
              </w:rPr>
              <w:t>j,9</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keepNext/>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r w:rsidR="00A71B19" w:rsidRPr="00446CF7" w:rsidTr="00FA1C52">
        <w:trPr>
          <w:trHeight w:val="315"/>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A71B19" w:rsidRPr="00446CF7" w:rsidRDefault="00A71B19" w:rsidP="00FA1C52">
            <w:pPr>
              <w:jc w:val="left"/>
              <w:rPr>
                <w:color w:val="000000"/>
                <w:sz w:val="20"/>
                <w:lang w:val="es-CO" w:eastAsia="es-CO"/>
              </w:rPr>
            </w:pPr>
            <w:r>
              <w:rPr>
                <w:color w:val="000000"/>
                <w:sz w:val="20"/>
                <w:lang w:val="es-CO" w:eastAsia="es-CO"/>
              </w:rPr>
              <w:t xml:space="preserve">  </w:t>
            </w:r>
            <w:r w:rsidRPr="00446CF7">
              <w:rPr>
                <w:color w:val="000000"/>
                <w:sz w:val="20"/>
                <w:lang w:val="es-CO" w:eastAsia="es-CO"/>
              </w:rPr>
              <w:t>Periodo de evaluación 10, IPT</w:t>
            </w:r>
            <w:r>
              <w:rPr>
                <w:color w:val="000000"/>
                <w:sz w:val="20"/>
                <w:lang w:val="es-CO" w:eastAsia="es-CO"/>
              </w:rPr>
              <w:t>S</w:t>
            </w:r>
            <w:r w:rsidRPr="00446CF7">
              <w:rPr>
                <w:color w:val="000000"/>
                <w:sz w:val="20"/>
                <w:vertAlign w:val="subscript"/>
                <w:lang w:val="es-CO" w:eastAsia="es-CO"/>
              </w:rPr>
              <w:t>j,10</w:t>
            </w:r>
          </w:p>
        </w:tc>
        <w:tc>
          <w:tcPr>
            <w:tcW w:w="2126" w:type="dxa"/>
            <w:tcBorders>
              <w:top w:val="nil"/>
              <w:left w:val="nil"/>
              <w:bottom w:val="single" w:sz="4" w:space="0" w:color="auto"/>
              <w:right w:val="single" w:sz="4" w:space="0" w:color="auto"/>
            </w:tcBorders>
            <w:shd w:val="clear" w:color="auto" w:fill="auto"/>
            <w:noWrap/>
            <w:vAlign w:val="bottom"/>
            <w:hideMark/>
          </w:tcPr>
          <w:p w:rsidR="00A71B19" w:rsidRPr="00446CF7" w:rsidRDefault="00A71B19" w:rsidP="00FA1C52">
            <w:pPr>
              <w:jc w:val="left"/>
              <w:rPr>
                <w:rFonts w:ascii="Calibri" w:hAnsi="Calibri"/>
                <w:color w:val="000000"/>
                <w:sz w:val="20"/>
                <w:lang w:val="es-CO" w:eastAsia="es-CO"/>
              </w:rPr>
            </w:pPr>
            <w:r w:rsidRPr="00446CF7">
              <w:rPr>
                <w:rFonts w:ascii="Calibri" w:hAnsi="Calibri"/>
                <w:color w:val="000000"/>
                <w:sz w:val="20"/>
                <w:szCs w:val="22"/>
                <w:lang w:val="es-CO" w:eastAsia="es-CO"/>
              </w:rPr>
              <w:t> </w:t>
            </w:r>
          </w:p>
        </w:tc>
      </w:tr>
    </w:tbl>
    <w:p w:rsidR="00A71B19" w:rsidRPr="00896BC1" w:rsidRDefault="00A71B19" w:rsidP="00A71B19">
      <w:pPr>
        <w:rPr>
          <w:lang w:val="es-CO"/>
        </w:rPr>
      </w:pPr>
    </w:p>
    <w:p w:rsidR="00A71B19" w:rsidRDefault="00A71B19" w:rsidP="00A71B19">
      <w:pPr>
        <w:rPr>
          <w:lang w:val="es-CO"/>
        </w:rPr>
      </w:pPr>
      <w:r>
        <w:rPr>
          <w:lang w:val="es-CO"/>
        </w:rPr>
        <w:t xml:space="preserve">Las metas de reducción de pérdidas de cada período de evaluación deben cumplir con la siguiente condición: </w:t>
      </w:r>
    </w:p>
    <w:p w:rsidR="00A71B19" w:rsidRDefault="00A71B19" w:rsidP="00A71B19">
      <w:pPr>
        <w:rPr>
          <w:lang w:val="es-CO"/>
        </w:rPr>
      </w:pPr>
    </w:p>
    <w:p w:rsidR="00A71B19" w:rsidRDefault="00822579" w:rsidP="00A71B19">
      <w:pPr>
        <w:jc w:val="center"/>
        <w:rPr>
          <w:lang w:val="es-CO"/>
        </w:rPr>
      </w:pPr>
      <m:oMathPara>
        <m:oMath>
          <m:sSub>
            <m:sSubPr>
              <m:ctrlPr>
                <w:rPr>
                  <w:rFonts w:ascii="Cambria Math" w:hAnsi="Cambria Math"/>
                  <w:i/>
                  <w:lang w:val="es-CO"/>
                </w:rPr>
              </m:ctrlPr>
            </m:sSubPr>
            <m:e>
              <m:r>
                <m:rPr>
                  <m:sty m:val="p"/>
                </m:rPr>
                <w:rPr>
                  <w:rFonts w:ascii="Cambria Math" w:hAnsi="Cambria Math"/>
                  <w:lang w:val="es-CO"/>
                </w:rPr>
                <m:t>IPTS</m:t>
              </m:r>
            </m:e>
            <m:sub>
              <m:r>
                <m:rPr>
                  <m:sty m:val="p"/>
                </m:rPr>
                <w:rPr>
                  <w:rFonts w:ascii="Cambria Math" w:hAnsi="Cambria Math"/>
                  <w:vertAlign w:val="subscript"/>
                  <w:lang w:val="es-CO"/>
                </w:rPr>
                <m:t>j,s</m:t>
              </m:r>
            </m:sub>
          </m:sSub>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IPTS</m:t>
              </m:r>
            </m:e>
            <m:sub>
              <m:r>
                <m:rPr>
                  <m:sty m:val="p"/>
                </m:rPr>
                <w:rPr>
                  <w:rFonts w:ascii="Cambria Math" w:hAnsi="Cambria Math"/>
                  <w:vertAlign w:val="subscript"/>
                  <w:lang w:val="es-CO"/>
                </w:rPr>
                <m:t>j,s+2</m:t>
              </m:r>
            </m:sub>
          </m:sSub>
          <m:r>
            <m:rPr>
              <m:sty m:val="p"/>
            </m:rPr>
            <w:rPr>
              <w:rFonts w:ascii="Cambria Math" w:hAnsi="Cambria Math"/>
              <w:lang w:val="es-CO"/>
            </w:rPr>
            <m:t>&lt;</m:t>
          </m:r>
          <m:r>
            <w:rPr>
              <w:rFonts w:ascii="Cambria Math" w:hAnsi="Cambria Math"/>
              <w:lang w:val="es-CO"/>
            </w:rPr>
            <m:t>0.4*</m:t>
          </m:r>
          <m:d>
            <m:dPr>
              <m:ctrlPr>
                <w:rPr>
                  <w:rFonts w:ascii="Cambria Math" w:hAnsi="Cambria Math"/>
                  <w:i/>
                  <w:lang w:val="es-CO"/>
                </w:rPr>
              </m:ctrlPr>
            </m:dPr>
            <m:e>
              <m:sSub>
                <m:sSubPr>
                  <m:ctrlPr>
                    <w:rPr>
                      <w:rFonts w:ascii="Cambria Math" w:hAnsi="Cambria Math"/>
                      <w:i/>
                      <w:lang w:val="es-CO"/>
                    </w:rPr>
                  </m:ctrlPr>
                </m:sSubPr>
                <m:e>
                  <m:r>
                    <m:rPr>
                      <m:sty m:val="p"/>
                    </m:rPr>
                    <w:rPr>
                      <w:rFonts w:ascii="Cambria Math" w:hAnsi="Cambria Math"/>
                      <w:lang w:val="es-CO"/>
                    </w:rPr>
                    <m:t>IPT</m:t>
                  </m:r>
                </m:e>
                <m:sub>
                  <m:r>
                    <m:rPr>
                      <m:sty m:val="p"/>
                    </m:rPr>
                    <w:rPr>
                      <w:rFonts w:ascii="Cambria Math" w:hAnsi="Cambria Math"/>
                      <w:vertAlign w:val="subscript"/>
                      <w:lang w:val="es-CO"/>
                    </w:rPr>
                    <m:t>j,0</m:t>
                  </m:r>
                </m:sub>
              </m:sSub>
              <m:r>
                <m:rPr>
                  <m:sty m:val="p"/>
                </m:rPr>
                <w:rPr>
                  <w:rFonts w:ascii="Cambria Math" w:hAnsi="Cambria Math"/>
                  <w:lang w:val="es-CO"/>
                </w:rPr>
                <m:t>-</m:t>
              </m:r>
              <m:sSub>
                <m:sSubPr>
                  <m:ctrlPr>
                    <w:rPr>
                      <w:rFonts w:ascii="Cambria Math" w:hAnsi="Cambria Math"/>
                      <w:lang w:val="es-CO"/>
                    </w:rPr>
                  </m:ctrlPr>
                </m:sSubPr>
                <m:e>
                  <m:r>
                    <m:rPr>
                      <m:sty m:val="p"/>
                    </m:rPr>
                    <w:rPr>
                      <w:rFonts w:ascii="Cambria Math" w:hAnsi="Cambria Math"/>
                      <w:lang w:val="es-CO"/>
                    </w:rPr>
                    <m:t>IPTS</m:t>
                  </m:r>
                </m:e>
                <m:sub>
                  <m:r>
                    <m:rPr>
                      <m:sty m:val="p"/>
                    </m:rPr>
                    <w:rPr>
                      <w:rFonts w:ascii="Cambria Math" w:hAnsi="Cambria Math"/>
                      <w:vertAlign w:val="subscript"/>
                      <w:lang w:val="es-CO"/>
                    </w:rPr>
                    <m:t>j,10</m:t>
                  </m:r>
                </m:sub>
              </m:sSub>
            </m:e>
          </m:d>
        </m:oMath>
      </m:oMathPara>
    </w:p>
    <w:p w:rsidR="00A71B19" w:rsidRDefault="00A71B19" w:rsidP="00A71B19">
      <w:pPr>
        <w:rPr>
          <w:lang w:val="es-CO"/>
        </w:rPr>
      </w:pPr>
      <w:r>
        <w:rPr>
          <w:lang w:val="es-CO"/>
        </w:rPr>
        <w:t xml:space="preserve">Donde: </w:t>
      </w:r>
    </w:p>
    <w:p w:rsidR="00A71B19" w:rsidRDefault="00A71B19" w:rsidP="00A71B19">
      <w:pPr>
        <w:rPr>
          <w:lang w:val="es-CO"/>
        </w:rPr>
      </w:pPr>
    </w:p>
    <w:p w:rsidR="00A71B19" w:rsidRDefault="00A71B19" w:rsidP="00A71B19">
      <w:pPr>
        <w:ind w:left="1416" w:hanging="1416"/>
        <w:rPr>
          <w:lang w:val="es-CO"/>
        </w:rPr>
      </w:pPr>
      <w:r>
        <w:rPr>
          <w:lang w:val="es-CO"/>
        </w:rPr>
        <w:t xml:space="preserve">PTSj,s:  </w:t>
      </w:r>
      <w:r>
        <w:rPr>
          <w:lang w:val="es-CO"/>
        </w:rPr>
        <w:tab/>
        <w:t xml:space="preserve">Índice de Pérdidas Totales de la Senda propuesto por el OR j en el período de evaluación </w:t>
      </w:r>
      <w:r w:rsidRPr="00627F8D">
        <w:rPr>
          <w:i/>
          <w:lang w:val="es-CO"/>
        </w:rPr>
        <w:t>s</w:t>
      </w:r>
      <w:r>
        <w:rPr>
          <w:lang w:val="es-CO"/>
        </w:rPr>
        <w:t xml:space="preserve"> al momento de presentación del plan.  </w:t>
      </w:r>
    </w:p>
    <w:p w:rsidR="00A71B19" w:rsidRPr="004D234E" w:rsidRDefault="00A71B19" w:rsidP="00A71B19">
      <w:pPr>
        <w:tabs>
          <w:tab w:val="left" w:pos="3652"/>
        </w:tabs>
        <w:rPr>
          <w:lang w:val="es-CO"/>
        </w:rPr>
      </w:pPr>
      <w:r>
        <w:rPr>
          <w:lang w:val="es-CO"/>
        </w:rPr>
        <w:tab/>
      </w:r>
    </w:p>
    <w:p w:rsidR="00A71B19" w:rsidRPr="00B15811" w:rsidRDefault="00A71B19" w:rsidP="00A71B19">
      <w:pPr>
        <w:pStyle w:val="Ttulo2"/>
      </w:pPr>
      <w:bookmarkStart w:id="34" w:name="_Ref263255764"/>
      <w:bookmarkStart w:id="35" w:name="_Toc280712145"/>
      <w:r w:rsidRPr="00402DAB">
        <w:t>Formato de actividades a desarrollar</w:t>
      </w:r>
      <w:bookmarkEnd w:id="34"/>
      <w:bookmarkEnd w:id="35"/>
    </w:p>
    <w:tbl>
      <w:tblPr>
        <w:tblW w:w="9433" w:type="dxa"/>
        <w:tblInd w:w="70" w:type="dxa"/>
        <w:tblCellMar>
          <w:left w:w="70" w:type="dxa"/>
          <w:right w:w="70" w:type="dxa"/>
        </w:tblCellMar>
        <w:tblLook w:val="04A0"/>
      </w:tblPr>
      <w:tblGrid>
        <w:gridCol w:w="577"/>
        <w:gridCol w:w="6071"/>
        <w:gridCol w:w="557"/>
        <w:gridCol w:w="557"/>
        <w:gridCol w:w="557"/>
        <w:gridCol w:w="557"/>
        <w:gridCol w:w="557"/>
      </w:tblGrid>
      <w:tr w:rsidR="00A71B19" w:rsidRPr="00BA2BEA" w:rsidTr="00FA1C52">
        <w:trPr>
          <w:trHeight w:val="315"/>
        </w:trPr>
        <w:tc>
          <w:tcPr>
            <w:tcW w:w="577" w:type="dxa"/>
            <w:tcBorders>
              <w:top w:val="nil"/>
              <w:left w:val="nil"/>
              <w:bottom w:val="nil"/>
              <w:right w:val="nil"/>
            </w:tcBorders>
            <w:shd w:val="clear" w:color="auto" w:fill="auto"/>
            <w:noWrap/>
            <w:vAlign w:val="bottom"/>
            <w:hideMark/>
          </w:tcPr>
          <w:p w:rsidR="00A71B19" w:rsidRPr="00BA2BEA" w:rsidRDefault="00A71B19" w:rsidP="00FA1C52">
            <w:pPr>
              <w:keepNext/>
              <w:jc w:val="right"/>
              <w:rPr>
                <w:b/>
                <w:bCs/>
                <w:color w:val="000000"/>
                <w:sz w:val="20"/>
                <w:szCs w:val="20"/>
                <w:lang w:val="es-CO" w:eastAsia="es-CO"/>
              </w:rPr>
            </w:pPr>
          </w:p>
        </w:tc>
        <w:tc>
          <w:tcPr>
            <w:tcW w:w="8856" w:type="dxa"/>
            <w:gridSpan w:val="6"/>
            <w:tcBorders>
              <w:top w:val="nil"/>
              <w:left w:val="nil"/>
              <w:bottom w:val="nil"/>
              <w:right w:val="nil"/>
            </w:tcBorders>
            <w:shd w:val="clear" w:color="auto" w:fill="auto"/>
            <w:noWrap/>
            <w:vAlign w:val="bottom"/>
            <w:hideMark/>
          </w:tcPr>
          <w:p w:rsidR="00A71B19" w:rsidRPr="00BA2BEA" w:rsidRDefault="00A71B19" w:rsidP="00FA1C52">
            <w:pPr>
              <w:keepNext/>
              <w:jc w:val="left"/>
              <w:rPr>
                <w:b/>
                <w:bCs/>
                <w:color w:val="000000"/>
                <w:sz w:val="20"/>
                <w:szCs w:val="20"/>
                <w:lang w:val="es-CO" w:eastAsia="es-CO"/>
              </w:rPr>
            </w:pPr>
          </w:p>
        </w:tc>
      </w:tr>
      <w:tr w:rsidR="00A71B19" w:rsidRPr="00BA2BEA" w:rsidTr="00FA1C52">
        <w:trPr>
          <w:trHeight w:val="300"/>
        </w:trPr>
        <w:tc>
          <w:tcPr>
            <w:tcW w:w="577"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 </w:t>
            </w:r>
          </w:p>
        </w:tc>
        <w:tc>
          <w:tcPr>
            <w:tcW w:w="607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DESCRIPCION</w:t>
            </w:r>
          </w:p>
        </w:tc>
        <w:tc>
          <w:tcPr>
            <w:tcW w:w="557"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año 1</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año 2</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año 3</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año 4</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center"/>
              <w:rPr>
                <w:b/>
                <w:bCs/>
                <w:sz w:val="20"/>
                <w:szCs w:val="20"/>
                <w:lang w:val="es-CO" w:eastAsia="es-CO"/>
              </w:rPr>
            </w:pPr>
            <w:r w:rsidRPr="00BA2BEA">
              <w:rPr>
                <w:b/>
                <w:bCs/>
                <w:sz w:val="20"/>
                <w:szCs w:val="20"/>
                <w:lang w:val="es-CO" w:eastAsia="es-CO"/>
              </w:rPr>
              <w:t>año 5</w:t>
            </w:r>
          </w:p>
        </w:tc>
      </w:tr>
      <w:tr w:rsidR="00A71B19" w:rsidRPr="00BA2BEA" w:rsidTr="00FA1C52">
        <w:trPr>
          <w:trHeight w:val="300"/>
        </w:trPr>
        <w:tc>
          <w:tcPr>
            <w:tcW w:w="577" w:type="dxa"/>
            <w:tcBorders>
              <w:top w:val="single" w:sz="2" w:space="0" w:color="auto"/>
              <w:left w:val="single" w:sz="4" w:space="0" w:color="auto"/>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1.1</w:t>
            </w:r>
          </w:p>
        </w:tc>
        <w:tc>
          <w:tcPr>
            <w:tcW w:w="6071" w:type="dxa"/>
            <w:tcBorders>
              <w:top w:val="single" w:sz="2" w:space="0" w:color="auto"/>
              <w:left w:val="nil"/>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Instalación medida entre niveles de tensión del sistema del OR</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1.2</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Instalación macromedición en arranque de alimentadores</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1.3</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3607FC" w:rsidRDefault="00A71B19" w:rsidP="00FA1C52">
            <w:pPr>
              <w:keepNext/>
              <w:jc w:val="left"/>
              <w:rPr>
                <w:color w:val="000000"/>
                <w:sz w:val="20"/>
                <w:szCs w:val="20"/>
                <w:lang w:val="es-CO" w:eastAsia="es-CO"/>
              </w:rPr>
            </w:pPr>
            <w:r w:rsidRPr="003607FC">
              <w:rPr>
                <w:color w:val="000000"/>
                <w:sz w:val="20"/>
                <w:szCs w:val="20"/>
                <w:lang w:val="es-CO" w:eastAsia="es-CO"/>
              </w:rPr>
              <w:t xml:space="preserve">Instalación macromedición en transformadores de distribución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1.4</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Instalación micromedición</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1.5</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Inspección de instalaciones</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1.6</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Revisión de medidores</w:t>
            </w:r>
            <w:r>
              <w:rPr>
                <w:color w:val="000000"/>
                <w:sz w:val="20"/>
                <w:szCs w:val="20"/>
                <w:lang w:val="es-CO" w:eastAsia="es-CO"/>
              </w:rPr>
              <w:t xml:space="preserve"> de usuarios</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1.7</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Instalación redes antifraude</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1.8</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Instalación de sistemas de medición centralizada</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1.9</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Normalización de usuarios</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1.10</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Balance energético</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1.11</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Gestión comercial</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1.12</w:t>
            </w:r>
          </w:p>
        </w:tc>
        <w:tc>
          <w:tcPr>
            <w:tcW w:w="6071" w:type="dxa"/>
            <w:tcBorders>
              <w:top w:val="nil"/>
              <w:left w:val="nil"/>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Gestión social</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single" w:sz="4" w:space="0" w:color="auto"/>
              <w:bottom w:val="single" w:sz="4" w:space="0" w:color="auto"/>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1.13</w:t>
            </w:r>
          </w:p>
        </w:tc>
        <w:tc>
          <w:tcPr>
            <w:tcW w:w="6071" w:type="dxa"/>
            <w:tcBorders>
              <w:top w:val="nil"/>
              <w:left w:val="single" w:sz="4" w:space="0" w:color="auto"/>
              <w:bottom w:val="single" w:sz="4" w:space="0" w:color="auto"/>
              <w:right w:val="single" w:sz="4" w:space="0" w:color="auto"/>
            </w:tcBorders>
            <w:shd w:val="clear" w:color="auto" w:fill="auto"/>
            <w:noWrap/>
            <w:vAlign w:val="bottom"/>
            <w:hideMark/>
          </w:tcPr>
          <w:p w:rsidR="00A71B19" w:rsidRPr="00DD2E40" w:rsidRDefault="00A71B19" w:rsidP="00FA1C52">
            <w:pPr>
              <w:keepNext/>
              <w:jc w:val="left"/>
              <w:rPr>
                <w:color w:val="000000"/>
                <w:sz w:val="20"/>
                <w:szCs w:val="20"/>
                <w:lang w:val="es-CO" w:eastAsia="es-CO"/>
              </w:rPr>
            </w:pPr>
            <w:r w:rsidRPr="00DD2E40">
              <w:rPr>
                <w:color w:val="000000"/>
                <w:sz w:val="20"/>
                <w:szCs w:val="20"/>
                <w:lang w:val="es-CO" w:eastAsia="es-CO"/>
              </w:rPr>
              <w:t>Sistemas de gestión de pérdidas</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c>
          <w:tcPr>
            <w:tcW w:w="557" w:type="dxa"/>
            <w:tcBorders>
              <w:top w:val="nil"/>
              <w:left w:val="nil"/>
              <w:bottom w:val="single" w:sz="4" w:space="0" w:color="auto"/>
              <w:right w:val="single" w:sz="4" w:space="0" w:color="auto"/>
            </w:tcBorders>
            <w:shd w:val="clear" w:color="auto" w:fill="auto"/>
            <w:noWrap/>
            <w:vAlign w:val="bottom"/>
            <w:hideMark/>
          </w:tcPr>
          <w:p w:rsidR="00A71B19" w:rsidRPr="00BA2BEA" w:rsidRDefault="00A71B19" w:rsidP="00FA1C52">
            <w:pPr>
              <w:keepNext/>
              <w:jc w:val="left"/>
              <w:rPr>
                <w:color w:val="000000"/>
                <w:sz w:val="20"/>
                <w:szCs w:val="20"/>
                <w:lang w:val="es-CO" w:eastAsia="es-CO"/>
              </w:rPr>
            </w:pPr>
            <w:r w:rsidRPr="00BA2BEA">
              <w:rPr>
                <w:color w:val="000000"/>
                <w:sz w:val="20"/>
                <w:szCs w:val="20"/>
                <w:lang w:val="es-CO" w:eastAsia="es-CO"/>
              </w:rPr>
              <w:t> </w:t>
            </w: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BA2BEA" w:rsidRDefault="00A71B19" w:rsidP="00FA1C52">
            <w:pPr>
              <w:keepNext/>
              <w:jc w:val="right"/>
              <w:rPr>
                <w:b/>
                <w:bCs/>
                <w:color w:val="000000"/>
                <w:sz w:val="20"/>
                <w:szCs w:val="20"/>
                <w:lang w:val="es-CO" w:eastAsia="es-CO"/>
              </w:rPr>
            </w:pPr>
          </w:p>
        </w:tc>
        <w:tc>
          <w:tcPr>
            <w:tcW w:w="6071" w:type="dxa"/>
            <w:tcBorders>
              <w:top w:val="nil"/>
              <w:left w:val="nil"/>
              <w:bottom w:val="nil"/>
              <w:right w:val="nil"/>
            </w:tcBorders>
            <w:shd w:val="clear" w:color="auto" w:fill="auto"/>
            <w:noWrap/>
            <w:vAlign w:val="bottom"/>
            <w:hideMark/>
          </w:tcPr>
          <w:p w:rsidR="00A71B19" w:rsidRPr="00496605" w:rsidRDefault="00A71B19" w:rsidP="00FA1C52">
            <w:pPr>
              <w:keepNext/>
              <w:jc w:val="left"/>
              <w:rPr>
                <w:color w:val="000000"/>
                <w:sz w:val="20"/>
                <w:szCs w:val="20"/>
                <w:highlight w:val="yellow"/>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BA2BEA" w:rsidRDefault="00A71B19" w:rsidP="00FA1C52">
            <w:pPr>
              <w:keepNext/>
              <w:jc w:val="right"/>
              <w:rPr>
                <w:b/>
                <w:bCs/>
                <w:color w:val="000000"/>
                <w:sz w:val="20"/>
                <w:szCs w:val="20"/>
                <w:lang w:val="es-CO" w:eastAsia="es-CO"/>
              </w:rPr>
            </w:pPr>
          </w:p>
        </w:tc>
        <w:tc>
          <w:tcPr>
            <w:tcW w:w="6071" w:type="dxa"/>
            <w:tcBorders>
              <w:top w:val="nil"/>
              <w:left w:val="nil"/>
              <w:bottom w:val="nil"/>
              <w:right w:val="nil"/>
            </w:tcBorders>
            <w:shd w:val="clear" w:color="auto" w:fill="auto"/>
            <w:noWrap/>
            <w:vAlign w:val="bottom"/>
            <w:hideMark/>
          </w:tcPr>
          <w:p w:rsidR="00A71B19" w:rsidRPr="00BA2BEA" w:rsidRDefault="00A71B19" w:rsidP="00FA1C52">
            <w:pPr>
              <w:keepNext/>
              <w:jc w:val="right"/>
              <w:rPr>
                <w:color w:val="000000"/>
                <w:sz w:val="20"/>
                <w:szCs w:val="20"/>
                <w:lang w:val="es-CO" w:eastAsia="es-CO"/>
              </w:rPr>
            </w:pPr>
            <w:r w:rsidRPr="00BA2BEA">
              <w:rPr>
                <w:color w:val="000000"/>
                <w:sz w:val="20"/>
                <w:szCs w:val="20"/>
                <w:lang w:val="es-CO" w:eastAsia="es-CO"/>
              </w:rPr>
              <w:t>TOTAL</w:t>
            </w:r>
          </w:p>
        </w:tc>
        <w:tc>
          <w:tcPr>
            <w:tcW w:w="557"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A71B19" w:rsidRPr="00BA2BEA" w:rsidRDefault="00A71B19" w:rsidP="00FA1C52">
            <w:pPr>
              <w:keepNext/>
              <w:jc w:val="right"/>
              <w:rPr>
                <w:b/>
                <w:bCs/>
                <w:color w:val="000000"/>
                <w:sz w:val="20"/>
                <w:szCs w:val="20"/>
                <w:lang w:val="es-CO" w:eastAsia="es-CO"/>
              </w:rPr>
            </w:pPr>
          </w:p>
        </w:tc>
        <w:tc>
          <w:tcPr>
            <w:tcW w:w="557" w:type="dxa"/>
            <w:tcBorders>
              <w:top w:val="single" w:sz="4" w:space="0" w:color="auto"/>
              <w:left w:val="nil"/>
              <w:bottom w:val="single" w:sz="4" w:space="0" w:color="auto"/>
              <w:right w:val="single" w:sz="4" w:space="0" w:color="auto"/>
            </w:tcBorders>
            <w:shd w:val="clear" w:color="000000" w:fill="D8D8D8"/>
            <w:noWrap/>
            <w:vAlign w:val="bottom"/>
            <w:hideMark/>
          </w:tcPr>
          <w:p w:rsidR="00A71B19" w:rsidRPr="00BA2BEA" w:rsidRDefault="00A71B19" w:rsidP="00FA1C52">
            <w:pPr>
              <w:keepNext/>
              <w:jc w:val="right"/>
              <w:rPr>
                <w:b/>
                <w:bCs/>
                <w:color w:val="000000"/>
                <w:sz w:val="20"/>
                <w:szCs w:val="20"/>
                <w:lang w:val="es-CO" w:eastAsia="es-CO"/>
              </w:rPr>
            </w:pPr>
          </w:p>
        </w:tc>
        <w:tc>
          <w:tcPr>
            <w:tcW w:w="557" w:type="dxa"/>
            <w:tcBorders>
              <w:top w:val="single" w:sz="4" w:space="0" w:color="auto"/>
              <w:left w:val="nil"/>
              <w:bottom w:val="single" w:sz="4" w:space="0" w:color="auto"/>
              <w:right w:val="single" w:sz="4" w:space="0" w:color="auto"/>
            </w:tcBorders>
            <w:shd w:val="clear" w:color="000000" w:fill="D8D8D8"/>
            <w:noWrap/>
            <w:vAlign w:val="bottom"/>
            <w:hideMark/>
          </w:tcPr>
          <w:p w:rsidR="00A71B19" w:rsidRPr="00BA2BEA" w:rsidRDefault="00A71B19" w:rsidP="00FA1C52">
            <w:pPr>
              <w:keepNext/>
              <w:jc w:val="right"/>
              <w:rPr>
                <w:b/>
                <w:bCs/>
                <w:color w:val="000000"/>
                <w:sz w:val="20"/>
                <w:szCs w:val="20"/>
                <w:lang w:val="es-CO" w:eastAsia="es-CO"/>
              </w:rPr>
            </w:pPr>
          </w:p>
        </w:tc>
        <w:tc>
          <w:tcPr>
            <w:tcW w:w="557" w:type="dxa"/>
            <w:tcBorders>
              <w:top w:val="single" w:sz="4" w:space="0" w:color="auto"/>
              <w:left w:val="nil"/>
              <w:bottom w:val="single" w:sz="4" w:space="0" w:color="auto"/>
              <w:right w:val="single" w:sz="4" w:space="0" w:color="auto"/>
            </w:tcBorders>
            <w:shd w:val="clear" w:color="000000" w:fill="D8D8D8"/>
            <w:noWrap/>
            <w:vAlign w:val="bottom"/>
            <w:hideMark/>
          </w:tcPr>
          <w:p w:rsidR="00A71B19" w:rsidRPr="00BA2BEA" w:rsidRDefault="00A71B19" w:rsidP="00FA1C52">
            <w:pPr>
              <w:keepNext/>
              <w:jc w:val="right"/>
              <w:rPr>
                <w:b/>
                <w:bCs/>
                <w:color w:val="000000"/>
                <w:sz w:val="20"/>
                <w:szCs w:val="20"/>
                <w:lang w:val="es-CO" w:eastAsia="es-CO"/>
              </w:rPr>
            </w:pPr>
          </w:p>
        </w:tc>
        <w:tc>
          <w:tcPr>
            <w:tcW w:w="557" w:type="dxa"/>
            <w:tcBorders>
              <w:top w:val="single" w:sz="4" w:space="0" w:color="auto"/>
              <w:left w:val="nil"/>
              <w:bottom w:val="single" w:sz="4" w:space="0" w:color="auto"/>
              <w:right w:val="single" w:sz="4" w:space="0" w:color="auto"/>
            </w:tcBorders>
            <w:shd w:val="clear" w:color="000000" w:fill="D8D8D8"/>
            <w:noWrap/>
            <w:vAlign w:val="bottom"/>
            <w:hideMark/>
          </w:tcPr>
          <w:p w:rsidR="00A71B19" w:rsidRPr="00BA2BEA" w:rsidRDefault="00A71B19" w:rsidP="00FA1C52">
            <w:pPr>
              <w:keepNext/>
              <w:jc w:val="right"/>
              <w:rPr>
                <w:b/>
                <w:bCs/>
                <w:color w:val="000000"/>
                <w:sz w:val="20"/>
                <w:szCs w:val="20"/>
                <w:lang w:val="es-CO" w:eastAsia="es-CO"/>
              </w:rPr>
            </w:pP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7742" w:type="dxa"/>
            <w:gridSpan w:val="4"/>
            <w:tcBorders>
              <w:top w:val="nil"/>
              <w:left w:val="nil"/>
              <w:bottom w:val="nil"/>
              <w:right w:val="nil"/>
            </w:tcBorders>
            <w:shd w:val="clear" w:color="auto" w:fill="auto"/>
            <w:noWrap/>
            <w:vAlign w:val="bottom"/>
            <w:hideMark/>
          </w:tcPr>
          <w:p w:rsidR="00A71B19" w:rsidRPr="00481AEB" w:rsidRDefault="00A71B19" w:rsidP="00FA1C52">
            <w:pPr>
              <w:keepNext/>
              <w:jc w:val="left"/>
              <w:rPr>
                <w:color w:val="000000"/>
                <w:sz w:val="18"/>
                <w:szCs w:val="18"/>
                <w:lang w:val="es-CO" w:eastAsia="es-CO"/>
              </w:rPr>
            </w:pPr>
            <w:r w:rsidRPr="00481AEB">
              <w:rPr>
                <w:color w:val="000000"/>
                <w:sz w:val="18"/>
                <w:szCs w:val="18"/>
                <w:lang w:val="es-CO" w:eastAsia="es-CO"/>
              </w:rPr>
              <w:t>Para los numerales 1.1 a 1.4 se debe indicar la cantidad de medidores a instalar</w:t>
            </w:r>
          </w:p>
        </w:tc>
        <w:tc>
          <w:tcPr>
            <w:tcW w:w="557" w:type="dxa"/>
            <w:tcBorders>
              <w:top w:val="nil"/>
              <w:left w:val="nil"/>
              <w:bottom w:val="nil"/>
              <w:right w:val="nil"/>
            </w:tcBorders>
            <w:shd w:val="clear" w:color="auto" w:fill="auto"/>
            <w:noWrap/>
            <w:vAlign w:val="bottom"/>
            <w:hideMark/>
          </w:tcPr>
          <w:p w:rsidR="00A71B19" w:rsidRDefault="00A71B19" w:rsidP="00FA1C52">
            <w:pPr>
              <w:keepNext/>
              <w:jc w:val="left"/>
              <w:rPr>
                <w:color w:val="000000"/>
                <w:sz w:val="22"/>
                <w:szCs w:val="22"/>
                <w:lang w:val="es-CO" w:eastAsia="es-CO"/>
              </w:rPr>
            </w:pPr>
          </w:p>
          <w:p w:rsidR="00A71B19" w:rsidRDefault="00A71B19" w:rsidP="00FA1C52">
            <w:pPr>
              <w:keepNext/>
              <w:jc w:val="left"/>
              <w:rPr>
                <w:color w:val="000000"/>
                <w:sz w:val="22"/>
                <w:szCs w:val="22"/>
                <w:lang w:val="es-CO" w:eastAsia="es-CO"/>
              </w:rPr>
            </w:pPr>
          </w:p>
          <w:p w:rsidR="00A71B19" w:rsidRDefault="00A71B19" w:rsidP="00FA1C52">
            <w:pPr>
              <w:keepNext/>
              <w:jc w:val="left"/>
              <w:rPr>
                <w:color w:val="000000"/>
                <w:sz w:val="22"/>
                <w:szCs w:val="22"/>
                <w:lang w:val="es-CO" w:eastAsia="es-CO"/>
              </w:rPr>
            </w:pPr>
          </w:p>
          <w:p w:rsidR="00A71B19" w:rsidRPr="00BF2BB4" w:rsidRDefault="00A71B19" w:rsidP="00FA1C52">
            <w:pPr>
              <w:keepNext/>
              <w:jc w:val="left"/>
              <w:rPr>
                <w:color w:val="000000"/>
                <w:sz w:val="22"/>
                <w:szCs w:val="22"/>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7185" w:type="dxa"/>
            <w:gridSpan w:val="3"/>
            <w:tcBorders>
              <w:top w:val="nil"/>
              <w:left w:val="nil"/>
              <w:bottom w:val="nil"/>
              <w:right w:val="nil"/>
            </w:tcBorders>
            <w:shd w:val="clear" w:color="auto" w:fill="auto"/>
            <w:noWrap/>
            <w:vAlign w:val="bottom"/>
            <w:hideMark/>
          </w:tcPr>
          <w:p w:rsidR="00A71B19" w:rsidRPr="00481AEB" w:rsidRDefault="00A71B19" w:rsidP="00FA1C52">
            <w:pPr>
              <w:keepNext/>
              <w:jc w:val="left"/>
              <w:rPr>
                <w:color w:val="000000"/>
                <w:sz w:val="18"/>
                <w:szCs w:val="18"/>
                <w:lang w:val="es-CO" w:eastAsia="es-CO"/>
              </w:rPr>
            </w:pPr>
            <w:r w:rsidRPr="00481AEB">
              <w:rPr>
                <w:color w:val="000000"/>
                <w:sz w:val="18"/>
                <w:szCs w:val="18"/>
                <w:lang w:val="es-CO" w:eastAsia="es-CO"/>
              </w:rPr>
              <w:t>Para el numeral 1.5 se debe indicar la cantidad de inspecciones a realizar</w:t>
            </w:r>
          </w:p>
        </w:tc>
        <w:tc>
          <w:tcPr>
            <w:tcW w:w="557" w:type="dxa"/>
            <w:tcBorders>
              <w:top w:val="nil"/>
              <w:left w:val="nil"/>
              <w:bottom w:val="nil"/>
              <w:right w:val="nil"/>
            </w:tcBorders>
            <w:shd w:val="clear" w:color="auto" w:fill="auto"/>
            <w:noWrap/>
            <w:vAlign w:val="bottom"/>
            <w:hideMark/>
          </w:tcPr>
          <w:p w:rsidR="00A71B19" w:rsidRPr="00481AEB" w:rsidRDefault="00A71B19" w:rsidP="00FA1C52">
            <w:pPr>
              <w:keepNext/>
              <w:jc w:val="left"/>
              <w:rPr>
                <w:color w:val="000000"/>
                <w:sz w:val="22"/>
                <w:szCs w:val="22"/>
                <w:lang w:val="es-CO" w:eastAsia="es-CO"/>
              </w:rPr>
            </w:pPr>
          </w:p>
        </w:tc>
        <w:tc>
          <w:tcPr>
            <w:tcW w:w="557" w:type="dxa"/>
            <w:tcBorders>
              <w:top w:val="nil"/>
              <w:left w:val="nil"/>
              <w:bottom w:val="nil"/>
              <w:right w:val="nil"/>
            </w:tcBorders>
            <w:shd w:val="clear" w:color="auto" w:fill="auto"/>
            <w:noWrap/>
            <w:vAlign w:val="bottom"/>
            <w:hideMark/>
          </w:tcPr>
          <w:p w:rsidR="00A71B19" w:rsidRPr="00BF2BB4" w:rsidRDefault="00A71B19" w:rsidP="00FA1C52">
            <w:pPr>
              <w:keepNext/>
              <w:jc w:val="left"/>
              <w:rPr>
                <w:color w:val="000000"/>
                <w:sz w:val="22"/>
                <w:szCs w:val="22"/>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7185" w:type="dxa"/>
            <w:gridSpan w:val="3"/>
            <w:tcBorders>
              <w:top w:val="nil"/>
              <w:left w:val="nil"/>
              <w:bottom w:val="nil"/>
              <w:right w:val="nil"/>
            </w:tcBorders>
            <w:shd w:val="clear" w:color="auto" w:fill="auto"/>
            <w:noWrap/>
            <w:vAlign w:val="bottom"/>
            <w:hideMark/>
          </w:tcPr>
          <w:p w:rsidR="00A71B19" w:rsidRPr="00481AEB" w:rsidRDefault="00A71B19" w:rsidP="00FA1C52">
            <w:pPr>
              <w:keepNext/>
              <w:jc w:val="left"/>
              <w:rPr>
                <w:color w:val="000000"/>
                <w:sz w:val="18"/>
                <w:szCs w:val="18"/>
                <w:lang w:val="es-CO" w:eastAsia="es-CO"/>
              </w:rPr>
            </w:pPr>
            <w:r w:rsidRPr="00481AEB">
              <w:rPr>
                <w:color w:val="000000"/>
                <w:sz w:val="18"/>
                <w:szCs w:val="18"/>
                <w:lang w:val="es-CO" w:eastAsia="es-CO"/>
              </w:rPr>
              <w:t>Para el numeral 1.6 se debe indicar la cantidad de revisiones a realizar</w:t>
            </w:r>
          </w:p>
        </w:tc>
        <w:tc>
          <w:tcPr>
            <w:tcW w:w="557" w:type="dxa"/>
            <w:tcBorders>
              <w:top w:val="nil"/>
              <w:left w:val="nil"/>
              <w:bottom w:val="nil"/>
              <w:right w:val="nil"/>
            </w:tcBorders>
            <w:shd w:val="clear" w:color="auto" w:fill="auto"/>
            <w:noWrap/>
            <w:vAlign w:val="bottom"/>
            <w:hideMark/>
          </w:tcPr>
          <w:p w:rsidR="00A71B19" w:rsidRPr="00481AEB" w:rsidRDefault="00A71B19" w:rsidP="00FA1C52">
            <w:pPr>
              <w:keepNext/>
              <w:jc w:val="left"/>
              <w:rPr>
                <w:color w:val="000000"/>
                <w:sz w:val="22"/>
                <w:szCs w:val="22"/>
                <w:lang w:val="es-CO" w:eastAsia="es-CO"/>
              </w:rPr>
            </w:pPr>
          </w:p>
        </w:tc>
        <w:tc>
          <w:tcPr>
            <w:tcW w:w="557" w:type="dxa"/>
            <w:tcBorders>
              <w:top w:val="nil"/>
              <w:left w:val="nil"/>
              <w:bottom w:val="nil"/>
              <w:right w:val="nil"/>
            </w:tcBorders>
            <w:shd w:val="clear" w:color="auto" w:fill="auto"/>
            <w:noWrap/>
            <w:vAlign w:val="bottom"/>
            <w:hideMark/>
          </w:tcPr>
          <w:p w:rsidR="00A71B19" w:rsidRPr="00BF2BB4" w:rsidRDefault="00A71B19" w:rsidP="00FA1C52">
            <w:pPr>
              <w:keepNext/>
              <w:jc w:val="left"/>
              <w:rPr>
                <w:color w:val="000000"/>
                <w:sz w:val="22"/>
                <w:szCs w:val="22"/>
                <w:lang w:val="es-CO" w:eastAsia="es-CO"/>
              </w:rPr>
            </w:pP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r w:rsidR="00A71B19" w:rsidRPr="00BA2BEA" w:rsidTr="00FA1C52">
        <w:trPr>
          <w:trHeight w:val="745"/>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8856" w:type="dxa"/>
            <w:gridSpan w:val="6"/>
            <w:tcBorders>
              <w:top w:val="nil"/>
              <w:left w:val="nil"/>
              <w:bottom w:val="nil"/>
              <w:right w:val="nil"/>
            </w:tcBorders>
            <w:shd w:val="clear" w:color="auto" w:fill="auto"/>
            <w:vAlign w:val="center"/>
            <w:hideMark/>
          </w:tcPr>
          <w:p w:rsidR="00A71B19" w:rsidRPr="00481AEB" w:rsidRDefault="00A71B19" w:rsidP="00FA1C52">
            <w:pPr>
              <w:keepNext/>
              <w:jc w:val="left"/>
              <w:rPr>
                <w:color w:val="000000"/>
                <w:sz w:val="18"/>
                <w:szCs w:val="18"/>
                <w:lang w:val="es-CO" w:eastAsia="es-CO"/>
              </w:rPr>
            </w:pPr>
            <w:r w:rsidRPr="00481AEB">
              <w:rPr>
                <w:color w:val="000000"/>
                <w:sz w:val="18"/>
                <w:szCs w:val="18"/>
                <w:lang w:val="es-CO" w:eastAsia="es-CO"/>
              </w:rPr>
              <w:t>Para el numeral 1.7 se debe indicar la cantidad de transformadores de distribución con redes antifraudes a instalar y la cantidad de usuarios en cada transformador</w:t>
            </w: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8299" w:type="dxa"/>
            <w:gridSpan w:val="5"/>
            <w:tcBorders>
              <w:top w:val="nil"/>
              <w:left w:val="nil"/>
              <w:bottom w:val="nil"/>
              <w:right w:val="nil"/>
            </w:tcBorders>
            <w:shd w:val="clear" w:color="auto" w:fill="auto"/>
            <w:noWrap/>
            <w:vAlign w:val="bottom"/>
            <w:hideMark/>
          </w:tcPr>
          <w:p w:rsidR="00A71B19" w:rsidRPr="003E21A4" w:rsidRDefault="00A71B19" w:rsidP="00FA1C52">
            <w:pPr>
              <w:keepNext/>
              <w:jc w:val="left"/>
              <w:rPr>
                <w:color w:val="000000"/>
                <w:sz w:val="18"/>
                <w:szCs w:val="18"/>
                <w:lang w:val="es-CO" w:eastAsia="es-CO"/>
              </w:rPr>
            </w:pPr>
            <w:r w:rsidRPr="003E21A4">
              <w:rPr>
                <w:color w:val="000000"/>
                <w:sz w:val="18"/>
                <w:szCs w:val="18"/>
                <w:lang w:val="es-CO" w:eastAsia="es-CO"/>
              </w:rPr>
              <w:t xml:space="preserve">Para el numeral 1.8 </w:t>
            </w:r>
            <w:r>
              <w:rPr>
                <w:color w:val="000000"/>
                <w:sz w:val="18"/>
                <w:szCs w:val="18"/>
                <w:lang w:val="es-CO" w:eastAsia="es-CO"/>
              </w:rPr>
              <w:t>similar al 1.7</w:t>
            </w: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r w:rsidR="00A71B19" w:rsidRPr="00BA2BEA" w:rsidTr="00FA1C52">
        <w:trPr>
          <w:trHeight w:val="300"/>
        </w:trPr>
        <w:tc>
          <w:tcPr>
            <w:tcW w:w="577" w:type="dxa"/>
            <w:tcBorders>
              <w:top w:val="nil"/>
              <w:left w:val="nil"/>
              <w:bottom w:val="nil"/>
              <w:right w:val="nil"/>
            </w:tcBorders>
            <w:shd w:val="clear" w:color="auto" w:fill="auto"/>
            <w:noWrap/>
            <w:vAlign w:val="bottom"/>
            <w:hideMark/>
          </w:tcPr>
          <w:p w:rsidR="00A71B19" w:rsidRPr="003E21A4" w:rsidRDefault="00A71B19" w:rsidP="00FA1C52">
            <w:pPr>
              <w:keepNext/>
              <w:jc w:val="right"/>
              <w:rPr>
                <w:b/>
                <w:bCs/>
                <w:color w:val="000000"/>
                <w:sz w:val="18"/>
                <w:szCs w:val="18"/>
                <w:lang w:val="es-CO" w:eastAsia="es-CO"/>
              </w:rPr>
            </w:pPr>
          </w:p>
        </w:tc>
        <w:tc>
          <w:tcPr>
            <w:tcW w:w="8299" w:type="dxa"/>
            <w:gridSpan w:val="5"/>
            <w:tcBorders>
              <w:top w:val="nil"/>
              <w:left w:val="nil"/>
              <w:bottom w:val="nil"/>
              <w:right w:val="nil"/>
            </w:tcBorders>
            <w:shd w:val="clear" w:color="auto" w:fill="auto"/>
            <w:noWrap/>
            <w:vAlign w:val="bottom"/>
            <w:hideMark/>
          </w:tcPr>
          <w:p w:rsidR="00A71B19" w:rsidRPr="003E21A4" w:rsidRDefault="00A71B19" w:rsidP="00FA1C52">
            <w:pPr>
              <w:keepNext/>
              <w:jc w:val="left"/>
              <w:rPr>
                <w:color w:val="000000"/>
                <w:sz w:val="18"/>
                <w:szCs w:val="18"/>
                <w:lang w:val="es-CO" w:eastAsia="es-CO"/>
              </w:rPr>
            </w:pPr>
            <w:r w:rsidRPr="003E21A4">
              <w:rPr>
                <w:color w:val="000000"/>
                <w:sz w:val="18"/>
                <w:szCs w:val="18"/>
                <w:lang w:val="es-CO" w:eastAsia="es-CO"/>
              </w:rPr>
              <w:t>Para el numeral 1.9 se debe indicar la cantidad de usuarios incluidos en estos programas</w:t>
            </w:r>
          </w:p>
        </w:tc>
        <w:tc>
          <w:tcPr>
            <w:tcW w:w="557" w:type="dxa"/>
            <w:tcBorders>
              <w:top w:val="nil"/>
              <w:left w:val="nil"/>
              <w:bottom w:val="nil"/>
              <w:right w:val="nil"/>
            </w:tcBorders>
            <w:shd w:val="clear" w:color="auto" w:fill="auto"/>
            <w:noWrap/>
            <w:vAlign w:val="bottom"/>
            <w:hideMark/>
          </w:tcPr>
          <w:p w:rsidR="00A71B19" w:rsidRPr="00BA2BEA" w:rsidRDefault="00A71B19" w:rsidP="00FA1C52">
            <w:pPr>
              <w:keepNext/>
              <w:jc w:val="left"/>
              <w:rPr>
                <w:color w:val="000000"/>
                <w:sz w:val="20"/>
                <w:szCs w:val="20"/>
                <w:lang w:val="es-CO" w:eastAsia="es-CO"/>
              </w:rPr>
            </w:pPr>
          </w:p>
        </w:tc>
      </w:tr>
    </w:tbl>
    <w:p w:rsidR="00A71B19" w:rsidRDefault="00A71B19" w:rsidP="00A71B19"/>
    <w:p w:rsidR="00A71B19" w:rsidRDefault="00A71B19" w:rsidP="00A71B19"/>
    <w:p w:rsidR="00080B91" w:rsidRPr="00555E6A" w:rsidRDefault="00080B91" w:rsidP="00080B91">
      <w:pPr>
        <w:rPr>
          <w:rFonts w:cs="Arial"/>
          <w:b/>
          <w:spacing w:val="-3"/>
        </w:rPr>
      </w:pPr>
      <w:r w:rsidRPr="00555E6A">
        <w:rPr>
          <w:b/>
        </w:rPr>
        <w:t>Firma del proyecto</w:t>
      </w:r>
    </w:p>
    <w:p w:rsidR="00A71B19" w:rsidRPr="00080B91" w:rsidRDefault="00A71B19" w:rsidP="00A71B19">
      <w:pPr>
        <w:rPr>
          <w:b/>
        </w:rPr>
      </w:pPr>
    </w:p>
    <w:p w:rsidR="00A71B19" w:rsidRDefault="00A71B19" w:rsidP="00A71B19"/>
    <w:p w:rsidR="00A71B19" w:rsidRDefault="00A71B19" w:rsidP="00A71B19"/>
    <w:p w:rsidR="00A71B19" w:rsidRDefault="00A71B19" w:rsidP="00A71B19">
      <w:pPr>
        <w:jc w:val="left"/>
        <w:rPr>
          <w:b/>
          <w:caps/>
        </w:rPr>
      </w:pPr>
      <w:bookmarkStart w:id="36" w:name="_Ref263257830"/>
      <w:r>
        <w:rPr>
          <w:b/>
          <w:caps/>
        </w:rPr>
        <w:br w:type="page"/>
      </w:r>
    </w:p>
    <w:p w:rsidR="00CB2A18" w:rsidRDefault="00CB2A18" w:rsidP="00A71B19">
      <w:pPr>
        <w:jc w:val="left"/>
        <w:rPr>
          <w:b/>
          <w:caps/>
        </w:rPr>
      </w:pPr>
    </w:p>
    <w:p w:rsidR="00A71B19" w:rsidRDefault="00A71B19" w:rsidP="00CB2A18">
      <w:pPr>
        <w:pStyle w:val="Ttulo1"/>
        <w:spacing w:before="0" w:after="0"/>
      </w:pPr>
      <w:bookmarkStart w:id="37" w:name="_Ref280347890"/>
      <w:bookmarkStart w:id="38" w:name="_Toc280712146"/>
      <w:r w:rsidRPr="00402DAB">
        <w:t xml:space="preserve">CÁLCULO DEL COSTO DEL </w:t>
      </w:r>
      <w:bookmarkEnd w:id="28"/>
      <w:bookmarkEnd w:id="29"/>
      <w:bookmarkEnd w:id="36"/>
      <w:r>
        <w:t>PLAN</w:t>
      </w:r>
      <w:bookmarkEnd w:id="37"/>
      <w:bookmarkEnd w:id="38"/>
    </w:p>
    <w:p w:rsidR="00CB2A18" w:rsidRPr="00CB2A18" w:rsidRDefault="00CB2A18" w:rsidP="00CB2A18"/>
    <w:p w:rsidR="00A71B19" w:rsidRDefault="00A71B19" w:rsidP="00A71B19">
      <w:r w:rsidRPr="00402DAB">
        <w:t xml:space="preserve">El costo del plan de reducción de pérdidas no técnicas está compuesto por las </w:t>
      </w:r>
      <w:r w:rsidRPr="002D0129">
        <w:t>inversiones asociadas</w:t>
      </w:r>
      <w:r w:rsidRPr="00402DAB">
        <w:t xml:space="preserve"> con la reducción de pérdidas no técnicas y por los costos y gastos en que incurra el agente en la ejecución del plan.</w:t>
      </w:r>
    </w:p>
    <w:p w:rsidR="00A71B19" w:rsidRPr="00BF2BB4" w:rsidRDefault="00A71B19" w:rsidP="00A71B19">
      <w:pPr>
        <w:pStyle w:val="Ttulo2"/>
      </w:pPr>
      <w:bookmarkStart w:id="39" w:name="_Ref263257801"/>
      <w:bookmarkStart w:id="40" w:name="_Toc280712147"/>
      <w:r w:rsidRPr="00BF2BB4">
        <w:t xml:space="preserve">Calculo de la variable </w:t>
      </w:r>
      <w:bookmarkEnd w:id="39"/>
      <w:r w:rsidRPr="003A29B2">
        <w:t>CAPj</w:t>
      </w:r>
      <w:bookmarkEnd w:id="40"/>
    </w:p>
    <w:p w:rsidR="00A71B19" w:rsidRDefault="00A71B19" w:rsidP="00A71B19">
      <w:r>
        <w:t xml:space="preserve">La variable </w:t>
      </w:r>
      <w:r w:rsidRPr="003A29B2">
        <w:rPr>
          <w:i/>
        </w:rPr>
        <w:t>CAP</w:t>
      </w:r>
      <w:r w:rsidRPr="003A29B2">
        <w:rPr>
          <w:i/>
          <w:vertAlign w:val="subscript"/>
        </w:rPr>
        <w:t>j</w:t>
      </w:r>
      <w:r>
        <w:t xml:space="preserve"> corresponde a la anualidad a remunerar al Operador de Red por la ejecución del plan de reducción de pérdida</w:t>
      </w:r>
      <w:r w:rsidRPr="00C27278">
        <w:t>s no técnicas</w:t>
      </w:r>
      <w:r>
        <w:t>.</w:t>
      </w:r>
    </w:p>
    <w:p w:rsidR="00A71B19" w:rsidRDefault="00A71B19" w:rsidP="00A71B19"/>
    <w:p w:rsidR="00A71B19" w:rsidRDefault="00822579" w:rsidP="00A71B19">
      <m:oMathPara>
        <m:oMath>
          <m:sSub>
            <m:sSubPr>
              <m:ctrlPr>
                <w:rPr>
                  <w:rFonts w:ascii="Cambria Math" w:hAnsi="Cambria Math"/>
                  <w:i/>
                </w:rPr>
              </m:ctrlPr>
            </m:sSubPr>
            <m:e>
              <m:r>
                <w:rPr>
                  <w:rFonts w:ascii="Cambria Math" w:hAnsi="Cambria Math"/>
                </w:rPr>
                <m:t>CAP</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PPact_u</m:t>
                  </m:r>
                </m:e>
                <m:sub>
                  <m:r>
                    <w:rPr>
                      <w:rFonts w:ascii="Cambria Math" w:hAnsi="Cambria Math"/>
                    </w:rPr>
                    <m:t>j</m:t>
                  </m:r>
                </m:sub>
              </m:sSub>
              <m:r>
                <w:rPr>
                  <w:rFonts w:ascii="Cambria Math" w:hAnsi="Cambria Math"/>
                </w:rPr>
                <m:t>*r</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-30</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PPact_nu</m:t>
                  </m:r>
                </m:e>
                <m:sub>
                  <m:r>
                    <w:rPr>
                      <w:rFonts w:ascii="Cambria Math" w:hAnsi="Cambria Math"/>
                    </w:rPr>
                    <m:t>j</m:t>
                  </m:r>
                </m:sub>
              </m:sSub>
              <m:r>
                <w:rPr>
                  <w:rFonts w:ascii="Cambria Math" w:hAnsi="Cambria Math"/>
                </w:rPr>
                <m:t>*r</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-5</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PPaom</m:t>
                  </m:r>
                </m:e>
                <m:sub>
                  <m:r>
                    <w:rPr>
                      <w:rFonts w:ascii="Cambria Math" w:hAnsi="Cambria Math"/>
                    </w:rPr>
                    <m:t>j</m:t>
                  </m:r>
                </m:sub>
              </m:sSub>
            </m:num>
            <m:den>
              <m:r>
                <w:rPr>
                  <w:rFonts w:ascii="Cambria Math" w:hAnsi="Cambria Math"/>
                </w:rPr>
                <m:t>5</m:t>
              </m:r>
            </m:den>
          </m:f>
          <m:r>
            <w:rPr>
              <w:rFonts w:ascii="Cambria Math" w:hAnsi="Cambria Math"/>
            </w:rPr>
            <m:t>-</m:t>
          </m:r>
          <m:sSub>
            <m:sSubPr>
              <m:ctrlPr>
                <w:rPr>
                  <w:rFonts w:ascii="Cambria Math" w:hAnsi="Cambria Math"/>
                  <w:i/>
                </w:rPr>
              </m:ctrlPr>
            </m:sSubPr>
            <m:e>
              <m:r>
                <w:rPr>
                  <w:rFonts w:ascii="Cambria Math" w:hAnsi="Cambria Math"/>
                </w:rPr>
                <m:t>AOMd</m:t>
              </m:r>
            </m:e>
            <m:sub>
              <m:r>
                <w:rPr>
                  <w:rFonts w:ascii="Cambria Math" w:hAnsi="Cambria Math"/>
                </w:rPr>
                <m:t>j</m:t>
              </m:r>
            </m:sub>
          </m:sSub>
        </m:oMath>
      </m:oMathPara>
    </w:p>
    <w:p w:rsidR="00A71B19" w:rsidRDefault="00A71B19" w:rsidP="00A71B19">
      <w:pPr>
        <w:ind w:left="1410" w:hanging="1410"/>
      </w:pPr>
      <w:r w:rsidRPr="00AD7C2D">
        <w:t xml:space="preserve">Con: </w:t>
      </w:r>
    </w:p>
    <w:p w:rsidR="00A71B19" w:rsidRDefault="00A71B19" w:rsidP="00A71B19">
      <w:pPr>
        <w:ind w:left="1410" w:hanging="1410"/>
      </w:pPr>
    </w:p>
    <w:p w:rsidR="00A71B19" w:rsidRDefault="00A71B19" w:rsidP="00A71B19">
      <w:pPr>
        <w:ind w:left="1410" w:hanging="1410"/>
        <w:rPr>
          <w:i/>
        </w:rPr>
      </w:pPr>
    </w:p>
    <w:p w:rsidR="00A71B19" w:rsidRDefault="00822579" w:rsidP="00A71B19">
      <m:oMathPara>
        <m:oMathParaPr>
          <m:jc m:val="center"/>
        </m:oMathParaPr>
        <m:oMath>
          <m:sSub>
            <m:sSubPr>
              <m:ctrlPr>
                <w:rPr>
                  <w:rFonts w:ascii="Cambria Math" w:hAnsi="Cambria Math"/>
                  <w:i/>
                </w:rPr>
              </m:ctrlPr>
            </m:sSubPr>
            <m:e>
              <m:r>
                <w:rPr>
                  <w:rFonts w:ascii="Cambria Math" w:hAnsi="Cambria Math"/>
                </w:rPr>
                <m:t>PPact_u</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INVu</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A71B19" w:rsidRDefault="00A71B19" w:rsidP="00A71B19">
      <w:pPr>
        <w:ind w:left="1410" w:hanging="1410"/>
        <w:rPr>
          <w:i/>
        </w:rPr>
      </w:pPr>
    </w:p>
    <w:p w:rsidR="00A71B19" w:rsidRDefault="00822579" w:rsidP="00A71B19">
      <m:oMathPara>
        <m:oMath>
          <m:sSub>
            <m:sSubPr>
              <m:ctrlPr>
                <w:rPr>
                  <w:rFonts w:ascii="Cambria Math" w:hAnsi="Cambria Math"/>
                  <w:i/>
                </w:rPr>
              </m:ctrlPr>
            </m:sSubPr>
            <m:e>
              <m:r>
                <w:rPr>
                  <w:rFonts w:ascii="Cambria Math" w:hAnsi="Cambria Math"/>
                </w:rPr>
                <m:t>PPact_nu</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INVnu</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A71B19" w:rsidRDefault="00A71B19" w:rsidP="00A71B19">
      <w:pPr>
        <w:ind w:left="1410" w:hanging="1410"/>
        <w:rPr>
          <w:i/>
        </w:rPr>
      </w:pPr>
    </w:p>
    <w:p w:rsidR="00A71B19" w:rsidRDefault="00822579" w:rsidP="00A71B19">
      <m:oMathPara>
        <m:oMath>
          <m:sSub>
            <m:sSubPr>
              <m:ctrlPr>
                <w:rPr>
                  <w:rFonts w:ascii="Cambria Math" w:hAnsi="Cambria Math"/>
                  <w:i/>
                </w:rPr>
              </m:ctrlPr>
            </m:sSubPr>
            <m:e>
              <m:r>
                <w:rPr>
                  <w:rFonts w:ascii="Cambria Math" w:hAnsi="Cambria Math"/>
                </w:rPr>
                <m:t>PPaom</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AOM</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A71B19" w:rsidRDefault="00A71B19" w:rsidP="00A71B19"/>
    <w:p w:rsidR="00A71B19" w:rsidRDefault="00A71B19" w:rsidP="00A71B19">
      <w:pPr>
        <w:ind w:left="1410" w:hanging="1410"/>
        <w:rPr>
          <w:i/>
        </w:rPr>
      </w:pPr>
    </w:p>
    <w:p w:rsidR="00A71B19" w:rsidRDefault="00822579" w:rsidP="00A71B19">
      <w:pPr>
        <w:rPr>
          <w:i/>
        </w:rPr>
      </w:pPr>
      <m:oMathPara>
        <m:oMathParaPr>
          <m:jc m:val="center"/>
        </m:oMathParaPr>
        <m:oMath>
          <m:sSub>
            <m:sSubPr>
              <m:ctrlPr>
                <w:rPr>
                  <w:rFonts w:ascii="Cambria Math" w:hAnsi="Cambria Math"/>
                  <w:i/>
                </w:rPr>
              </m:ctrlPr>
            </m:sSubPr>
            <m:e>
              <m:r>
                <w:rPr>
                  <w:rFonts w:ascii="Cambria Math" w:hAnsi="Cambria Math"/>
                </w:rPr>
                <m:t>AOMd</m:t>
              </m:r>
            </m:e>
            <m:sub>
              <m:r>
                <w:rPr>
                  <w:rFonts w:ascii="Cambria Math" w:hAnsi="Cambria Math"/>
                </w:rPr>
                <m:t>j</m:t>
              </m:r>
            </m:sub>
          </m:sSub>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Arial" w:cs="Arial"/>
                              <w:i/>
                            </w:rPr>
                          </m:ctrlPr>
                        </m:sSubPr>
                        <m:e>
                          <m:r>
                            <w:rPr>
                              <w:rFonts w:ascii="Cambria Math" w:hAnsi="Arial" w:cs="Arial"/>
                            </w:rPr>
                            <m:t>AOMP</m:t>
                          </m:r>
                        </m:e>
                        <m:sub>
                          <m:r>
                            <w:rPr>
                              <w:rFonts w:ascii="Cambria Math" w:hAnsi="Arial" w:cs="Arial"/>
                            </w:rPr>
                            <m:t>j,k</m:t>
                          </m:r>
                        </m:sub>
                      </m:sSub>
                    </m:e>
                  </m:nary>
                </m:e>
              </m:d>
            </m:num>
            <m:den>
              <m:r>
                <w:rPr>
                  <w:rFonts w:ascii="Cambria Math" w:hAnsi="Cambria Math"/>
                </w:rPr>
                <m:t>K</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PAOM</m:t>
                  </m:r>
                </m:e>
                <m:sub>
                  <m:r>
                    <w:rPr>
                      <w:rFonts w:ascii="Cambria Math" w:hAnsi="Cambria Math"/>
                    </w:rPr>
                    <m:t>j,ref</m:t>
                  </m:r>
                </m:sub>
              </m:sSub>
            </m:num>
            <m:den>
              <m:sSub>
                <m:sSubPr>
                  <m:ctrlPr>
                    <w:rPr>
                      <w:rFonts w:ascii="Cambria Math" w:hAnsi="Cambria Math"/>
                      <w:i/>
                    </w:rPr>
                  </m:ctrlPr>
                </m:sSubPr>
                <m:e>
                  <m:r>
                    <w:rPr>
                      <w:rFonts w:ascii="Cambria Math" w:hAnsi="Cambria Math"/>
                    </w:rPr>
                    <m:t>PAOMG</m:t>
                  </m:r>
                </m:e>
                <m:sub>
                  <m:r>
                    <w:rPr>
                      <w:rFonts w:ascii="Cambria Math" w:hAnsi="Cambria Math"/>
                    </w:rPr>
                    <m:t>j,04-07</m:t>
                  </m:r>
                </m:sub>
              </m:sSub>
            </m:den>
          </m:f>
        </m:oMath>
      </m:oMathPara>
    </w:p>
    <w:p w:rsidR="00A71B19" w:rsidRDefault="00A71B19" w:rsidP="00A71B19">
      <w:pPr>
        <w:ind w:left="1410" w:hanging="1410"/>
        <w:rPr>
          <w:i/>
        </w:rPr>
      </w:pPr>
    </w:p>
    <w:p w:rsidR="00A71B19" w:rsidRDefault="00A71B19" w:rsidP="00A71B19">
      <w:pPr>
        <w:ind w:left="1410" w:hanging="1410"/>
        <w:rPr>
          <w:i/>
        </w:rPr>
      </w:pPr>
    </w:p>
    <w:p w:rsidR="00A71B19" w:rsidRPr="00973779" w:rsidRDefault="00A71B19" w:rsidP="00A71B19">
      <w:pPr>
        <w:ind w:left="1410" w:hanging="1410"/>
      </w:pPr>
      <w:r>
        <w:t>Donde:</w:t>
      </w:r>
    </w:p>
    <w:p w:rsidR="00A71B19" w:rsidRDefault="00A71B19" w:rsidP="00A71B19">
      <w:pPr>
        <w:ind w:left="1410" w:hanging="1410"/>
        <w:rPr>
          <w:i/>
        </w:rPr>
      </w:pPr>
    </w:p>
    <w:p w:rsidR="00A71B19" w:rsidRPr="00973779" w:rsidRDefault="00A71B19" w:rsidP="00A71B19">
      <w:pPr>
        <w:ind w:left="1701" w:hanging="1701"/>
        <w:rPr>
          <w:i/>
        </w:rPr>
      </w:pPr>
      <w:r w:rsidRPr="00973779">
        <w:rPr>
          <w:i/>
        </w:rPr>
        <w:t>CT</w:t>
      </w:r>
      <w:r>
        <w:rPr>
          <w:i/>
        </w:rPr>
        <w:t>P</w:t>
      </w:r>
      <w:r w:rsidRPr="00973779">
        <w:rPr>
          <w:i/>
          <w:vertAlign w:val="subscript"/>
        </w:rPr>
        <w:t>j</w:t>
      </w:r>
      <w:r>
        <w:rPr>
          <w:i/>
        </w:rPr>
        <w:t>:</w:t>
      </w:r>
      <w:r>
        <w:rPr>
          <w:i/>
        </w:rPr>
        <w:tab/>
      </w:r>
      <w:r w:rsidRPr="00402DAB">
        <w:t>Costo total del plan de reducción de pérdidas</w:t>
      </w:r>
      <w:r w:rsidRPr="00C27278">
        <w:t xml:space="preserve"> no técnicas </w:t>
      </w:r>
      <w:r w:rsidRPr="00402DAB">
        <w:t xml:space="preserve">para el OR j, en </w:t>
      </w:r>
      <w:r>
        <w:t xml:space="preserve">pesos de diciembre de 2010, calculado de acuerdo con lo establecido en el numeral </w:t>
      </w:r>
      <w:r w:rsidR="00822579">
        <w:fldChar w:fldCharType="begin"/>
      </w:r>
      <w:r>
        <w:instrText xml:space="preserve"> REF _Ref263154001 \r \h </w:instrText>
      </w:r>
      <w:r w:rsidR="00822579">
        <w:fldChar w:fldCharType="separate"/>
      </w:r>
      <w:r w:rsidR="00322DB3">
        <w:t>2.2</w:t>
      </w:r>
      <w:r w:rsidR="00822579">
        <w:fldChar w:fldCharType="end"/>
      </w:r>
      <w:r>
        <w:t xml:space="preserve"> de este Anexo</w:t>
      </w:r>
      <w:r w:rsidRPr="00402DAB">
        <w:t>.</w:t>
      </w:r>
    </w:p>
    <w:p w:rsidR="00A71B19" w:rsidRDefault="00A71B19" w:rsidP="00A71B19">
      <w:pPr>
        <w:ind w:left="1701" w:hanging="1701"/>
      </w:pPr>
    </w:p>
    <w:p w:rsidR="00A71B19" w:rsidRDefault="00A71B19" w:rsidP="00A71B19">
      <w:pPr>
        <w:ind w:left="1701" w:hanging="1701"/>
      </w:pPr>
      <w:r>
        <w:rPr>
          <w:i/>
        </w:rPr>
        <w:t>PPact_u</w:t>
      </w:r>
      <w:r w:rsidRPr="00973779">
        <w:rPr>
          <w:i/>
          <w:vertAlign w:val="subscript"/>
        </w:rPr>
        <w:t>j</w:t>
      </w:r>
      <w:r w:rsidRPr="00973779">
        <w:rPr>
          <w:i/>
        </w:rPr>
        <w:t>:</w:t>
      </w:r>
      <w:r w:rsidRPr="00973779">
        <w:rPr>
          <w:i/>
        </w:rPr>
        <w:tab/>
      </w:r>
      <w:r w:rsidRPr="00973779">
        <w:t>P</w:t>
      </w:r>
      <w:r>
        <w:t>articipación del total de la i</w:t>
      </w:r>
      <w:r w:rsidRPr="00AD7C2D">
        <w:t>nversión eficiente en activos que son clasificados como activos de uso de la actividad de distribución de energía eléctrica, necesarios para la ejecución del plan de reducción de pérdid</w:t>
      </w:r>
      <w:r w:rsidRPr="00C27278">
        <w:t>as no técnicas</w:t>
      </w:r>
      <w:r>
        <w:t>, respecto del costo del plan ajustado</w:t>
      </w:r>
      <w:r w:rsidRPr="00AD7C2D">
        <w:t>.</w:t>
      </w:r>
    </w:p>
    <w:p w:rsidR="00A71B19" w:rsidRDefault="00A71B19" w:rsidP="00A71B19">
      <w:pPr>
        <w:ind w:left="1701" w:hanging="1701"/>
      </w:pPr>
    </w:p>
    <w:p w:rsidR="00A71B19" w:rsidRDefault="00A71B19" w:rsidP="00A71B19">
      <w:pPr>
        <w:ind w:left="1701" w:hanging="1701"/>
      </w:pPr>
      <w:r>
        <w:rPr>
          <w:i/>
        </w:rPr>
        <w:t>PPact_nu</w:t>
      </w:r>
      <w:r w:rsidRPr="00973779">
        <w:rPr>
          <w:i/>
          <w:vertAlign w:val="subscript"/>
        </w:rPr>
        <w:t>j</w:t>
      </w:r>
      <w:r w:rsidRPr="00973779">
        <w:rPr>
          <w:i/>
        </w:rPr>
        <w:t>:</w:t>
      </w:r>
      <w:r w:rsidRPr="00973779">
        <w:rPr>
          <w:i/>
        </w:rPr>
        <w:tab/>
      </w:r>
      <w:r w:rsidRPr="00973779">
        <w:t>P</w:t>
      </w:r>
      <w:r>
        <w:t>articipación del total de la i</w:t>
      </w:r>
      <w:r w:rsidRPr="00AD7C2D">
        <w:t xml:space="preserve">nversión eficiente en activos que </w:t>
      </w:r>
      <w:r>
        <w:t xml:space="preserve">no </w:t>
      </w:r>
      <w:r w:rsidRPr="00AD7C2D">
        <w:t>son clasificados como activos de uso de la actividad de distribución de energía eléctrica, necesarios para la ejecución del plan de reducción de pérdidas</w:t>
      </w:r>
      <w:r w:rsidRPr="00C27278">
        <w:rPr>
          <w:b/>
        </w:rPr>
        <w:t xml:space="preserve"> </w:t>
      </w:r>
      <w:r w:rsidRPr="00C27278">
        <w:t>no técnicas</w:t>
      </w:r>
      <w:r>
        <w:t>, respecto del costo del plan ajustado.</w:t>
      </w:r>
    </w:p>
    <w:p w:rsidR="00A71B19" w:rsidRDefault="00A71B19" w:rsidP="00A71B19">
      <w:pPr>
        <w:ind w:left="1701" w:hanging="1701"/>
      </w:pPr>
    </w:p>
    <w:p w:rsidR="00A71B19" w:rsidRDefault="00A71B19" w:rsidP="00A71B19">
      <w:pPr>
        <w:ind w:left="1701" w:hanging="1701"/>
      </w:pPr>
      <w:r>
        <w:rPr>
          <w:i/>
        </w:rPr>
        <w:t>PPaom</w:t>
      </w:r>
      <w:r w:rsidRPr="00973779">
        <w:rPr>
          <w:i/>
          <w:vertAlign w:val="subscript"/>
        </w:rPr>
        <w:t>j</w:t>
      </w:r>
      <w:r w:rsidRPr="00973779">
        <w:rPr>
          <w:i/>
        </w:rPr>
        <w:t>:</w:t>
      </w:r>
      <w:r w:rsidRPr="00973779">
        <w:rPr>
          <w:i/>
        </w:rPr>
        <w:tab/>
      </w:r>
      <w:r w:rsidRPr="00F34FF3">
        <w:t>Participación del</w:t>
      </w:r>
      <w:r>
        <w:rPr>
          <w:i/>
        </w:rPr>
        <w:t xml:space="preserve"> </w:t>
      </w:r>
      <w:r>
        <w:t>t</w:t>
      </w:r>
      <w:r w:rsidRPr="00F34FF3">
        <w:t>otal de c</w:t>
      </w:r>
      <w:r>
        <w:t>ostos y gastos eficientes, necesarios para la ejecución del plan de reducción de pérdidas</w:t>
      </w:r>
      <w:r w:rsidRPr="00C27278">
        <w:t xml:space="preserve"> no técnicas</w:t>
      </w:r>
      <w:r>
        <w:t>, respecto del costo del plan ajustado</w:t>
      </w:r>
      <w:r w:rsidRPr="00AD7C2D">
        <w:t>.</w:t>
      </w:r>
    </w:p>
    <w:p w:rsidR="00A71B19" w:rsidRDefault="00A71B19" w:rsidP="00A71B19">
      <w:pPr>
        <w:ind w:left="1701" w:hanging="1701"/>
      </w:pPr>
    </w:p>
    <w:p w:rsidR="00A71B19" w:rsidRDefault="00A71B19" w:rsidP="00A71B19">
      <w:pPr>
        <w:ind w:left="1701" w:hanging="1701"/>
      </w:pPr>
      <w:r>
        <w:rPr>
          <w:i/>
        </w:rPr>
        <w:t>INVu</w:t>
      </w:r>
      <w:r w:rsidRPr="00B53137">
        <w:rPr>
          <w:i/>
          <w:vertAlign w:val="subscript"/>
        </w:rPr>
        <w:t>k</w:t>
      </w:r>
      <w:r>
        <w:t>:</w:t>
      </w:r>
      <w:r>
        <w:tab/>
        <w:t xml:space="preserve">Inversión en el año </w:t>
      </w:r>
      <w:r w:rsidRPr="00AB01EB">
        <w:rPr>
          <w:i/>
        </w:rPr>
        <w:t>k</w:t>
      </w:r>
      <w:r>
        <w:t xml:space="preserve"> en activos que son clasificados como activos de uso de la actividad de distribución de energía eléctrica, necesarios para la ejecución del plan de reducción de pérdidas</w:t>
      </w:r>
      <w:r w:rsidRPr="00C27278">
        <w:rPr>
          <w:b/>
        </w:rPr>
        <w:t xml:space="preserve"> </w:t>
      </w:r>
      <w:r w:rsidRPr="00C27278">
        <w:t>no técnicas</w:t>
      </w:r>
      <w:r>
        <w:t>.</w:t>
      </w:r>
    </w:p>
    <w:p w:rsidR="00A71B19" w:rsidRDefault="00A71B19" w:rsidP="00A71B19">
      <w:pPr>
        <w:ind w:left="1701" w:hanging="1701"/>
      </w:pPr>
    </w:p>
    <w:p w:rsidR="00A71B19" w:rsidRDefault="00A71B19" w:rsidP="00A71B19">
      <w:pPr>
        <w:tabs>
          <w:tab w:val="left" w:pos="0"/>
        </w:tabs>
        <w:ind w:left="1701" w:hanging="1701"/>
      </w:pPr>
      <w:r w:rsidRPr="00AB01EB">
        <w:rPr>
          <w:i/>
        </w:rPr>
        <w:t>INVnu</w:t>
      </w:r>
      <w:r w:rsidRPr="00AB01EB">
        <w:rPr>
          <w:i/>
          <w:vertAlign w:val="subscript"/>
        </w:rPr>
        <w:t>k</w:t>
      </w:r>
      <w:r>
        <w:t>:</w:t>
      </w:r>
      <w:r>
        <w:tab/>
        <w:t xml:space="preserve">Inversión en el año </w:t>
      </w:r>
      <w:r w:rsidRPr="00AB01EB">
        <w:rPr>
          <w:i/>
        </w:rPr>
        <w:t>k</w:t>
      </w:r>
      <w:r>
        <w:t xml:space="preserve"> en activos que no son clasificados como activos de uso de la actividad de distribución de energía eléctrica, necesarios para la ejecución del plan de reducción de pérdidas</w:t>
      </w:r>
      <w:r w:rsidRPr="00C27278">
        <w:t xml:space="preserve"> no técnicas</w:t>
      </w:r>
      <w:r>
        <w:t>.</w:t>
      </w:r>
      <w:r>
        <w:tab/>
      </w:r>
    </w:p>
    <w:p w:rsidR="00A71B19" w:rsidRDefault="00A71B19" w:rsidP="00A71B19">
      <w:pPr>
        <w:ind w:left="1701" w:hanging="1701"/>
      </w:pPr>
    </w:p>
    <w:p w:rsidR="00A71B19" w:rsidRDefault="00A71B19" w:rsidP="00A71B19">
      <w:pPr>
        <w:ind w:left="1701" w:hanging="1701"/>
      </w:pPr>
      <w:r>
        <w:rPr>
          <w:i/>
        </w:rPr>
        <w:t>AOM</w:t>
      </w:r>
      <w:r w:rsidRPr="00AB01EB">
        <w:rPr>
          <w:i/>
          <w:vertAlign w:val="subscript"/>
        </w:rPr>
        <w:t>k</w:t>
      </w:r>
      <w:r>
        <w:t>:</w:t>
      </w:r>
      <w:r>
        <w:tab/>
        <w:t xml:space="preserve">Costos y gastos en el año </w:t>
      </w:r>
      <w:r w:rsidRPr="00AB01EB">
        <w:rPr>
          <w:i/>
        </w:rPr>
        <w:t>k</w:t>
      </w:r>
      <w:r>
        <w:t>, necesarios para la ejecución del plan de reducción de pérdidas</w:t>
      </w:r>
      <w:r w:rsidRPr="00C27278">
        <w:rPr>
          <w:b/>
        </w:rPr>
        <w:t xml:space="preserve"> </w:t>
      </w:r>
      <w:r w:rsidRPr="00C27278">
        <w:t>no técnicas</w:t>
      </w:r>
      <w:r>
        <w:t>.</w:t>
      </w:r>
    </w:p>
    <w:p w:rsidR="00A71B19" w:rsidRDefault="00A71B19" w:rsidP="00A71B19">
      <w:pPr>
        <w:ind w:left="1701" w:hanging="1701"/>
      </w:pPr>
    </w:p>
    <w:p w:rsidR="00A71B19" w:rsidRDefault="00A71B19" w:rsidP="00A71B19">
      <w:pPr>
        <w:ind w:left="1701" w:hanging="1701"/>
      </w:pPr>
      <w:r w:rsidRPr="00877E5B">
        <w:rPr>
          <w:i/>
        </w:rPr>
        <w:t>CPOR</w:t>
      </w:r>
      <w:r w:rsidRPr="00877E5B">
        <w:rPr>
          <w:i/>
          <w:vertAlign w:val="subscript"/>
        </w:rPr>
        <w:t>j</w:t>
      </w:r>
      <w:r w:rsidRPr="00402DAB">
        <w:t xml:space="preserve">: </w:t>
      </w:r>
      <w:r w:rsidRPr="00402DAB">
        <w:tab/>
        <w:t>Costo total del plan de reducción de pérdida</w:t>
      </w:r>
      <w:r w:rsidRPr="00C27278">
        <w:t>s no técnicas</w:t>
      </w:r>
      <w:r w:rsidRPr="00402DAB">
        <w:t xml:space="preserve">, en </w:t>
      </w:r>
      <w:r>
        <w:t>pesos de diciembre de 2010</w:t>
      </w:r>
      <w:r w:rsidRPr="00402DAB">
        <w:t>, presentado por el OR j para su aprobación.</w:t>
      </w:r>
    </w:p>
    <w:p w:rsidR="00A71B19" w:rsidRDefault="00A71B19" w:rsidP="00A71B19">
      <w:pPr>
        <w:ind w:left="1701" w:hanging="1701"/>
      </w:pPr>
    </w:p>
    <w:p w:rsidR="00A71B19" w:rsidRPr="00402DAB" w:rsidRDefault="00A71B19" w:rsidP="00A71B19">
      <w:pPr>
        <w:tabs>
          <w:tab w:val="left" w:pos="993"/>
        </w:tabs>
        <w:ind w:left="1701" w:hanging="1701"/>
      </w:pPr>
      <w:r w:rsidRPr="00877E5B">
        <w:rPr>
          <w:i/>
        </w:rPr>
        <w:t>r</w:t>
      </w:r>
      <w:r w:rsidRPr="00402DAB">
        <w:t>:</w:t>
      </w:r>
      <w:r w:rsidRPr="00402DAB">
        <w:tab/>
      </w:r>
      <w:r>
        <w:tab/>
      </w:r>
      <w:r w:rsidRPr="00E11F8F">
        <w:t xml:space="preserve">Tasa de Retorno para la remuneración con la Metodología de Ingreso Regulado </w:t>
      </w:r>
      <w:r w:rsidRPr="00402DAB">
        <w:t>utilizada en la Resolución CREG 097 de 2008.</w:t>
      </w:r>
      <w:r>
        <w:t xml:space="preserve"> Es igual a 13,0 %. </w:t>
      </w:r>
    </w:p>
    <w:p w:rsidR="00A71B19" w:rsidRDefault="00A71B19" w:rsidP="00A71B19">
      <w:pPr>
        <w:tabs>
          <w:tab w:val="left" w:pos="993"/>
        </w:tabs>
        <w:ind w:left="1701" w:hanging="1701"/>
      </w:pPr>
    </w:p>
    <w:p w:rsidR="00A71B19" w:rsidRDefault="00A71B19" w:rsidP="00A71B19">
      <w:pPr>
        <w:ind w:left="1701" w:hanging="1701"/>
      </w:pPr>
      <w:r w:rsidRPr="003C0A58">
        <w:rPr>
          <w:i/>
        </w:rPr>
        <w:t>AOMd</w:t>
      </w:r>
      <w:r w:rsidRPr="003C0A58">
        <w:rPr>
          <w:i/>
          <w:vertAlign w:val="subscript"/>
        </w:rPr>
        <w:t>j</w:t>
      </w:r>
      <w:r w:rsidRPr="003C0A58">
        <w:t>:</w:t>
      </w:r>
      <w:r w:rsidRPr="003C0A58">
        <w:tab/>
        <w:t>Promedio</w:t>
      </w:r>
      <w:r>
        <w:t xml:space="preserve"> anual de costos y gastos asociados con la recuperación de pérdidas de energía reconocidos en el AOM de la actividad de distribución de energía eléctrica según lo establecido en la Resolución CREG 097 de 2008</w:t>
      </w:r>
      <w:r w:rsidRPr="00AD7C2D">
        <w:t>.</w:t>
      </w:r>
    </w:p>
    <w:p w:rsidR="00A71B19" w:rsidRDefault="00A71B19" w:rsidP="00A71B19">
      <w:pPr>
        <w:ind w:left="1701" w:hanging="1701"/>
        <w:rPr>
          <w:i/>
        </w:rPr>
      </w:pPr>
    </w:p>
    <w:p w:rsidR="00A71B19" w:rsidRPr="00E11F8F" w:rsidRDefault="00A71B19" w:rsidP="00A71B19">
      <w:pPr>
        <w:ind w:left="1701" w:hanging="1701"/>
      </w:pPr>
      <w:r w:rsidRPr="00E11F8F">
        <w:rPr>
          <w:i/>
        </w:rPr>
        <w:t>PAOMG</w:t>
      </w:r>
      <w:r w:rsidRPr="00E11F8F">
        <w:rPr>
          <w:i/>
          <w:vertAlign w:val="subscript"/>
        </w:rPr>
        <w:t>j,0</w:t>
      </w:r>
      <w:r>
        <w:rPr>
          <w:i/>
          <w:vertAlign w:val="subscript"/>
        </w:rPr>
        <w:t>4</w:t>
      </w:r>
      <w:r w:rsidRPr="00E11F8F">
        <w:rPr>
          <w:i/>
          <w:vertAlign w:val="subscript"/>
        </w:rPr>
        <w:t>-07</w:t>
      </w:r>
      <w:r w:rsidRPr="00E11F8F">
        <w:t>:</w:t>
      </w:r>
      <w:r w:rsidRPr="00E11F8F">
        <w:tab/>
        <w:t xml:space="preserve">Porcentaje de AOM gastado por el OR </w:t>
      </w:r>
      <w:r w:rsidRPr="00E11F8F">
        <w:rPr>
          <w:i/>
        </w:rPr>
        <w:t>j</w:t>
      </w:r>
      <w:r w:rsidRPr="00E11F8F">
        <w:t>, en el periodo 200</w:t>
      </w:r>
      <w:r>
        <w:t>4</w:t>
      </w:r>
      <w:r w:rsidRPr="00E11F8F">
        <w:t>-2007</w:t>
      </w:r>
      <w:r>
        <w:t>. Valor utilizado en la aprobación de cargos por uso de acuerdo con la Resolución CREG 097 de 2008</w:t>
      </w:r>
      <w:r w:rsidRPr="00E11F8F">
        <w:t xml:space="preserve">. </w:t>
      </w:r>
    </w:p>
    <w:p w:rsidR="00A71B19" w:rsidRPr="00E11F8F" w:rsidRDefault="00A71B19" w:rsidP="00A71B19">
      <w:pPr>
        <w:ind w:left="1701" w:hanging="1701"/>
      </w:pPr>
    </w:p>
    <w:p w:rsidR="00A71B19" w:rsidRPr="00E11F8F" w:rsidRDefault="00A71B19" w:rsidP="00A71B19">
      <w:pPr>
        <w:ind w:left="1701" w:hanging="1701"/>
      </w:pPr>
      <w:r w:rsidRPr="00E11F8F">
        <w:rPr>
          <w:i/>
        </w:rPr>
        <w:t>PAOM</w:t>
      </w:r>
      <w:r w:rsidRPr="00E11F8F">
        <w:rPr>
          <w:i/>
          <w:vertAlign w:val="subscript"/>
        </w:rPr>
        <w:t>j,ref</w:t>
      </w:r>
      <w:r w:rsidRPr="00E11F8F">
        <w:rPr>
          <w:i/>
        </w:rPr>
        <w:t>:</w:t>
      </w:r>
      <w:r w:rsidRPr="00E11F8F">
        <w:rPr>
          <w:i/>
        </w:rPr>
        <w:tab/>
      </w:r>
      <w:r w:rsidRPr="00E11F8F">
        <w:t xml:space="preserve">Porcentaje de AOM de referencia para el OR </w:t>
      </w:r>
      <w:r w:rsidRPr="00E11F8F">
        <w:rPr>
          <w:i/>
        </w:rPr>
        <w:t>j</w:t>
      </w:r>
      <w:r w:rsidRPr="00E11F8F">
        <w:t>.</w:t>
      </w:r>
      <w:r>
        <w:t xml:space="preserve"> Valor utilizado en la aprobación de de cargos por uso de acuerdo con la Resolución CREG 097 de 2008</w:t>
      </w:r>
    </w:p>
    <w:p w:rsidR="00A71B19" w:rsidRDefault="00A71B19" w:rsidP="00A71B19">
      <w:pPr>
        <w:ind w:left="1701" w:hanging="1701"/>
      </w:pPr>
    </w:p>
    <w:p w:rsidR="00A71B19" w:rsidRDefault="00A71B19" w:rsidP="00A71B19">
      <w:pPr>
        <w:ind w:left="1701" w:hanging="1701"/>
      </w:pPr>
      <w:r>
        <w:rPr>
          <w:i/>
        </w:rPr>
        <w:t>AOMP</w:t>
      </w:r>
      <w:r w:rsidRPr="00973779">
        <w:rPr>
          <w:i/>
          <w:vertAlign w:val="subscript"/>
        </w:rPr>
        <w:t>j</w:t>
      </w:r>
      <w:r>
        <w:rPr>
          <w:i/>
          <w:vertAlign w:val="subscript"/>
        </w:rPr>
        <w:t>,k</w:t>
      </w:r>
      <w:r w:rsidRPr="00973779">
        <w:rPr>
          <w:i/>
        </w:rPr>
        <w:t>:</w:t>
      </w:r>
      <w:r w:rsidRPr="00973779">
        <w:rPr>
          <w:i/>
        </w:rPr>
        <w:tab/>
      </w:r>
      <w:r>
        <w:t>G</w:t>
      </w:r>
      <w:r w:rsidRPr="003C0A58">
        <w:t xml:space="preserve">astos </w:t>
      </w:r>
      <w:r>
        <w:t xml:space="preserve">del OR j en planes de reducción de pérdidas </w:t>
      </w:r>
      <w:r w:rsidRPr="003C0A58">
        <w:t>de energía</w:t>
      </w:r>
      <w:r>
        <w:t>, durante los años k (de 2004 al 2007), donde K es el número de años con información reportada. Esta información corresponde a la entregada por los OR en respuesta a la Circular CREG 019 de 2010, en pesos de diciembre de 2010.  En el caso de que un OR no haya reportado información en respuesta a esta Circular, esta variable se calculará de la siguiente manera:</w:t>
      </w:r>
    </w:p>
    <w:p w:rsidR="00A71B19" w:rsidRDefault="00A71B19" w:rsidP="00A71B19">
      <w:pPr>
        <w:ind w:left="1410" w:hanging="1410"/>
      </w:pPr>
    </w:p>
    <w:p w:rsidR="00A71B19" w:rsidRDefault="00822579" w:rsidP="00A71B19">
      <w:pPr>
        <w:ind w:left="1410" w:hanging="1410"/>
        <w:rPr>
          <w:i/>
        </w:rPr>
      </w:pPr>
      <m:oMathPara>
        <m:oMath>
          <m:sSub>
            <m:sSubPr>
              <m:ctrlPr>
                <w:rPr>
                  <w:rFonts w:ascii="Cambria Math" w:hAnsi="Cambria Math"/>
                  <w:i/>
                </w:rPr>
              </m:ctrlPr>
            </m:sSubPr>
            <m:e>
              <m:r>
                <w:rPr>
                  <w:rFonts w:ascii="Cambria Math" w:hAnsi="Cambria Math"/>
                </w:rPr>
                <m:t>AOMP</m:t>
              </m:r>
            </m:e>
            <m:sub>
              <m:r>
                <w:rPr>
                  <w:rFonts w:ascii="Cambria Math" w:hAnsi="Cambria Math"/>
                </w:rPr>
                <m:t>j,k</m:t>
              </m:r>
            </m:sub>
          </m:sSub>
          <m:r>
            <w:rPr>
              <w:rFonts w:ascii="Cambria Math" w:hAnsi="Cambria Math"/>
            </w:rPr>
            <m:t>=PA*</m:t>
          </m:r>
          <m:sSub>
            <m:sSubPr>
              <m:ctrlPr>
                <w:rPr>
                  <w:rFonts w:ascii="Cambria Math" w:hAnsi="Cambria Math"/>
                  <w:i/>
                </w:rPr>
              </m:ctrlPr>
            </m:sSubPr>
            <m:e>
              <m:r>
                <w:rPr>
                  <w:rFonts w:ascii="Cambria Math" w:hAnsi="Cambria Math"/>
                </w:rPr>
                <m:t>AOMG</m:t>
              </m:r>
              <m:r>
                <w:rPr>
                  <w:rFonts w:ascii="Cambria Math" w:hAnsi="Cambria Math"/>
                  <w:vertAlign w:val="subscript"/>
                </w:rPr>
                <m:t xml:space="preserve"> </m:t>
              </m:r>
            </m:e>
            <m:sub>
              <m:r>
                <w:rPr>
                  <w:rFonts w:ascii="Cambria Math" w:hAnsi="Cambria Math"/>
                </w:rPr>
                <m:t>j,04-07</m:t>
              </m:r>
            </m:sub>
          </m:sSub>
        </m:oMath>
      </m:oMathPara>
    </w:p>
    <w:p w:rsidR="00A71B19" w:rsidRDefault="00A71B19" w:rsidP="00A71B19">
      <w:pPr>
        <w:ind w:left="1410" w:hanging="1410"/>
        <w:rPr>
          <w:i/>
        </w:rPr>
      </w:pPr>
    </w:p>
    <w:p w:rsidR="00CB2A18" w:rsidRDefault="00CB2A18" w:rsidP="00A71B19">
      <w:pPr>
        <w:ind w:left="1410" w:hanging="1410"/>
        <w:rPr>
          <w:i/>
        </w:rPr>
      </w:pPr>
    </w:p>
    <w:p w:rsidR="00A71B19" w:rsidRDefault="00A71B19" w:rsidP="00A71B19">
      <w:pPr>
        <w:ind w:left="1410" w:hanging="1410"/>
        <w:rPr>
          <w:i/>
        </w:rPr>
      </w:pPr>
      <m:oMathPara>
        <m:oMath>
          <m:r>
            <w:rPr>
              <w:rFonts w:ascii="Cambria Math" w:hAnsi="Cambria Math"/>
            </w:rPr>
            <m:t>PA=</m:t>
          </m:r>
          <m:r>
            <m:rPr>
              <m:sty m:val="p"/>
            </m:rPr>
            <w:rPr>
              <w:rFonts w:ascii="Cambria Math" w:hAnsi="Cambria Math"/>
            </w:rPr>
            <m:t>max⁡</m:t>
          </m:r>
          <m:d>
            <m:dPr>
              <m:begChr m:val="["/>
              <m:endChr m:val="]"/>
              <m:ctrlPr>
                <w:rPr>
                  <w:rFonts w:ascii="Cambria Math" w:hAnsi="Cambria Math"/>
                </w:rPr>
              </m:ctrlPr>
            </m:dPr>
            <m:e>
              <m:f>
                <m:fPr>
                  <m:ctrlPr>
                    <w:rPr>
                      <w:rFonts w:ascii="Cambria Math" w:hAnsi="Cambria Math"/>
                      <w:i/>
                    </w:rPr>
                  </m:ctrlPr>
                </m:fPr>
                <m:num>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Arial" w:cs="Arial"/>
                                  <w:i/>
                                </w:rPr>
                              </m:ctrlPr>
                            </m:sSubPr>
                            <m:e>
                              <m:r>
                                <w:rPr>
                                  <w:rFonts w:ascii="Cambria Math" w:hAnsi="Arial" w:cs="Arial"/>
                                </w:rPr>
                                <m:t>AOMP</m:t>
                              </m:r>
                            </m:e>
                            <m:sub>
                              <m:r>
                                <w:rPr>
                                  <w:rFonts w:ascii="Cambria Math" w:hAnsi="Arial" w:cs="Arial"/>
                                </w:rPr>
                                <m:t>j,k</m:t>
                              </m:r>
                            </m:sub>
                          </m:sSub>
                        </m:e>
                      </m:nary>
                    </m:e>
                  </m:d>
                </m:num>
                <m:den>
                  <m:sSub>
                    <m:sSubPr>
                      <m:ctrlPr>
                        <w:rPr>
                          <w:rFonts w:ascii="Cambria Math" w:hAnsi="Arial" w:cs="Arial"/>
                          <w:i/>
                        </w:rPr>
                      </m:ctrlPr>
                    </m:sSubPr>
                    <m:e>
                      <m:r>
                        <w:rPr>
                          <w:rFonts w:ascii="Cambria Math" w:hAnsi="Arial" w:cs="Arial"/>
                        </w:rPr>
                        <m:t>K</m:t>
                      </m:r>
                      <m:r>
                        <w:rPr>
                          <w:rFonts w:ascii="Cambria Math" w:hAnsi="Arial" w:cs="Arial"/>
                        </w:rPr>
                        <m:t>*</m:t>
                      </m:r>
                      <m:r>
                        <w:rPr>
                          <w:rFonts w:ascii="Cambria Math" w:hAnsi="Arial" w:cs="Arial"/>
                        </w:rPr>
                        <m:t>AOMG</m:t>
                      </m:r>
                    </m:e>
                    <m:sub>
                      <m:r>
                        <w:rPr>
                          <w:rFonts w:ascii="Cambria Math" w:hAnsi="Arial" w:cs="Arial"/>
                        </w:rPr>
                        <m:t>j,04</m:t>
                      </m:r>
                      <m:r>
                        <w:rPr>
                          <w:rFonts w:ascii="Cambria Math" w:hAnsi="Arial" w:cs="Arial"/>
                        </w:rPr>
                        <m:t>-</m:t>
                      </m:r>
                      <m:r>
                        <w:rPr>
                          <w:rFonts w:ascii="Cambria Math" w:hAnsi="Arial" w:cs="Arial"/>
                        </w:rPr>
                        <m:t>07</m:t>
                      </m:r>
                    </m:sub>
                  </m:sSub>
                </m:den>
              </m:f>
            </m:e>
          </m:d>
        </m:oMath>
      </m:oMathPara>
    </w:p>
    <w:p w:rsidR="00A71B19" w:rsidRDefault="00A71B19" w:rsidP="00A71B19">
      <w:pPr>
        <w:ind w:left="1410" w:hanging="1410"/>
      </w:pPr>
      <w:r>
        <w:t>Donde:</w:t>
      </w:r>
    </w:p>
    <w:p w:rsidR="00A71B19" w:rsidRDefault="00A71B19" w:rsidP="00A71B19">
      <w:pPr>
        <w:ind w:left="1410" w:hanging="1410"/>
      </w:pPr>
    </w:p>
    <w:p w:rsidR="00A71B19" w:rsidRDefault="00A71B19" w:rsidP="00A71B19">
      <w:pPr>
        <w:ind w:left="1701" w:hanging="1701"/>
      </w:pPr>
      <w:r w:rsidRPr="00877E5B">
        <w:rPr>
          <w:i/>
        </w:rPr>
        <w:t>PA</w:t>
      </w:r>
      <w:r>
        <w:t>:</w:t>
      </w:r>
      <w:r>
        <w:tab/>
        <w:t>Máximo porcentaje de gastos en reducción de pérdidas respecto al AOM gastado durante el periodo 2004-2007, calculado para los Operadores de Red que presentaron información en respuesta a la Circular CREG 019 de 2010.</w:t>
      </w:r>
    </w:p>
    <w:p w:rsidR="00A71B19" w:rsidRDefault="00A71B19" w:rsidP="00A71B19">
      <w:pPr>
        <w:ind w:left="1701" w:hanging="1701"/>
      </w:pPr>
    </w:p>
    <w:p w:rsidR="00A71B19" w:rsidRPr="00E11F8F" w:rsidRDefault="00A71B19" w:rsidP="00A71B19">
      <w:pPr>
        <w:ind w:left="1701" w:hanging="1701"/>
      </w:pPr>
      <w:r w:rsidRPr="00E11F8F">
        <w:rPr>
          <w:i/>
        </w:rPr>
        <w:t>AOMG</w:t>
      </w:r>
      <w:r w:rsidRPr="00E11F8F">
        <w:rPr>
          <w:i/>
          <w:vertAlign w:val="subscript"/>
        </w:rPr>
        <w:t>j,0</w:t>
      </w:r>
      <w:r>
        <w:rPr>
          <w:i/>
          <w:vertAlign w:val="subscript"/>
        </w:rPr>
        <w:t>4</w:t>
      </w:r>
      <w:r w:rsidRPr="00E11F8F">
        <w:rPr>
          <w:i/>
          <w:vertAlign w:val="subscript"/>
        </w:rPr>
        <w:t>-07</w:t>
      </w:r>
      <w:r w:rsidRPr="00E11F8F">
        <w:rPr>
          <w:i/>
        </w:rPr>
        <w:t>:</w:t>
      </w:r>
      <w:r w:rsidRPr="00E11F8F">
        <w:tab/>
        <w:t xml:space="preserve">AOM gastado por el OR </w:t>
      </w:r>
      <w:r w:rsidRPr="00E11F8F">
        <w:rPr>
          <w:i/>
        </w:rPr>
        <w:t>j</w:t>
      </w:r>
      <w:r w:rsidRPr="00E11F8F">
        <w:t>, en el periodo 200</w:t>
      </w:r>
      <w:r>
        <w:t>4</w:t>
      </w:r>
      <w:r w:rsidRPr="00E11F8F">
        <w:t>-2007.</w:t>
      </w:r>
      <w:r>
        <w:t xml:space="preserve"> Valor utilizado en la aprobación de de cargos por uso de acuerdo con la Resolución CREG 097 de 2008</w:t>
      </w:r>
    </w:p>
    <w:p w:rsidR="00A71B19" w:rsidRPr="00402DAB" w:rsidRDefault="00A71B19" w:rsidP="00A71B19">
      <w:pPr>
        <w:pStyle w:val="Ttulo2"/>
      </w:pPr>
      <w:bookmarkStart w:id="41" w:name="_Ref263154001"/>
      <w:bookmarkStart w:id="42" w:name="_Toc280712148"/>
      <w:r w:rsidRPr="00402DAB">
        <w:t xml:space="preserve">Costo </w:t>
      </w:r>
      <w:r>
        <w:t xml:space="preserve">total </w:t>
      </w:r>
      <w:r w:rsidRPr="00402DAB">
        <w:t>del plan</w:t>
      </w:r>
      <w:bookmarkEnd w:id="41"/>
      <w:bookmarkEnd w:id="42"/>
    </w:p>
    <w:p w:rsidR="00A71B19" w:rsidRPr="00402DAB" w:rsidRDefault="00A71B19" w:rsidP="00A71B19">
      <w:r w:rsidRPr="00402DAB">
        <w:t xml:space="preserve">El costo total del plan de reducción de pérdidas </w:t>
      </w:r>
      <w:r w:rsidRPr="00C27278">
        <w:t xml:space="preserve">no técnicas </w:t>
      </w:r>
      <w:r w:rsidRPr="00402DAB">
        <w:t>a aprobar a cada OR se determinará según la siguiente expresión:</w:t>
      </w:r>
    </w:p>
    <w:p w:rsidR="00A71B19" w:rsidRPr="00402DAB" w:rsidRDefault="00A71B19" w:rsidP="00A71B19"/>
    <w:p w:rsidR="00A71B19" w:rsidRPr="00402DAB" w:rsidRDefault="00822579" w:rsidP="00A71B19">
      <m:oMathPara>
        <m:oMath>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=mín</m:t>
          </m:r>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PCE</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CPOR</m:t>
                  </m:r>
                </m:e>
                <m:sub>
                  <m:r>
                    <w:rPr>
                      <w:rFonts w:ascii="Cambria Math" w:hAnsi="Cambria Math"/>
                    </w:rPr>
                    <m:t>j</m:t>
                  </m:r>
                </m:sub>
              </m:sSub>
            </m:e>
          </m:d>
        </m:oMath>
      </m:oMathPara>
    </w:p>
    <w:p w:rsidR="00A71B19" w:rsidRPr="00402DAB" w:rsidRDefault="00A71B19" w:rsidP="00A71B19">
      <w:pPr>
        <w:tabs>
          <w:tab w:val="left" w:pos="993"/>
        </w:tabs>
      </w:pPr>
    </w:p>
    <w:p w:rsidR="00A71B19" w:rsidRPr="00402DAB" w:rsidRDefault="00A71B19" w:rsidP="00A71B19">
      <w:pPr>
        <w:tabs>
          <w:tab w:val="left" w:pos="993"/>
        </w:tabs>
        <w:ind w:left="1410" w:hanging="1410"/>
      </w:pPr>
      <w:r w:rsidRPr="00402DAB">
        <w:t>CTP</w:t>
      </w:r>
      <w:r w:rsidRPr="00402DAB">
        <w:rPr>
          <w:vertAlign w:val="subscript"/>
        </w:rPr>
        <w:t>j</w:t>
      </w:r>
      <w:r w:rsidRPr="00402DAB">
        <w:t>:</w:t>
      </w:r>
      <w:r w:rsidRPr="00402DAB">
        <w:rPr>
          <w:vertAlign w:val="subscript"/>
        </w:rPr>
        <w:t xml:space="preserve">  </w:t>
      </w:r>
      <w:r w:rsidRPr="00402DAB">
        <w:rPr>
          <w:vertAlign w:val="subscript"/>
        </w:rPr>
        <w:tab/>
      </w:r>
      <w:r w:rsidRPr="00402DAB">
        <w:rPr>
          <w:vertAlign w:val="subscript"/>
        </w:rPr>
        <w:tab/>
      </w:r>
      <w:r>
        <w:rPr>
          <w:vertAlign w:val="subscript"/>
        </w:rPr>
        <w:tab/>
      </w:r>
      <w:r w:rsidRPr="00402DAB">
        <w:t>Costo total del plan de reducción de pérdidas</w:t>
      </w:r>
      <w:r w:rsidRPr="00C27278">
        <w:t xml:space="preserve"> no técnicas </w:t>
      </w:r>
      <w:r w:rsidRPr="00402DAB">
        <w:t xml:space="preserve">para el OR j, en </w:t>
      </w:r>
      <w:r>
        <w:t>pesos de diciembre de 2010</w:t>
      </w:r>
      <w:r w:rsidRPr="00402DAB">
        <w:t>.</w:t>
      </w:r>
    </w:p>
    <w:p w:rsidR="00A71B19" w:rsidRPr="00402DAB" w:rsidRDefault="00A71B19" w:rsidP="00A71B19">
      <w:pPr>
        <w:tabs>
          <w:tab w:val="left" w:pos="993"/>
        </w:tabs>
        <w:ind w:left="990" w:hanging="990"/>
      </w:pPr>
    </w:p>
    <w:p w:rsidR="00A71B19" w:rsidRPr="00402DAB" w:rsidRDefault="00A71B19" w:rsidP="00A71B19">
      <w:pPr>
        <w:tabs>
          <w:tab w:val="left" w:pos="993"/>
        </w:tabs>
        <w:ind w:left="1410" w:hanging="1410"/>
      </w:pPr>
      <w:r w:rsidRPr="00402DAB">
        <w:t>CPCE</w:t>
      </w:r>
      <w:r w:rsidRPr="00402DAB">
        <w:rPr>
          <w:vertAlign w:val="subscript"/>
        </w:rPr>
        <w:t>j</w:t>
      </w:r>
      <w:r w:rsidRPr="00402DAB">
        <w:t xml:space="preserve">: </w:t>
      </w:r>
      <w:r w:rsidRPr="00402DAB">
        <w:tab/>
      </w:r>
      <w:r>
        <w:tab/>
      </w:r>
      <w:r>
        <w:tab/>
      </w:r>
      <w:r w:rsidRPr="00402DAB">
        <w:t xml:space="preserve">Costo </w:t>
      </w:r>
      <w:r>
        <w:t xml:space="preserve">total </w:t>
      </w:r>
      <w:r w:rsidRPr="00402DAB">
        <w:t>del plan de reducción de pérdida</w:t>
      </w:r>
      <w:r w:rsidRPr="00C27278">
        <w:t>s no técnicas</w:t>
      </w:r>
      <w:r w:rsidRPr="00402DAB">
        <w:t xml:space="preserve">, en </w:t>
      </w:r>
      <w:r>
        <w:t>pesos de diciembre de 2010</w:t>
      </w:r>
      <w:r w:rsidRPr="00402DAB">
        <w:t xml:space="preserve">, resultante de la aplicación del modelo de costos eficientes de que trata el  numeral  </w:t>
      </w:r>
      <w:fldSimple w:instr=" REF _Ref263078455 \r \h  \* MERGEFORMAT ">
        <w:r w:rsidR="00322DB3">
          <w:t>2.3</w:t>
        </w:r>
      </w:fldSimple>
      <w:r w:rsidRPr="00402DAB">
        <w:t xml:space="preserve"> del presente anexo.</w:t>
      </w:r>
    </w:p>
    <w:p w:rsidR="00A71B19" w:rsidRPr="00402DAB" w:rsidRDefault="00A71B19" w:rsidP="00A71B19">
      <w:pPr>
        <w:tabs>
          <w:tab w:val="left" w:pos="993"/>
        </w:tabs>
        <w:ind w:left="990" w:hanging="990"/>
      </w:pPr>
    </w:p>
    <w:p w:rsidR="00A71B19" w:rsidRDefault="00A71B19" w:rsidP="00A71B19">
      <w:pPr>
        <w:tabs>
          <w:tab w:val="left" w:pos="993"/>
        </w:tabs>
        <w:ind w:left="1410" w:hanging="1410"/>
      </w:pPr>
      <w:r w:rsidRPr="00402DAB">
        <w:t>CPOR</w:t>
      </w:r>
      <w:r w:rsidRPr="00402DAB">
        <w:rPr>
          <w:vertAlign w:val="subscript"/>
        </w:rPr>
        <w:t>j</w:t>
      </w:r>
      <w:r w:rsidRPr="00402DAB">
        <w:t xml:space="preserve">: </w:t>
      </w:r>
      <w:r w:rsidRPr="00402DAB">
        <w:tab/>
      </w:r>
      <w:r>
        <w:tab/>
      </w:r>
      <w:r w:rsidRPr="00402DAB">
        <w:t>Costo total del plan de reducción de pérdidas</w:t>
      </w:r>
      <w:r w:rsidRPr="00C27278">
        <w:t xml:space="preserve"> no técnicas</w:t>
      </w:r>
      <w:r w:rsidRPr="00402DAB">
        <w:t xml:space="preserve">, en </w:t>
      </w:r>
      <w:r>
        <w:t>pesos de diciembre de 2010</w:t>
      </w:r>
      <w:r w:rsidRPr="00402DAB">
        <w:t>, presentado por el OR j  para su aprobación.</w:t>
      </w:r>
    </w:p>
    <w:p w:rsidR="00CB2A18" w:rsidRDefault="00CB2A18" w:rsidP="00A71B19">
      <w:pPr>
        <w:tabs>
          <w:tab w:val="left" w:pos="993"/>
        </w:tabs>
        <w:ind w:left="1410" w:hanging="1410"/>
      </w:pPr>
    </w:p>
    <w:p w:rsidR="00A71B19" w:rsidRPr="00402DAB" w:rsidRDefault="00A71B19" w:rsidP="00CB2A18">
      <w:pPr>
        <w:pStyle w:val="Ttulo2"/>
        <w:spacing w:before="0" w:after="0"/>
      </w:pPr>
      <w:bookmarkStart w:id="43" w:name="_Ref263078455"/>
      <w:bookmarkStart w:id="44" w:name="_Toc280712149"/>
      <w:r w:rsidRPr="00402DAB">
        <w:t xml:space="preserve">Calculo de la variable </w:t>
      </w:r>
      <w:r w:rsidRPr="000F6622">
        <w:rPr>
          <w:i/>
        </w:rPr>
        <w:t>CPCE</w:t>
      </w:r>
      <w:r w:rsidRPr="000F6622">
        <w:rPr>
          <w:i/>
          <w:vertAlign w:val="subscript"/>
        </w:rPr>
        <w:t>j</w:t>
      </w:r>
      <w:bookmarkEnd w:id="43"/>
      <w:bookmarkEnd w:id="44"/>
    </w:p>
    <w:p w:rsidR="00CB2A18" w:rsidRDefault="00CB2A18" w:rsidP="00A71B19"/>
    <w:p w:rsidR="00A71B19" w:rsidRDefault="00A71B19" w:rsidP="00A71B19">
      <w:r w:rsidRPr="00402DAB">
        <w:t xml:space="preserve">La variable </w:t>
      </w:r>
      <w:r w:rsidRPr="000F6622">
        <w:rPr>
          <w:i/>
        </w:rPr>
        <w:t>CPCE</w:t>
      </w:r>
      <w:r w:rsidRPr="000F6622">
        <w:rPr>
          <w:i/>
          <w:vertAlign w:val="subscript"/>
        </w:rPr>
        <w:t>j</w:t>
      </w:r>
      <w:r w:rsidRPr="00402DAB">
        <w:t xml:space="preserve"> se obtendrá a partir de</w:t>
      </w:r>
      <w:r>
        <w:t xml:space="preserve">l modelo </w:t>
      </w:r>
      <w:r w:rsidRPr="00402DAB">
        <w:t xml:space="preserve">de optimización </w:t>
      </w:r>
      <w:r>
        <w:t xml:space="preserve">desarrollado por la CREG, considerando los índices de pérdidas iniciales de cada OR, el índice de pérdidas esperado al final del plan y los costos eficientes de reducción de pérdidas </w:t>
      </w:r>
      <w:r w:rsidRPr="00C27278">
        <w:t xml:space="preserve">no técnicas </w:t>
      </w:r>
      <w:r>
        <w:t xml:space="preserve">obtenidos a partir de la información entregada por los OR en respuesta a la Circular 019 de 2010.  </w:t>
      </w:r>
    </w:p>
    <w:p w:rsidR="00A71B19" w:rsidRDefault="00A71B19" w:rsidP="00A71B19"/>
    <w:p w:rsidR="00A71B19" w:rsidRDefault="00A71B19" w:rsidP="00A71B19">
      <w:r>
        <w:t>El modelo de optimización será publicado por la Comisión mediante Circular aparte.</w:t>
      </w:r>
    </w:p>
    <w:p w:rsidR="00A71B19" w:rsidRDefault="00A71B19" w:rsidP="00A71B19">
      <w:pPr>
        <w:tabs>
          <w:tab w:val="left" w:pos="0"/>
        </w:tabs>
        <w:ind w:left="1413" w:hanging="1410"/>
      </w:pPr>
    </w:p>
    <w:p w:rsidR="00A71B19" w:rsidRDefault="00A71B19" w:rsidP="00CB2A18">
      <w:pPr>
        <w:pStyle w:val="Ttulo3"/>
        <w:spacing w:before="0" w:after="0"/>
      </w:pPr>
      <w:bookmarkStart w:id="45" w:name="_Ref263087142"/>
      <w:bookmarkStart w:id="46" w:name="_Toc280712150"/>
      <w:r>
        <w:t>Listado de activos a reconocer</w:t>
      </w:r>
      <w:bookmarkEnd w:id="45"/>
      <w:bookmarkEnd w:id="46"/>
    </w:p>
    <w:p w:rsidR="00CB2A18" w:rsidRPr="00CB2A18" w:rsidRDefault="00CB2A18" w:rsidP="00CB2A18"/>
    <w:p w:rsidR="00A71B19" w:rsidRPr="002D0129" w:rsidRDefault="00A71B19" w:rsidP="00A71B19">
      <w:r w:rsidRPr="002D0129">
        <w:t xml:space="preserve">Se incluyen las siguientes inversiones: Medidores de usuarios finales regulados que no cuenten con medidor a la fecha de presentación del plan y su costo no </w:t>
      </w:r>
      <w:r>
        <w:t>sea</w:t>
      </w:r>
      <w:r w:rsidRPr="002D0129">
        <w:t xml:space="preserve"> trasladado al usuario, medidores en la </w:t>
      </w:r>
      <w:r>
        <w:t>arranque de todas las líneas</w:t>
      </w:r>
      <w:r w:rsidRPr="002D0129">
        <w:t>, medida en los puntos de entrada de cada nivel de tensión, Macromedidores instalados en transformadores de distribución e inversiones en redes antifraude</w:t>
      </w:r>
      <w:r>
        <w:t xml:space="preserve"> y sistemas de medición centralizada</w:t>
      </w:r>
      <w:r w:rsidRPr="002D0129">
        <w:t xml:space="preserve">. </w:t>
      </w:r>
    </w:p>
    <w:p w:rsidR="00A71B19" w:rsidRDefault="00A71B19" w:rsidP="00A71B19"/>
    <w:p w:rsidR="00CB2A18" w:rsidRDefault="00CB2A18" w:rsidP="00A71B19"/>
    <w:p w:rsidR="00A71B19" w:rsidRDefault="00A71B19" w:rsidP="00A71B19">
      <w:r w:rsidRPr="00E908C3">
        <w:t xml:space="preserve">En el desarrollo de los planes de reducción de pérdidas de energía, en las redes de nivel de tensión </w:t>
      </w:r>
      <w:r>
        <w:t xml:space="preserve">1 </w:t>
      </w:r>
      <w:r w:rsidRPr="00E908C3">
        <w:t>donde estén instalados o se vayan a instalar sistemas de medición centralizada</w:t>
      </w:r>
      <w:r>
        <w:t>,</w:t>
      </w:r>
      <w:r w:rsidRPr="00E908C3">
        <w:t xml:space="preserve"> el Operador de Red podrá exigir a los Comercializadores que sus usuarios tengan un medidor que incluya el elemento de comunicaciones para interrogación remota y/o para lectura de consumos acumulados a través de un visualizador para lectura en terreno. El usuario podrá cambiar su medidor por uno de las calidades exigidas o acogerse a la medida dispuesta por el OR a través de su sistema de medición centralizada.</w:t>
      </w:r>
      <w:r>
        <w:t xml:space="preserve">  En este último caso, el medidor no tendrá ningún costo para el usuario y la responsabilidad por su custodia es del OR. </w:t>
      </w:r>
    </w:p>
    <w:p w:rsidR="00A71B19" w:rsidRDefault="00A71B19" w:rsidP="00A71B19"/>
    <w:p w:rsidR="00A71B19" w:rsidRDefault="00A71B19" w:rsidP="00A71B19">
      <w:r w:rsidRPr="002D0129">
        <w:t>Se incluyen también las unidades constructivas relacionadas en el numeral 5.2 del Anexo General de la Resolución CREG 097 de 2008. Para activos de nivel de tensión 1 se reconocen los relacionados en el numeral 5.3 del mismo Anexo.</w:t>
      </w:r>
    </w:p>
    <w:p w:rsidR="00A71B19" w:rsidRDefault="00A71B19" w:rsidP="00A71B19"/>
    <w:p w:rsidR="00A71B19" w:rsidRDefault="00A71B19" w:rsidP="00A71B19">
      <w:r w:rsidRPr="00402DAB">
        <w:t>Las inversiones realizadas con anterioridad a la fecha de presentación del Plan  no se consideran dentro del cálculo de la remuneración de que trata la presente resolución.</w:t>
      </w:r>
    </w:p>
    <w:p w:rsidR="00A71B19" w:rsidRDefault="00A71B19" w:rsidP="00A71B19"/>
    <w:p w:rsidR="00A71B19" w:rsidRDefault="00A71B19" w:rsidP="00A71B19">
      <w:pPr>
        <w:rPr>
          <w:lang w:val="es-CO"/>
        </w:rPr>
      </w:pPr>
      <w:r>
        <w:rPr>
          <w:lang w:val="es-CO"/>
        </w:rPr>
        <w:t>Tampoco se consideraran las inversiones realizadas o a efectuar con recursos de Fondos de la Nación, PRONE, FAER, FOES.</w:t>
      </w:r>
    </w:p>
    <w:p w:rsidR="00A71B19" w:rsidRPr="002D0129" w:rsidRDefault="00A71B19" w:rsidP="00A71B19">
      <w:pPr>
        <w:pStyle w:val="Ttulo3"/>
      </w:pPr>
      <w:bookmarkStart w:id="47" w:name="_Ref263087082"/>
      <w:bookmarkStart w:id="48" w:name="_Toc280712151"/>
      <w:r w:rsidRPr="002D0129">
        <w:t>Listado de actividades a reconocer</w:t>
      </w:r>
      <w:bookmarkEnd w:id="47"/>
      <w:bookmarkEnd w:id="48"/>
    </w:p>
    <w:p w:rsidR="00A71B19" w:rsidRDefault="00A71B19" w:rsidP="00A71B19">
      <w:r w:rsidRPr="002D0129">
        <w:t xml:space="preserve">Se incluyen las actividades relacionadas en el numeral </w:t>
      </w:r>
      <w:fldSimple w:instr=" REF _Ref263255764 \r \h  \* MERGEFORMAT ">
        <w:r w:rsidR="00322DB3">
          <w:t>1.2</w:t>
        </w:r>
      </w:fldSimple>
      <w:r w:rsidRPr="002D0129">
        <w:t xml:space="preserve"> del </w:t>
      </w:r>
      <w:fldSimple w:instr=" REF _Ref269288717 \r \h  \* MERGEFORMAT ">
        <w:r w:rsidR="00322DB3">
          <w:t>ANEXO 1</w:t>
        </w:r>
      </w:fldSimple>
      <w:r w:rsidRPr="002D0129">
        <w:t xml:space="preserve"> de la presente resolución.</w:t>
      </w:r>
    </w:p>
    <w:p w:rsidR="00A71B19" w:rsidRDefault="00A71B19" w:rsidP="00A71B19">
      <w:pPr>
        <w:tabs>
          <w:tab w:val="left" w:pos="0"/>
        </w:tabs>
        <w:ind w:left="1413" w:hanging="1410"/>
      </w:pPr>
    </w:p>
    <w:p w:rsidR="00080B91" w:rsidRPr="00555E6A" w:rsidRDefault="00080B91" w:rsidP="00080B91">
      <w:pPr>
        <w:rPr>
          <w:rFonts w:cs="Arial"/>
          <w:b/>
          <w:spacing w:val="-3"/>
        </w:rPr>
      </w:pPr>
      <w:r w:rsidRPr="00555E6A">
        <w:rPr>
          <w:b/>
        </w:rPr>
        <w:t>Firma del proyecto</w:t>
      </w:r>
    </w:p>
    <w:p w:rsidR="00A71B19" w:rsidRDefault="00A71B19" w:rsidP="00A71B19">
      <w:pPr>
        <w:jc w:val="left"/>
        <w:rPr>
          <w:highlight w:val="yellow"/>
        </w:rPr>
      </w:pPr>
      <w:r>
        <w:rPr>
          <w:highlight w:val="yellow"/>
        </w:rPr>
        <w:br w:type="page"/>
      </w:r>
    </w:p>
    <w:p w:rsidR="00CB2A18" w:rsidRDefault="00CB2A18" w:rsidP="00A71B19">
      <w:pPr>
        <w:jc w:val="left"/>
        <w:rPr>
          <w:highlight w:val="yellow"/>
        </w:rPr>
      </w:pPr>
    </w:p>
    <w:p w:rsidR="00A71B19" w:rsidRPr="00402DAB" w:rsidRDefault="00A71B19" w:rsidP="00A71B19">
      <w:pPr>
        <w:pStyle w:val="Ttulo1"/>
      </w:pPr>
      <w:bookmarkStart w:id="49" w:name="_Ref263841090"/>
      <w:bookmarkStart w:id="50" w:name="_Ref269375596"/>
      <w:bookmarkStart w:id="51" w:name="_Toc280712152"/>
      <w:r>
        <w:t>METODOLOGÍA</w:t>
      </w:r>
      <w:r w:rsidRPr="00402DAB">
        <w:t xml:space="preserve"> PARA LA ACTUALIZACIÓN, </w:t>
      </w:r>
      <w:r w:rsidRPr="00DA1981">
        <w:t>LIQUIDACIÓN</w:t>
      </w:r>
      <w:r w:rsidRPr="00402DAB">
        <w:t xml:space="preserve"> Y RECAUDO DEL </w:t>
      </w:r>
      <w:r w:rsidRPr="003E5659">
        <w:rPr>
          <w:i/>
        </w:rPr>
        <w:t>CPROG</w:t>
      </w:r>
      <w:bookmarkEnd w:id="49"/>
      <w:r w:rsidRPr="003E5659">
        <w:rPr>
          <w:i/>
          <w:caps w:val="0"/>
          <w:vertAlign w:val="subscript"/>
        </w:rPr>
        <w:t>j,m</w:t>
      </w:r>
      <w:bookmarkEnd w:id="50"/>
      <w:bookmarkEnd w:id="51"/>
    </w:p>
    <w:p w:rsidR="00A71B19" w:rsidRDefault="00A71B19" w:rsidP="00A71B19">
      <w:r w:rsidRPr="00402DAB">
        <w:t xml:space="preserve">El </w:t>
      </w:r>
      <w:r>
        <w:t>i</w:t>
      </w:r>
      <w:r w:rsidRPr="00402DAB">
        <w:t xml:space="preserve">ngreso </w:t>
      </w:r>
      <w:r>
        <w:t>m</w:t>
      </w:r>
      <w:r w:rsidRPr="00402DAB">
        <w:t xml:space="preserve">ensual para remunerar los planes de reducción de pérdidas, en un mercado de comercialización, será liquidado y actualizado por el Liquidador y Administrador de Cuentas (LAC), mediante la aplicación de los </w:t>
      </w:r>
      <w:r>
        <w:rPr>
          <w:i/>
        </w:rPr>
        <w:t>CAP</w:t>
      </w:r>
      <w:r w:rsidRPr="00290430">
        <w:rPr>
          <w:i/>
        </w:rPr>
        <w:t>j</w:t>
      </w:r>
      <w:r>
        <w:rPr>
          <w:i/>
          <w:vertAlign w:val="subscript"/>
        </w:rPr>
        <w:t>,</w:t>
      </w:r>
      <w:r w:rsidRPr="00402DAB">
        <w:t xml:space="preserve"> aprobados a cada OR</w:t>
      </w:r>
      <w:r w:rsidR="00432422">
        <w:t>, hasta que finalice o se cancele el plan de un OR</w:t>
      </w:r>
      <w:r w:rsidRPr="00402DAB">
        <w:t xml:space="preserve">. </w:t>
      </w:r>
    </w:p>
    <w:p w:rsidR="00A71B19" w:rsidRPr="004F7F41" w:rsidRDefault="00A71B19" w:rsidP="00A71B19">
      <w:pPr>
        <w:pStyle w:val="Ttulo2"/>
      </w:pPr>
      <w:bookmarkStart w:id="52" w:name="_Toc280712153"/>
      <w:r w:rsidRPr="004F7F41">
        <w:t>Determinación del cargo mensual</w:t>
      </w:r>
      <w:bookmarkEnd w:id="52"/>
    </w:p>
    <w:p w:rsidR="00A71B19" w:rsidRDefault="00A71B19" w:rsidP="00A71B19">
      <w:pPr>
        <w:pStyle w:val="articulo"/>
      </w:pPr>
      <w:r>
        <w:t>El cargo que debe ser cobrado a los usuarios finales en cada mercado de comercialización será calculado y publicado por el LAC los primeros cinco (5) días de cada mes, de la siguiente manera:</w:t>
      </w:r>
    </w:p>
    <w:p w:rsidR="00A71B19" w:rsidRDefault="00A71B19" w:rsidP="00A71B19">
      <w:pPr>
        <w:pStyle w:val="articulo"/>
      </w:pPr>
      <w:r>
        <w:t xml:space="preserve"> </w:t>
      </w:r>
    </w:p>
    <w:p w:rsidR="00A71B19" w:rsidRPr="00D6055D" w:rsidRDefault="00822579" w:rsidP="00A71B19">
      <w:pPr>
        <w:rPr>
          <w:sz w:val="22"/>
          <w:szCs w:val="22"/>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CAP</m:t>
                  </m:r>
                </m:e>
                <m:sub>
                  <m:r>
                    <w:rPr>
                      <w:rFonts w:ascii="Cambria Math" w:hAnsi="Cambria Math"/>
                      <w:sz w:val="22"/>
                      <w:szCs w:val="22"/>
                    </w:rPr>
                    <m:t>j</m:t>
                  </m:r>
                </m:sub>
              </m:sSub>
            </m:num>
            <m:den>
              <m:sSub>
                <m:sSubPr>
                  <m:ctrlPr>
                    <w:rPr>
                      <w:rFonts w:ascii="Cambria Math" w:hAnsi="Cambria Math"/>
                      <w:sz w:val="22"/>
                      <w:szCs w:val="22"/>
                    </w:rPr>
                  </m:ctrlPr>
                </m:sSubPr>
                <m:e>
                  <m:nary>
                    <m:naryPr>
                      <m:chr m:val="∑"/>
                      <m:limLoc m:val="undOvr"/>
                      <m:ctrlPr>
                        <w:rPr>
                          <w:rFonts w:ascii="Cambria Math" w:hAnsi="Cambria Math"/>
                          <w:sz w:val="22"/>
                          <w:szCs w:val="22"/>
                        </w:rPr>
                      </m:ctrlPr>
                    </m:naryPr>
                    <m:sub>
                      <m:r>
                        <m:rPr>
                          <m:sty m:val="p"/>
                        </m:rPr>
                        <w:rPr>
                          <w:rFonts w:ascii="Cambria Math" w:hAnsi="Cambria Math"/>
                          <w:sz w:val="22"/>
                          <w:szCs w:val="22"/>
                        </w:rPr>
                        <m:t>m=-12</m:t>
                      </m:r>
                    </m:sub>
                    <m:sup>
                      <m:r>
                        <m:rPr>
                          <m:sty m:val="p"/>
                        </m:rPr>
                        <w:rPr>
                          <w:rFonts w:ascii="Cambria Math" w:hAnsi="Cambria Math"/>
                          <w:sz w:val="22"/>
                          <w:szCs w:val="22"/>
                        </w:rPr>
                        <m:t>m-1</m:t>
                      </m:r>
                    </m:sup>
                    <m:e>
                      <m:r>
                        <m:rPr>
                          <m:sty m:val="p"/>
                        </m:rPr>
                        <w:rPr>
                          <w:rFonts w:ascii="Cambria Math" w:hAnsi="Cambria Math"/>
                          <w:sz w:val="22"/>
                          <w:szCs w:val="22"/>
                        </w:rPr>
                        <m:t>VSTN</m:t>
                      </m:r>
                    </m:e>
                  </m:nary>
                </m:e>
                <m:sub>
                  <m:r>
                    <m:rPr>
                      <m:sty m:val="p"/>
                    </m:rPr>
                    <w:rPr>
                      <w:rFonts w:ascii="Cambria Math" w:hAnsi="Cambria Math"/>
                      <w:sz w:val="22"/>
                      <w:szCs w:val="22"/>
                    </w:rPr>
                    <m:t>j,m</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s=-2</m:t>
                  </m:r>
                </m:sub>
                <m:sup>
                  <m:r>
                    <m:rPr>
                      <m:sty m:val="p"/>
                    </m:rPr>
                    <w:rPr>
                      <w:rFonts w:ascii="Cambria Math" w:hAnsi="Cambria Math"/>
                      <w:sz w:val="22"/>
                      <w:szCs w:val="22"/>
                    </w:rPr>
                    <m:t>s=-1</m:t>
                  </m:r>
                </m:sup>
                <m:e>
                  <m:nary>
                    <m:naryPr>
                      <m:chr m:val="∑"/>
                      <m:limLoc m:val="undOvr"/>
                      <m:ctrlPr>
                        <w:rPr>
                          <w:rFonts w:ascii="Cambria Math" w:hAnsi="Cambria Math"/>
                          <w:i/>
                          <w:sz w:val="22"/>
                          <w:szCs w:val="22"/>
                        </w:rPr>
                      </m:ctrlPr>
                    </m:naryPr>
                    <m:sub>
                      <m:sSup>
                        <m:sSupPr>
                          <m:ctrlPr>
                            <w:rPr>
                              <w:rFonts w:ascii="Cambria Math" w:hAnsi="Cambria Math"/>
                              <w:i/>
                              <w:sz w:val="22"/>
                              <w:szCs w:val="22"/>
                            </w:rPr>
                          </m:ctrlPr>
                        </m:sSupPr>
                        <m:e>
                          <m:r>
                            <w:rPr>
                              <w:rFonts w:ascii="Cambria Math" w:hAnsi="Cambria Math"/>
                              <w:sz w:val="22"/>
                              <w:szCs w:val="22"/>
                            </w:rPr>
                            <m:t>n=1</m:t>
                          </m:r>
                        </m:e>
                        <m:sup/>
                      </m:sSup>
                    </m:sub>
                    <m:sup>
                      <m:sSub>
                        <m:sSubPr>
                          <m:ctrlPr>
                            <w:rPr>
                              <w:rFonts w:ascii="Cambria Math" w:hAnsi="Cambria Math"/>
                              <w:i/>
                              <w:sz w:val="22"/>
                              <w:szCs w:val="22"/>
                            </w:rPr>
                          </m:ctrlPr>
                        </m:sSubPr>
                        <m:e>
                          <m:r>
                            <w:rPr>
                              <w:rFonts w:ascii="Cambria Math" w:hAnsi="Cambria Math"/>
                              <w:sz w:val="22"/>
                              <w:szCs w:val="22"/>
                            </w:rPr>
                            <m:t>4</m:t>
                          </m:r>
                        </m:e>
                        <m:sub>
                          <m:sSub>
                            <m:sSubPr>
                              <m:ctrlPr>
                                <w:rPr>
                                  <w:rFonts w:ascii="Cambria Math" w:hAnsi="Cambria Math"/>
                                  <w:i/>
                                  <w:sz w:val="22"/>
                                  <w:szCs w:val="22"/>
                                </w:rPr>
                              </m:ctrlPr>
                            </m:sSubPr>
                            <m:e/>
                            <m:sub/>
                          </m:sSub>
                        </m:sub>
                      </m:sSub>
                    </m:sup>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e>
                  </m:nary>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js</m:t>
                          </m:r>
                        </m:sub>
                      </m:sSub>
                    </m:e>
                  </m:d>
                </m:e>
              </m:nary>
            </m:den>
          </m:f>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IPP</m:t>
                  </m:r>
                </m:e>
                <m:sub>
                  <m:r>
                    <w:rPr>
                      <w:rFonts w:ascii="Cambria Math" w:hAnsi="Cambria Math"/>
                      <w:sz w:val="22"/>
                      <w:szCs w:val="22"/>
                    </w:rPr>
                    <m:t>m</m:t>
                  </m:r>
                  <m:r>
                    <m:rPr>
                      <m:sty m:val="p"/>
                    </m:rPr>
                    <w:rPr>
                      <w:rFonts w:ascii="Cambria Math" w:hAnsi="Cambria Math"/>
                      <w:sz w:val="22"/>
                      <w:szCs w:val="22"/>
                    </w:rPr>
                    <m:t>-1</m:t>
                  </m:r>
                </m:sub>
              </m:sSub>
            </m:num>
            <m:den>
              <m:sSub>
                <m:sSubPr>
                  <m:ctrlPr>
                    <w:rPr>
                      <w:rFonts w:ascii="Cambria Math" w:hAnsi="Cambria Math"/>
                      <w:sz w:val="22"/>
                      <w:szCs w:val="22"/>
                    </w:rPr>
                  </m:ctrlPr>
                </m:sSubPr>
                <m:e>
                  <m:r>
                    <w:rPr>
                      <w:rFonts w:ascii="Cambria Math" w:hAnsi="Cambria Math"/>
                      <w:sz w:val="22"/>
                      <w:szCs w:val="22"/>
                    </w:rPr>
                    <m:t>IPP</m:t>
                  </m:r>
                </m:e>
                <m:sub>
                  <m:r>
                    <m:rPr>
                      <m:sty m:val="p"/>
                    </m:rPr>
                    <w:rPr>
                      <w:rFonts w:ascii="Cambria Math" w:hAnsi="Cambria Math"/>
                      <w:sz w:val="22"/>
                      <w:szCs w:val="22"/>
                    </w:rPr>
                    <m:t>0</m:t>
                  </m:r>
                </m:sub>
              </m:sSub>
            </m:den>
          </m:f>
        </m:oMath>
      </m:oMathPara>
    </w:p>
    <w:p w:rsidR="00A71B19" w:rsidRDefault="00A71B19" w:rsidP="00A71B19">
      <w:pPr>
        <w:spacing w:before="120"/>
        <w:ind w:left="1701" w:hanging="1701"/>
        <w:rPr>
          <w:i/>
          <w:iCs/>
        </w:rPr>
      </w:pPr>
      <w:r>
        <w:rPr>
          <w:i/>
          <w:iCs/>
        </w:rPr>
        <w:t>Donde:</w:t>
      </w:r>
    </w:p>
    <w:p w:rsidR="00A71B19" w:rsidRPr="00402DAB" w:rsidRDefault="00A71B19" w:rsidP="00A71B19">
      <w:pPr>
        <w:pStyle w:val="articulo"/>
        <w:ind w:left="1620" w:hanging="1620"/>
      </w:pPr>
      <w:r w:rsidRPr="00402DAB">
        <w:rPr>
          <w:i/>
          <w:iCs/>
        </w:rPr>
        <w:t>CPROG</w:t>
      </w:r>
      <w:r w:rsidRPr="00402DAB">
        <w:rPr>
          <w:i/>
          <w:iCs/>
          <w:vertAlign w:val="subscript"/>
        </w:rPr>
        <w:t>j,m</w:t>
      </w:r>
      <w:r w:rsidRPr="00402DAB">
        <w:t>:</w:t>
      </w:r>
      <w:r>
        <w:tab/>
      </w:r>
      <w:r>
        <w:tab/>
      </w:r>
      <w:r w:rsidRPr="007B5B7C">
        <w:rPr>
          <w:bCs w:val="0"/>
        </w:rPr>
        <w:t>Cargo en $/kWh por concepto del Plan de Reducción de Pérdidas no técnicas, del mercado de comercialización j, en el mes m.</w:t>
      </w:r>
    </w:p>
    <w:p w:rsidR="00A71B19" w:rsidRDefault="00A71B19" w:rsidP="00A71B19">
      <w:pPr>
        <w:pStyle w:val="articulo"/>
        <w:ind w:left="1620" w:hanging="1620"/>
      </w:pPr>
      <w:r>
        <w:rPr>
          <w:i/>
        </w:rPr>
        <w:t>CAP</w:t>
      </w:r>
      <w:r w:rsidRPr="00D20714">
        <w:rPr>
          <w:i/>
          <w:vertAlign w:val="subscript"/>
        </w:rPr>
        <w:t>j</w:t>
      </w:r>
      <w:r w:rsidRPr="00402DAB">
        <w:t>:</w:t>
      </w:r>
      <w:r w:rsidRPr="00402DAB">
        <w:tab/>
      </w:r>
      <w:r>
        <w:tab/>
      </w:r>
      <w:r w:rsidRPr="00402DAB">
        <w:t xml:space="preserve">Costo anual del </w:t>
      </w:r>
      <w:r>
        <w:t>Plan</w:t>
      </w:r>
      <w:r w:rsidRPr="00402DAB">
        <w:t xml:space="preserve"> de Reducción de Pérdidas ($), del mercado de comercialización j, aprobado al OR</w:t>
      </w:r>
      <w:r>
        <w:t xml:space="preserve">, calculado según lo expuesto en el numeral </w:t>
      </w:r>
      <w:r w:rsidR="00822579">
        <w:fldChar w:fldCharType="begin"/>
      </w:r>
      <w:r>
        <w:instrText xml:space="preserve"> REF _Ref263257801 \r \h </w:instrText>
      </w:r>
      <w:r w:rsidR="00822579">
        <w:fldChar w:fldCharType="separate"/>
      </w:r>
      <w:r w:rsidR="00322DB3">
        <w:t>2.1</w:t>
      </w:r>
      <w:r w:rsidR="00822579">
        <w:fldChar w:fldCharType="end"/>
      </w:r>
      <w:r>
        <w:t xml:space="preserve"> del </w:t>
      </w:r>
      <w:r w:rsidR="00822579">
        <w:fldChar w:fldCharType="begin"/>
      </w:r>
      <w:r>
        <w:instrText xml:space="preserve"> REF _Ref280347890 \r \h </w:instrText>
      </w:r>
      <w:r w:rsidR="00822579">
        <w:fldChar w:fldCharType="separate"/>
      </w:r>
      <w:r w:rsidR="00322DB3">
        <w:t>ANEXO 2</w:t>
      </w:r>
      <w:r w:rsidR="00822579">
        <w:fldChar w:fldCharType="end"/>
      </w:r>
      <w:r>
        <w:t xml:space="preserve"> de la presente resolución.</w:t>
      </w:r>
    </w:p>
    <w:p w:rsidR="00A71B19" w:rsidRDefault="00A71B19" w:rsidP="00A71B19">
      <w:pPr>
        <w:pStyle w:val="articulo"/>
        <w:ind w:left="1620" w:hanging="1620"/>
      </w:pPr>
      <w:r w:rsidRPr="006320D8">
        <w:rPr>
          <w:i/>
        </w:rPr>
        <w:t>VSTN</w:t>
      </w:r>
      <w:r w:rsidRPr="006320D8">
        <w:rPr>
          <w:i/>
          <w:vertAlign w:val="subscript"/>
        </w:rPr>
        <w:t>j,m</w:t>
      </w:r>
      <w:r>
        <w:t xml:space="preserve">:  </w:t>
      </w:r>
      <w:r>
        <w:tab/>
      </w:r>
      <w:r>
        <w:tab/>
      </w:r>
      <w:r w:rsidRPr="00310DC0">
        <w:t>Ventas</w:t>
      </w:r>
      <w:r>
        <w:t xml:space="preserve"> en kWh a usuarios conectados directamente al STN que corresponden al mercado de comercialización j en el mes m.  Corresponde a las lecturas tomadas directamente de los medidores de los usuarios conectados directamente al STN.</w:t>
      </w:r>
    </w:p>
    <w:p w:rsidR="00A71B19" w:rsidRDefault="00A71B19" w:rsidP="00A71B19">
      <w:pPr>
        <w:pStyle w:val="articulo"/>
        <w:ind w:left="1620" w:hanging="1620"/>
      </w:pPr>
      <w:r w:rsidRPr="00FD7CFE">
        <w:rPr>
          <w:i/>
        </w:rPr>
        <w:t>Ee</w:t>
      </w:r>
      <w:r w:rsidRPr="00FD7CFE">
        <w:rPr>
          <w:i/>
          <w:vertAlign w:val="subscript"/>
        </w:rPr>
        <w:t>j,n,s</w:t>
      </w:r>
      <w:r w:rsidRPr="00FD7CFE">
        <w:rPr>
          <w:i/>
        </w:rPr>
        <w:t>:</w:t>
      </w:r>
      <w:r w:rsidRPr="00FD7CFE">
        <w:t xml:space="preserve"> </w:t>
      </w:r>
      <w:r>
        <w:tab/>
      </w:r>
      <w:r>
        <w:tab/>
      </w:r>
      <w:r w:rsidRPr="00FD7CFE">
        <w:t xml:space="preserve">Energía de entrada al sistema del OR </w:t>
      </w:r>
      <w:r w:rsidRPr="00FD7CFE">
        <w:rPr>
          <w:i/>
        </w:rPr>
        <w:t>j</w:t>
      </w:r>
      <w:r w:rsidRPr="00FD7CFE">
        <w:t xml:space="preserve"> en el Nivel de Tensión </w:t>
      </w:r>
      <w:r w:rsidRPr="00FD7CFE">
        <w:rPr>
          <w:i/>
        </w:rPr>
        <w:t>n</w:t>
      </w:r>
      <w:r w:rsidRPr="00FD7CFE">
        <w:t xml:space="preserve">, en el </w:t>
      </w:r>
      <w:r>
        <w:t>período</w:t>
      </w:r>
      <w:r w:rsidRPr="001B1D2F">
        <w:t xml:space="preserve"> de evaluación </w:t>
      </w:r>
      <w:r>
        <w:rPr>
          <w:i/>
        </w:rPr>
        <w:t>s</w:t>
      </w:r>
      <w:r w:rsidRPr="001B1D2F">
        <w:t>, expresada en kWh</w:t>
      </w:r>
      <w:r>
        <w:t>, c</w:t>
      </w:r>
      <w:r w:rsidRPr="001B1D2F">
        <w:t xml:space="preserve">alculada como se establece en el numeral </w:t>
      </w:r>
      <w:fldSimple w:instr=" REF _Ref260127504 \r \h  \* MERGEFORMAT ">
        <w:r w:rsidR="00322DB3">
          <w:t>4.1.3</w:t>
        </w:r>
      </w:fldSimple>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1B1D2F" w:rsidRDefault="00A71B19" w:rsidP="00A71B19">
      <w:pPr>
        <w:pStyle w:val="articulo"/>
        <w:ind w:left="1620" w:hanging="1620"/>
      </w:pPr>
      <w:r w:rsidRPr="00593939">
        <w:rPr>
          <w:i/>
        </w:rPr>
        <w:t>IPT</w:t>
      </w:r>
      <w:r w:rsidRPr="00593939">
        <w:rPr>
          <w:i/>
          <w:vertAlign w:val="subscript"/>
        </w:rPr>
        <w:t>j,</w:t>
      </w:r>
      <w:r>
        <w:rPr>
          <w:i/>
          <w:vertAlign w:val="subscript"/>
        </w:rPr>
        <w:t>s</w:t>
      </w:r>
      <w:r w:rsidRPr="003B0CDB">
        <w:rPr>
          <w:i/>
        </w:rPr>
        <w:t>:</w:t>
      </w:r>
      <w:r>
        <w:rPr>
          <w:i/>
        </w:rPr>
        <w:tab/>
      </w:r>
      <w:r w:rsidRPr="001B1D2F">
        <w:tab/>
        <w:t xml:space="preserve">Índice de pérdidas totales de energía en el mercado de comercialización servido por el OR </w:t>
      </w:r>
      <w:r w:rsidRPr="00593939">
        <w:rPr>
          <w:i/>
        </w:rPr>
        <w:t>j</w:t>
      </w:r>
      <w:r w:rsidRPr="001B1D2F">
        <w:t xml:space="preserve">, en el </w:t>
      </w:r>
      <w:r>
        <w:t>período</w:t>
      </w:r>
      <w:r w:rsidRPr="001B1D2F">
        <w:t xml:space="preserve"> de evaluación </w:t>
      </w:r>
      <w:r>
        <w:rPr>
          <w:i/>
        </w:rPr>
        <w:t>s</w:t>
      </w:r>
      <w:r>
        <w:t>, calculado</w:t>
      </w:r>
      <w:r w:rsidRPr="001B1D2F">
        <w:t xml:space="preserve"> como se establece en el numeral </w:t>
      </w:r>
      <w:r w:rsidR="00822579">
        <w:fldChar w:fldCharType="begin"/>
      </w:r>
      <w:r>
        <w:instrText xml:space="preserve"> REF _Ref263338674 \r \h </w:instrText>
      </w:r>
      <w:r w:rsidR="00822579">
        <w:fldChar w:fldCharType="separate"/>
      </w:r>
      <w:r w:rsidR="00322DB3">
        <w:t>4.1</w:t>
      </w:r>
      <w:r w:rsidR="00822579">
        <w:fldChar w:fldCharType="end"/>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402DAB" w:rsidRDefault="00A71B19" w:rsidP="00A71B19">
      <w:pPr>
        <w:pStyle w:val="articulo"/>
        <w:ind w:left="1620" w:hanging="1620"/>
      </w:pPr>
      <w:r w:rsidRPr="006320D8">
        <w:rPr>
          <w:i/>
        </w:rPr>
        <w:t>IPP</w:t>
      </w:r>
      <w:r w:rsidRPr="006320D8">
        <w:rPr>
          <w:i/>
          <w:vertAlign w:val="subscript"/>
        </w:rPr>
        <w:t>m-1</w:t>
      </w:r>
      <w:r w:rsidRPr="00402DAB">
        <w:t>:</w:t>
      </w:r>
      <w:r>
        <w:tab/>
      </w:r>
      <w:r>
        <w:tab/>
      </w:r>
      <w:r w:rsidRPr="00402DAB">
        <w:t>Índice de Precios al Productor Total Nacional correspondiente al mes m-1.</w:t>
      </w:r>
    </w:p>
    <w:p w:rsidR="00A71B19" w:rsidRPr="00402DAB" w:rsidRDefault="00A71B19" w:rsidP="00A71B19">
      <w:pPr>
        <w:pStyle w:val="articulo"/>
        <w:ind w:left="1620" w:hanging="1620"/>
      </w:pPr>
      <w:r w:rsidRPr="006320D8">
        <w:rPr>
          <w:i/>
        </w:rPr>
        <w:t>IPP</w:t>
      </w:r>
      <w:r w:rsidRPr="006320D8">
        <w:rPr>
          <w:i/>
          <w:vertAlign w:val="subscript"/>
        </w:rPr>
        <w:t>o</w:t>
      </w:r>
      <w:r w:rsidRPr="00402DAB">
        <w:t>:</w:t>
      </w:r>
      <w:r w:rsidRPr="00402DAB">
        <w:tab/>
      </w:r>
      <w:r>
        <w:tab/>
      </w:r>
      <w:r w:rsidRPr="00402DAB">
        <w:t>Índice de Precios al Productor Total Nacional correspondiente al mes de diciembre de 2007.</w:t>
      </w:r>
    </w:p>
    <w:p w:rsidR="00A71B19" w:rsidRDefault="00A71B19" w:rsidP="00A71B19"/>
    <w:p w:rsidR="00CB2A18" w:rsidRDefault="00CB2A18" w:rsidP="00A71B19"/>
    <w:p w:rsidR="00CB2A18" w:rsidRDefault="00CB2A18" w:rsidP="00A71B19"/>
    <w:p w:rsidR="00CB2A18" w:rsidRDefault="00CB2A18" w:rsidP="00A71B19"/>
    <w:p w:rsidR="00CB2A18" w:rsidRDefault="00CB2A18" w:rsidP="00A71B19"/>
    <w:p w:rsidR="00CB2A18" w:rsidRDefault="00CB2A18" w:rsidP="00A71B19"/>
    <w:p w:rsidR="00A71B19" w:rsidRDefault="00A71B19" w:rsidP="00CB2A18">
      <w:pPr>
        <w:pStyle w:val="Ttulo2"/>
        <w:spacing w:before="0" w:after="0"/>
      </w:pPr>
      <w:bookmarkStart w:id="53" w:name="_Ref269375580"/>
      <w:bookmarkStart w:id="54" w:name="_Toc280712154"/>
      <w:r w:rsidRPr="005C0719">
        <w:t>Liquidación y recaudo</w:t>
      </w:r>
      <w:bookmarkEnd w:id="53"/>
      <w:bookmarkEnd w:id="54"/>
    </w:p>
    <w:p w:rsidR="00CB2A18" w:rsidRPr="00CB2A18" w:rsidRDefault="00CB2A18" w:rsidP="00CB2A18"/>
    <w:p w:rsidR="00A71B19" w:rsidRDefault="00A71B19" w:rsidP="00A71B19">
      <w:r>
        <w:t xml:space="preserve">El LAC determinará el valor que cada Comercializador debe trasladar al OR  en los plazos definidos en </w:t>
      </w:r>
      <w:r w:rsidRPr="00624F14">
        <w:t>el reglamento de comercialización</w:t>
      </w:r>
      <w:r>
        <w:t>, de acuerdo con la siguiente expresión:</w:t>
      </w:r>
    </w:p>
    <w:p w:rsidR="00A71B19" w:rsidRDefault="00A71B19" w:rsidP="00A71B19"/>
    <w:p w:rsidR="00A71B19" w:rsidRPr="00D6055D" w:rsidRDefault="00822579" w:rsidP="00A71B19">
      <w:pPr>
        <w:rPr>
          <w:i/>
        </w:rPr>
      </w:pPr>
      <m:oMathPara>
        <m:oMath>
          <m:sSub>
            <m:sSubPr>
              <m:ctrlPr>
                <w:rPr>
                  <w:rFonts w:ascii="Cambria Math" w:hAnsi="Cambria Math"/>
                  <w:sz w:val="22"/>
                  <w:szCs w:val="22"/>
                </w:rPr>
              </m:ctrlPr>
            </m:sSubPr>
            <m:e>
              <m:r>
                <w:rPr>
                  <w:rFonts w:ascii="Cambria Math" w:hAnsi="Cambria Math"/>
                  <w:sz w:val="22"/>
                  <w:szCs w:val="22"/>
                </w:rPr>
                <m:t>LCPROG</m:t>
              </m:r>
            </m:e>
            <m:sub>
              <m:r>
                <w:rPr>
                  <w:rFonts w:ascii="Cambria Math" w:hAnsi="Cambria Math"/>
                  <w:sz w:val="22"/>
                  <w:szCs w:val="22"/>
                </w:rPr>
                <m:t>i,j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j,m-1</m:t>
                  </m:r>
                </m:sub>
              </m:sSub>
            </m:e>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i,j,m-1</m:t>
              </m:r>
            </m:sub>
          </m:sSub>
        </m:oMath>
      </m:oMathPara>
    </w:p>
    <w:p w:rsidR="00A71B19" w:rsidRDefault="00A71B19" w:rsidP="00A71B19"/>
    <w:p w:rsidR="00A71B19" w:rsidRDefault="00A71B19" w:rsidP="00A71B19">
      <w:r>
        <w:t>Donde:</w:t>
      </w:r>
    </w:p>
    <w:p w:rsidR="00A71B19" w:rsidRDefault="00A71B19" w:rsidP="00A71B19"/>
    <w:p w:rsidR="00A71B19" w:rsidRPr="00402DAB" w:rsidRDefault="00A71B19" w:rsidP="00A71B19">
      <w:pPr>
        <w:spacing w:before="120"/>
        <w:ind w:left="1560" w:hanging="1560"/>
      </w:pPr>
      <w:r w:rsidRPr="00402DAB">
        <w:rPr>
          <w:i/>
          <w:iCs/>
        </w:rPr>
        <w:t>LCPROG</w:t>
      </w:r>
      <w:r w:rsidRPr="00402DAB">
        <w:rPr>
          <w:i/>
          <w:iCs/>
          <w:vertAlign w:val="subscript"/>
        </w:rPr>
        <w:t>i,j,m</w:t>
      </w:r>
      <w:r w:rsidRPr="00402DAB">
        <w:t>:</w:t>
      </w:r>
      <w:r w:rsidRPr="00402DAB">
        <w:tab/>
        <w:t xml:space="preserve">Liquidación por concepto de CPROG, </w:t>
      </w:r>
      <w:r>
        <w:t xml:space="preserve">en pesos,  </w:t>
      </w:r>
      <w:r w:rsidRPr="00402DAB">
        <w:t xml:space="preserve">en el mercado de comercialización </w:t>
      </w:r>
      <w:r w:rsidRPr="00402DAB">
        <w:rPr>
          <w:i/>
        </w:rPr>
        <w:t>j</w:t>
      </w:r>
      <w:r w:rsidRPr="00402DAB">
        <w:t xml:space="preserve">, por las ventas en el mes </w:t>
      </w:r>
      <w:r w:rsidRPr="00402DAB">
        <w:rPr>
          <w:i/>
          <w:iCs/>
        </w:rPr>
        <w:t>m</w:t>
      </w:r>
      <w:r w:rsidRPr="00402DAB">
        <w:rPr>
          <w:iCs/>
        </w:rPr>
        <w:t>, que facturará el OR</w:t>
      </w:r>
      <w:r w:rsidRPr="00402DAB">
        <w:rPr>
          <w:i/>
          <w:iCs/>
        </w:rPr>
        <w:t xml:space="preserve"> j </w:t>
      </w:r>
      <w:r w:rsidRPr="00402DAB">
        <w:t xml:space="preserve">al comercializador </w:t>
      </w:r>
      <w:r w:rsidRPr="00402DAB">
        <w:rPr>
          <w:i/>
          <w:iCs/>
        </w:rPr>
        <w:t>i</w:t>
      </w:r>
      <w:r w:rsidRPr="00402DAB">
        <w:t>.</w:t>
      </w:r>
    </w:p>
    <w:p w:rsidR="00A71B19" w:rsidRPr="00FE2849" w:rsidRDefault="00A71B19" w:rsidP="00A71B19">
      <w:pPr>
        <w:spacing w:before="120"/>
        <w:ind w:left="1560" w:hanging="1560"/>
      </w:pPr>
      <w:r w:rsidRPr="00402DAB">
        <w:rPr>
          <w:i/>
          <w:iCs/>
        </w:rPr>
        <w:t>VC</w:t>
      </w:r>
      <w:r w:rsidRPr="00402DAB">
        <w:rPr>
          <w:i/>
          <w:iCs/>
          <w:vertAlign w:val="subscript"/>
        </w:rPr>
        <w:t>i,j,m</w:t>
      </w:r>
      <w:r>
        <w:rPr>
          <w:i/>
          <w:iCs/>
          <w:vertAlign w:val="subscript"/>
        </w:rPr>
        <w:t>-1</w:t>
      </w:r>
      <w:r w:rsidRPr="00402DAB">
        <w:t>:</w:t>
      </w:r>
      <w:r w:rsidRPr="00402DAB">
        <w:tab/>
        <w:t xml:space="preserve">Ventas </w:t>
      </w:r>
      <w:r>
        <w:t xml:space="preserve">de energía </w:t>
      </w:r>
      <w:r w:rsidRPr="00402DAB">
        <w:t xml:space="preserve">del Comercializador </w:t>
      </w:r>
      <w:r w:rsidRPr="00402DAB">
        <w:rPr>
          <w:i/>
          <w:iCs/>
        </w:rPr>
        <w:t>i</w:t>
      </w:r>
      <w:r w:rsidRPr="00402DAB">
        <w:t xml:space="preserve">, en el mercado de comercialización </w:t>
      </w:r>
      <w:r w:rsidRPr="00402DAB">
        <w:rPr>
          <w:i/>
        </w:rPr>
        <w:t>j</w:t>
      </w:r>
      <w:r w:rsidRPr="00402DAB">
        <w:t xml:space="preserve">, durante el mes de consumo </w:t>
      </w:r>
      <w:r w:rsidRPr="00402DAB">
        <w:rPr>
          <w:i/>
          <w:iCs/>
        </w:rPr>
        <w:t>m</w:t>
      </w:r>
      <w:r>
        <w:rPr>
          <w:i/>
          <w:iCs/>
        </w:rPr>
        <w:t>-1</w:t>
      </w:r>
      <w:r w:rsidRPr="00402DAB">
        <w:t xml:space="preserve">, considerando las ventas a usuarios </w:t>
      </w:r>
      <w:r w:rsidRPr="00FE2849">
        <w:t xml:space="preserve">conectados directamente al STN que hacen parte del mercado de comercialización </w:t>
      </w:r>
      <w:r w:rsidRPr="00FE2849">
        <w:rPr>
          <w:i/>
        </w:rPr>
        <w:t>j</w:t>
      </w:r>
      <w:r w:rsidRPr="00FE2849">
        <w:t>, reportadas al SUI.</w:t>
      </w:r>
    </w:p>
    <w:p w:rsidR="00A71B19" w:rsidRPr="00402DAB" w:rsidRDefault="00A71B19" w:rsidP="00A71B19">
      <w:pPr>
        <w:spacing w:before="120"/>
        <w:ind w:left="1560" w:hanging="2"/>
        <w:rPr>
          <w:iCs/>
        </w:rPr>
      </w:pPr>
      <w:r w:rsidRPr="00FE2849">
        <w:t xml:space="preserve">Cuando, para un comercializador </w:t>
      </w:r>
      <w:r w:rsidRPr="00E902AC">
        <w:t>no incumbente,</w:t>
      </w:r>
      <w:r w:rsidRPr="00FE2849">
        <w:t xml:space="preserve"> el LAC encuentre diferencias de más del </w:t>
      </w:r>
      <w:r>
        <w:t>3%</w:t>
      </w:r>
      <w:r w:rsidRPr="00FE2849">
        <w:t xml:space="preserve"> entre las ventas totales reportadas al SUI y la </w:t>
      </w:r>
      <w:r w:rsidRPr="00FE2849">
        <w:rPr>
          <w:iCs/>
        </w:rPr>
        <w:t>suma de la energía medida, sin referir al STN, en las fronteras comerciales de su responsabilidad para un mismo mes; el comercializador deberá soportar la razón de las diferencias ante el LAC en un término de  (2) dos días hábiles siguientes a la publicación del informe de ventas que efectúe el LAC. En caso de no explicar las diferencias el LAC utilizará una energía equivalente a (2) dos veces el mayor valor entre los dos comparados.</w:t>
      </w:r>
    </w:p>
    <w:p w:rsidR="00A71B19" w:rsidRPr="00402DAB" w:rsidRDefault="00A71B19" w:rsidP="00A71B19"/>
    <w:p w:rsidR="00A71B19" w:rsidRPr="00402DAB" w:rsidRDefault="00A71B19" w:rsidP="00A71B19">
      <w:r w:rsidRPr="00402DAB">
        <w:t>La facturación y recaudo a los agentes comercializadores le corresponderá a los OR, utilizando la liquidación elaborada por el LAC.</w:t>
      </w:r>
    </w:p>
    <w:p w:rsidR="00A71B19" w:rsidRPr="00402DAB" w:rsidRDefault="00A71B19" w:rsidP="00A71B19"/>
    <w:p w:rsidR="00C46940" w:rsidRDefault="00A71B19" w:rsidP="00A71B19">
      <w:r w:rsidRPr="00260039">
        <w:t xml:space="preserve">Los ingresos provenientes de los usuarios </w:t>
      </w:r>
      <w:r>
        <w:t xml:space="preserve">por concepto del CPROG </w:t>
      </w:r>
      <w:r w:rsidRPr="00260039">
        <w:t xml:space="preserve">deberán ser trasladados por los comercializadores a los respectivos OR </w:t>
      </w:r>
      <w:r>
        <w:t>de acuerdo con los plazos establecidos en el Reglamento de Comercialización</w:t>
      </w:r>
      <w:r w:rsidRPr="00260039">
        <w:t>.</w:t>
      </w:r>
    </w:p>
    <w:p w:rsidR="00C46940" w:rsidRDefault="00C46940" w:rsidP="00A71B19"/>
    <w:p w:rsidR="00CB2A18" w:rsidRDefault="00C46940" w:rsidP="00A71B19">
      <w:r>
        <w:t xml:space="preserve">Se debe tener en cuenta que para la liquidación de los primeros meses, en los casos que la variable CPROG sea superior al 3% del costo unitario de Prestación del servicio del comercializador integrado al OR, los comercializadores del mercado deberán trasladar únicamente lo que corresponda según el aumento determinado en el </w:t>
      </w:r>
      <w:r w:rsidR="00822579">
        <w:fldChar w:fldCharType="begin"/>
      </w:r>
      <w:r>
        <w:instrText xml:space="preserve"> REF _Ref280712360 \r \h </w:instrText>
      </w:r>
      <w:r w:rsidR="00822579">
        <w:fldChar w:fldCharType="separate"/>
      </w:r>
      <w:r w:rsidR="00322DB3">
        <w:t>Artículo 19</w:t>
      </w:r>
      <w:r w:rsidR="00822579">
        <w:fldChar w:fldCharType="end"/>
      </w:r>
      <w:r>
        <w:t xml:space="preserve"> de la presente resolución.</w:t>
      </w:r>
    </w:p>
    <w:p w:rsidR="00CB2A18" w:rsidRDefault="00CB2A18" w:rsidP="00A71B19"/>
    <w:p w:rsidR="00CB2A18" w:rsidRDefault="00CB2A18" w:rsidP="00A71B19"/>
    <w:p w:rsidR="00080B91" w:rsidRPr="00555E6A" w:rsidRDefault="00080B91" w:rsidP="00080B91">
      <w:pPr>
        <w:rPr>
          <w:rFonts w:cs="Arial"/>
          <w:b/>
          <w:spacing w:val="-3"/>
        </w:rPr>
      </w:pPr>
      <w:r w:rsidRPr="00555E6A">
        <w:rPr>
          <w:b/>
        </w:rPr>
        <w:t>Firma del proyecto</w:t>
      </w:r>
    </w:p>
    <w:p w:rsidR="00CB2A18" w:rsidRDefault="00CB2A18" w:rsidP="00A71B19"/>
    <w:p w:rsidR="00CB2A18" w:rsidRDefault="00CB2A18" w:rsidP="00A71B19"/>
    <w:p w:rsidR="00CB2A18" w:rsidRDefault="00CB2A18" w:rsidP="00A71B19"/>
    <w:p w:rsidR="00CB2A18" w:rsidRDefault="00CB2A18" w:rsidP="00A71B19"/>
    <w:p w:rsidR="00CB2A18" w:rsidRDefault="00CB2A18" w:rsidP="00A71B19"/>
    <w:p w:rsidR="00CB2A18" w:rsidRDefault="00CB2A18" w:rsidP="00A71B19"/>
    <w:p w:rsidR="00A71B19" w:rsidRPr="00402DAB" w:rsidRDefault="00A71B19" w:rsidP="00A71B19">
      <w:pPr>
        <w:pStyle w:val="Ttulo1"/>
      </w:pPr>
      <w:bookmarkStart w:id="55" w:name="_Ref263330202"/>
      <w:bookmarkStart w:id="56" w:name="_Toc280712155"/>
      <w:r>
        <w:rPr>
          <w:caps w:val="0"/>
        </w:rPr>
        <w:t>C</w:t>
      </w:r>
      <w:r w:rsidRPr="00402DAB">
        <w:rPr>
          <w:caps w:val="0"/>
        </w:rPr>
        <w:t>ÁLCULO DE ÍNDICES DE PÉRDIDAS</w:t>
      </w:r>
      <w:bookmarkEnd w:id="55"/>
      <w:bookmarkEnd w:id="56"/>
    </w:p>
    <w:p w:rsidR="00A71B19" w:rsidRDefault="00A71B19" w:rsidP="00A71B19">
      <w:r w:rsidRPr="006A694C">
        <w:t xml:space="preserve">El ASIC debe aplicar </w:t>
      </w:r>
      <w:r>
        <w:t>la siguiente metodología</w:t>
      </w:r>
      <w:r w:rsidRPr="006A694C">
        <w:t xml:space="preserve"> para el cálculo de las pérdidas totales de energía</w:t>
      </w:r>
      <w:r>
        <w:t xml:space="preserve">, </w:t>
      </w:r>
      <w:r w:rsidRPr="006A694C">
        <w:t xml:space="preserve">las pérdidas de energía en el Nivel de Tensión 1 </w:t>
      </w:r>
      <w:r>
        <w:t xml:space="preserve">y las pérdidas de energía a distribuir </w:t>
      </w:r>
      <w:r w:rsidRPr="006A694C">
        <w:t xml:space="preserve">en los mercados de comercialización. </w:t>
      </w:r>
    </w:p>
    <w:p w:rsidR="00A71B19" w:rsidRPr="006A694C" w:rsidRDefault="00A71B19" w:rsidP="00A71B19"/>
    <w:p w:rsidR="00A71B19" w:rsidRPr="006A694C" w:rsidRDefault="00A71B19" w:rsidP="00A71B19">
      <w:r w:rsidRPr="006A694C">
        <w:t xml:space="preserve">Para determinar las pérdidas de energía se deberá emplear la información de las fronteras comerciales </w:t>
      </w:r>
      <w:r>
        <w:t xml:space="preserve">consolidadas y </w:t>
      </w:r>
      <w:r w:rsidRPr="006A694C">
        <w:t>registradas en el ASIC y la reportada al SUI</w:t>
      </w:r>
      <w:r>
        <w:t xml:space="preserve"> de acuerdo con los formatos C1 y C2 de la Circular Conjunta SSPD – CREG 0002  de 2002 y la Resolución SSPD 20102400008055 de 2010 o aquella que la complemente, modifique o sustituya</w:t>
      </w:r>
      <w:r w:rsidRPr="006A694C">
        <w:t xml:space="preserve">.  </w:t>
      </w:r>
    </w:p>
    <w:p w:rsidR="00A71B19" w:rsidRPr="006A694C" w:rsidRDefault="00A71B19" w:rsidP="00A71B19">
      <w:pPr>
        <w:pStyle w:val="Ttulo2"/>
        <w:jc w:val="both"/>
      </w:pPr>
      <w:bookmarkStart w:id="57" w:name="_Ref263338674"/>
      <w:bookmarkStart w:id="58" w:name="_Toc271216090"/>
      <w:bookmarkStart w:id="59" w:name="_Toc280712156"/>
      <w:r w:rsidRPr="006A694C">
        <w:t xml:space="preserve">Pérdidas totales de energía </w:t>
      </w:r>
      <w:r>
        <w:t xml:space="preserve">y perdidas de energía en el Nivel de tensión 1 </w:t>
      </w:r>
      <w:r w:rsidRPr="006A694C">
        <w:t xml:space="preserve">en </w:t>
      </w:r>
      <w:r>
        <w:t>los</w:t>
      </w:r>
      <w:r w:rsidRPr="006A694C">
        <w:t xml:space="preserve"> mercado</w:t>
      </w:r>
      <w:r>
        <w:t>s</w:t>
      </w:r>
      <w:r w:rsidRPr="006A694C">
        <w:t xml:space="preserve"> de comercialización</w:t>
      </w:r>
      <w:bookmarkEnd w:id="57"/>
      <w:bookmarkEnd w:id="58"/>
      <w:bookmarkEnd w:id="59"/>
      <w:r w:rsidRPr="006A694C">
        <w:t xml:space="preserve"> </w:t>
      </w:r>
    </w:p>
    <w:p w:rsidR="00A71B19" w:rsidRDefault="00A71B19" w:rsidP="00A71B19">
      <w:pPr>
        <w:pStyle w:val="Ttulo3"/>
        <w:jc w:val="both"/>
      </w:pPr>
      <w:bookmarkStart w:id="60" w:name="_Ref280338271"/>
      <w:bookmarkStart w:id="61" w:name="_Toc280712157"/>
      <w:r w:rsidRPr="006A694C">
        <w:t>Pérdidas totales de energía</w:t>
      </w:r>
      <w:bookmarkEnd w:id="60"/>
      <w:bookmarkEnd w:id="61"/>
    </w:p>
    <w:p w:rsidR="00A71B19" w:rsidRDefault="00A71B19" w:rsidP="00A71B19">
      <w:r w:rsidRPr="006A694C">
        <w:t xml:space="preserve">Las pérdidas </w:t>
      </w:r>
      <w:r>
        <w:t xml:space="preserve">totales </w:t>
      </w:r>
      <w:r w:rsidRPr="006A694C">
        <w:t xml:space="preserve">de energía en el mercado de comercialización servido por el OR </w:t>
      </w:r>
      <w:r w:rsidRPr="006A694C">
        <w:rPr>
          <w:i/>
        </w:rPr>
        <w:t>j</w:t>
      </w:r>
      <w:r w:rsidRPr="006A694C">
        <w:t xml:space="preserve"> </w:t>
      </w:r>
      <w:r>
        <w:t xml:space="preserve">para el período de evaluación </w:t>
      </w:r>
      <w:r w:rsidRPr="003F10EF">
        <w:rPr>
          <w:i/>
        </w:rPr>
        <w:t>s</w:t>
      </w:r>
      <w:r>
        <w:t xml:space="preserve"> </w:t>
      </w:r>
      <w:r w:rsidRPr="006A694C">
        <w:t>son:</w:t>
      </w:r>
    </w:p>
    <w:p w:rsidR="00A71B19" w:rsidRPr="006A694C" w:rsidRDefault="00A71B19" w:rsidP="00A71B19"/>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j,s</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NS,j,n,s</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j,n,s</m:t>
                  </m:r>
                </m:sub>
              </m:sSub>
            </m:e>
          </m:nary>
        </m:oMath>
      </m:oMathPara>
    </w:p>
    <w:p w:rsidR="00A71B19" w:rsidRDefault="00A71B19" w:rsidP="00A71B19">
      <w:pPr>
        <w:pStyle w:val="Continuarlista"/>
        <w:spacing w:before="120"/>
        <w:ind w:left="0"/>
        <w:rPr>
          <w:sz w:val="22"/>
          <w:szCs w:val="22"/>
        </w:rPr>
      </w:pPr>
    </w:p>
    <w:p w:rsidR="00A71B19" w:rsidRPr="006A694C" w:rsidRDefault="00A71B19" w:rsidP="00A71B19">
      <w:r w:rsidRPr="006A694C">
        <w:t xml:space="preserve">El índice de pérdidas totales de energía en el mercado de comercialización servido por el OR </w:t>
      </w:r>
      <w:r w:rsidRPr="006A694C">
        <w:rPr>
          <w:i/>
        </w:rPr>
        <w:t>j</w:t>
      </w:r>
      <w:r w:rsidRPr="006A694C">
        <w:t xml:space="preserve"> </w:t>
      </w:r>
      <w:r>
        <w:t xml:space="preserve">para el período de evaluación </w:t>
      </w:r>
      <w:r w:rsidRPr="003F10EF">
        <w:rPr>
          <w:i/>
        </w:rPr>
        <w:t>s</w:t>
      </w:r>
      <w:r>
        <w:t xml:space="preserve"> </w:t>
      </w:r>
      <w:r w:rsidRPr="006A694C">
        <w:t>es:</w:t>
      </w:r>
    </w:p>
    <w:p w:rsidR="00A71B19" w:rsidRPr="006A694C" w:rsidRDefault="00A71B19" w:rsidP="00A71B19">
      <w:pPr>
        <w:pStyle w:val="Continuarlista"/>
        <w:rPr>
          <w:sz w:val="2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j,s</m:t>
                  </m:r>
                </m:sub>
              </m:sSub>
            </m:num>
            <m:den>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NS,j,n,s</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rPr>
                      </m:ctrlPr>
                    </m:sSubPr>
                    <m:e>
                      <m:r>
                        <w:rPr>
                          <w:rFonts w:ascii="Cambria Math" w:hAnsi="Cambria Math"/>
                        </w:rPr>
                        <m:t>FsOR</m:t>
                      </m:r>
                    </m:e>
                    <m:sub>
                      <m:r>
                        <w:rPr>
                          <w:rFonts w:ascii="Cambria Math" w:hAnsi="Cambria Math"/>
                        </w:rPr>
                        <m:t>j,n,s</m:t>
                      </m:r>
                    </m:sub>
                  </m:sSub>
                </m:e>
              </m:nary>
            </m:den>
          </m:f>
        </m:oMath>
      </m:oMathPara>
    </w:p>
    <w:p w:rsidR="00A71B19" w:rsidRPr="00CC1949" w:rsidRDefault="00A71B19" w:rsidP="00A71B19">
      <w:pPr>
        <w:pStyle w:val="Continuarlista"/>
        <w:ind w:left="0"/>
        <w:rPr>
          <w:sz w:val="22"/>
          <w:szCs w:val="22"/>
        </w:rPr>
      </w:pPr>
      <w:r w:rsidRPr="00CC1949">
        <w:rPr>
          <w:sz w:val="22"/>
          <w:szCs w:val="22"/>
        </w:rPr>
        <w:t>Donde:</w:t>
      </w:r>
    </w:p>
    <w:p w:rsidR="00A71B19" w:rsidRDefault="00A71B19" w:rsidP="00A71B19">
      <w:pPr>
        <w:pStyle w:val="Continuarlista"/>
        <w:ind w:left="0"/>
        <w:rPr>
          <w:sz w:val="22"/>
          <w:szCs w:val="22"/>
        </w:rPr>
      </w:pPr>
    </w:p>
    <w:p w:rsidR="00A71B19" w:rsidRPr="001B1D2F" w:rsidRDefault="00A71B19" w:rsidP="00A71B19">
      <w:pPr>
        <w:ind w:left="1410" w:hanging="1410"/>
      </w:pPr>
      <w:r w:rsidRPr="00593939">
        <w:rPr>
          <w:i/>
        </w:rPr>
        <w:t>PT</w:t>
      </w:r>
      <w:r w:rsidRPr="00593939">
        <w:rPr>
          <w:i/>
          <w:vertAlign w:val="subscript"/>
        </w:rPr>
        <w:t>j,</w:t>
      </w:r>
      <w:r>
        <w:rPr>
          <w:i/>
          <w:vertAlign w:val="subscript"/>
        </w:rPr>
        <w:t>s</w:t>
      </w:r>
      <w:r>
        <w:tab/>
      </w:r>
      <w:r w:rsidRPr="001B1D2F">
        <w:t xml:space="preserve">Pérdidas totales de energía en el mercado de comercialización servido por el OR </w:t>
      </w:r>
      <w:r w:rsidRPr="00593939">
        <w:rPr>
          <w:i/>
        </w:rPr>
        <w:t>j</w:t>
      </w:r>
      <w:r w:rsidRPr="001B1D2F">
        <w:t xml:space="preserve">, </w:t>
      </w:r>
      <w:r>
        <w:t>para</w:t>
      </w:r>
      <w:r w:rsidRPr="001B1D2F">
        <w:t xml:space="preserve"> el </w:t>
      </w:r>
      <w:r>
        <w:t>período</w:t>
      </w:r>
      <w:r w:rsidRPr="001B1D2F">
        <w:t xml:space="preserve"> de evaluación </w:t>
      </w:r>
      <w:r w:rsidRPr="00EE7D23">
        <w:rPr>
          <w:i/>
        </w:rPr>
        <w:t>s</w:t>
      </w:r>
      <w:r w:rsidRPr="001B1D2F">
        <w:t>, expresadas en kWh.</w:t>
      </w:r>
    </w:p>
    <w:p w:rsidR="00A71B19" w:rsidRPr="001B1D2F" w:rsidRDefault="00A71B19" w:rsidP="00A71B19">
      <w:pPr>
        <w:rPr>
          <w:sz w:val="22"/>
          <w:szCs w:val="22"/>
        </w:rPr>
      </w:pPr>
    </w:p>
    <w:p w:rsidR="00A71B19" w:rsidRPr="001B1D2F" w:rsidRDefault="00A71B19" w:rsidP="00A71B19">
      <w:pPr>
        <w:ind w:left="1410" w:hanging="1410"/>
      </w:pPr>
      <w:r w:rsidRPr="00593939">
        <w:rPr>
          <w:i/>
        </w:rPr>
        <w:t>IPT</w:t>
      </w:r>
      <w:r w:rsidRPr="00593939">
        <w:rPr>
          <w:i/>
          <w:vertAlign w:val="subscript"/>
        </w:rPr>
        <w:t>j,</w:t>
      </w:r>
      <w:r>
        <w:rPr>
          <w:i/>
          <w:vertAlign w:val="subscript"/>
        </w:rPr>
        <w:t>s</w:t>
      </w:r>
      <w:r w:rsidRPr="001B1D2F">
        <w:tab/>
      </w:r>
      <w:r>
        <w:tab/>
      </w:r>
      <w:r w:rsidRPr="001B1D2F">
        <w:t xml:space="preserve">Índice de pérdidas totales de energía en el mercado de comercialización servido por el OR </w:t>
      </w:r>
      <w:r w:rsidRPr="00593939">
        <w:rPr>
          <w:i/>
        </w:rPr>
        <w:t>j</w:t>
      </w:r>
      <w:r w:rsidRPr="001B1D2F">
        <w:t xml:space="preserve">, </w:t>
      </w:r>
      <w:r>
        <w:t>para</w:t>
      </w:r>
      <w:r w:rsidRPr="001B1D2F">
        <w:t xml:space="preserve"> el </w:t>
      </w:r>
      <w:r>
        <w:t>período</w:t>
      </w:r>
      <w:r w:rsidRPr="001B1D2F">
        <w:t xml:space="preserve"> de evaluación</w:t>
      </w:r>
      <w:r>
        <w:t> </w:t>
      </w:r>
      <w:r>
        <w:rPr>
          <w:i/>
        </w:rPr>
        <w:t>s</w:t>
      </w:r>
      <w:r w:rsidRPr="001B1D2F">
        <w:t>.</w:t>
      </w:r>
    </w:p>
    <w:p w:rsidR="00A71B19" w:rsidRPr="001B1D2F" w:rsidRDefault="00A71B19" w:rsidP="00A71B19"/>
    <w:p w:rsidR="00A71B19" w:rsidRPr="001B1D2F" w:rsidRDefault="00A71B19" w:rsidP="00A71B19">
      <w:pPr>
        <w:ind w:left="1410" w:hanging="1410"/>
      </w:pPr>
      <w:r w:rsidRPr="00593939">
        <w:rPr>
          <w:i/>
        </w:rPr>
        <w:t>Ee</w:t>
      </w:r>
      <w:r w:rsidRPr="00593939">
        <w:rPr>
          <w:i/>
          <w:vertAlign w:val="subscript"/>
        </w:rPr>
        <w:t>j,n,</w:t>
      </w:r>
      <w:r>
        <w:rPr>
          <w:i/>
          <w:vertAlign w:val="subscript"/>
        </w:rPr>
        <w:t>s</w:t>
      </w:r>
      <w:r w:rsidRPr="001B1D2F">
        <w:tab/>
        <w:t xml:space="preserve">Energía de entrada al sistema del OR </w:t>
      </w:r>
      <w:r w:rsidRPr="00593939">
        <w:rPr>
          <w:i/>
        </w:rPr>
        <w:t>j</w:t>
      </w:r>
      <w:r w:rsidRPr="001B1D2F">
        <w:t xml:space="preserve"> en el Nivel de Tensión </w:t>
      </w:r>
      <w:r w:rsidRPr="00593939">
        <w:rPr>
          <w:i/>
        </w:rPr>
        <w:t>n</w:t>
      </w:r>
      <w:r>
        <w:rPr>
          <w:i/>
        </w:rPr>
        <w:t xml:space="preserve"> </w:t>
      </w:r>
      <w:r>
        <w:t xml:space="preserve">durante los períodos de evaluación </w:t>
      </w:r>
      <w:r w:rsidRPr="00714D8E">
        <w:rPr>
          <w:i/>
        </w:rPr>
        <w:t>s</w:t>
      </w:r>
      <w:r>
        <w:t xml:space="preserve"> y </w:t>
      </w:r>
      <w:r w:rsidRPr="00714D8E">
        <w:rPr>
          <w:i/>
        </w:rPr>
        <w:t>s-1</w:t>
      </w:r>
      <w:r w:rsidRPr="001B1D2F">
        <w:t xml:space="preserve">, expresada en kWh. Calculada como se establece en el numeral </w:t>
      </w:r>
      <w:fldSimple w:instr=" REF _Ref260127504 \r \h  \* MERGEFORMAT ">
        <w:r w:rsidR="00322DB3">
          <w:t>4.1.3</w:t>
        </w:r>
      </w:fldSimple>
      <w:r w:rsidRPr="001B1D2F">
        <w:t>.</w:t>
      </w:r>
    </w:p>
    <w:p w:rsidR="00A71B19" w:rsidRPr="001B1D2F" w:rsidRDefault="00A71B19" w:rsidP="00A71B19"/>
    <w:p w:rsidR="00A71B19" w:rsidRDefault="00A71B19" w:rsidP="00A71B19">
      <w:pPr>
        <w:ind w:left="1410" w:hanging="1410"/>
      </w:pPr>
      <w:r w:rsidRPr="00593939">
        <w:rPr>
          <w:i/>
        </w:rPr>
        <w:t>Es</w:t>
      </w:r>
      <w:r w:rsidRPr="00593939">
        <w:rPr>
          <w:i/>
          <w:vertAlign w:val="subscript"/>
        </w:rPr>
        <w:t>j,n,</w:t>
      </w:r>
      <w:r>
        <w:rPr>
          <w:i/>
          <w:vertAlign w:val="subscript"/>
        </w:rPr>
        <w:t>s</w:t>
      </w:r>
      <w:r w:rsidRPr="001B1D2F">
        <w:tab/>
        <w:t xml:space="preserve">Energía de salida del sistema del OR </w:t>
      </w:r>
      <w:r w:rsidRPr="00593939">
        <w:rPr>
          <w:i/>
        </w:rPr>
        <w:t>j</w:t>
      </w:r>
      <w:r w:rsidRPr="001B1D2F">
        <w:t xml:space="preserve"> en el Nivel de Tensión </w:t>
      </w:r>
      <w:r w:rsidRPr="00593939">
        <w:rPr>
          <w:i/>
        </w:rPr>
        <w:t>n</w:t>
      </w:r>
      <w:r>
        <w:rPr>
          <w:i/>
        </w:rPr>
        <w:t xml:space="preserve"> </w:t>
      </w:r>
      <w:r>
        <w:t xml:space="preserve">durante los períodos de evaluación </w:t>
      </w:r>
      <w:r w:rsidRPr="00714D8E">
        <w:rPr>
          <w:i/>
        </w:rPr>
        <w:t>s</w:t>
      </w:r>
      <w:r>
        <w:t xml:space="preserve"> y </w:t>
      </w:r>
      <w:r w:rsidRPr="00714D8E">
        <w:rPr>
          <w:i/>
        </w:rPr>
        <w:t>s-1</w:t>
      </w:r>
      <w:r w:rsidRPr="001B1D2F">
        <w:t xml:space="preserve">, expresada en kWh. Calculada como se establece en el numeral </w:t>
      </w:r>
      <w:fldSimple w:instr=" REF _Ref260127523 \r \h  \* MERGEFORMAT ">
        <w:r w:rsidR="00322DB3">
          <w:t>4.1.4</w:t>
        </w:r>
      </w:fldSimple>
      <w:r w:rsidRPr="001B1D2F">
        <w:t>.</w:t>
      </w:r>
    </w:p>
    <w:p w:rsidR="00A71B19" w:rsidRDefault="00A71B19" w:rsidP="00A71B19">
      <w:pPr>
        <w:ind w:left="1410" w:hanging="1410"/>
      </w:pPr>
    </w:p>
    <w:p w:rsidR="00A71B19" w:rsidRDefault="00A71B19" w:rsidP="00A71B19">
      <w:pPr>
        <w:ind w:left="1410" w:hanging="1410"/>
      </w:pPr>
      <w:r w:rsidRPr="007110E1">
        <w:rPr>
          <w:i/>
        </w:rPr>
        <w:t>Fe</w:t>
      </w:r>
      <w:r w:rsidRPr="007110E1">
        <w:rPr>
          <w:i/>
          <w:vertAlign w:val="subscript"/>
        </w:rPr>
        <w:t>NS,j,n,</w:t>
      </w:r>
      <w:r>
        <w:rPr>
          <w:i/>
          <w:vertAlign w:val="subscript"/>
        </w:rPr>
        <w:t>s</w:t>
      </w:r>
      <w:r w:rsidRPr="001B1D2F">
        <w:t xml:space="preserve"> </w:t>
      </w:r>
      <w:r w:rsidRPr="001B1D2F">
        <w:tab/>
        <w:t xml:space="preserve">Flujo de energía desde Niveles de Tensión superiores en el sistema del OR </w:t>
      </w:r>
      <w:r w:rsidRPr="001B1D2F">
        <w:rPr>
          <w:i/>
        </w:rPr>
        <w:t>j</w:t>
      </w:r>
      <w:r w:rsidRPr="001B1D2F">
        <w:t xml:space="preserve">, al Nivel de Tensión </w:t>
      </w:r>
      <w:r w:rsidRPr="001B1D2F">
        <w:rPr>
          <w:i/>
        </w:rPr>
        <w:t xml:space="preserve">n, </w:t>
      </w:r>
      <w:r>
        <w:t xml:space="preserve">durante los períodos de evaluación </w:t>
      </w:r>
      <w:r w:rsidRPr="00714D8E">
        <w:rPr>
          <w:i/>
        </w:rPr>
        <w:t>s</w:t>
      </w:r>
      <w:r>
        <w:t xml:space="preserve"> y </w:t>
      </w:r>
      <w:r w:rsidRPr="00714D8E">
        <w:rPr>
          <w:i/>
        </w:rPr>
        <w:t>s-1</w:t>
      </w:r>
      <w:r w:rsidRPr="001B1D2F">
        <w:rPr>
          <w:i/>
        </w:rPr>
        <w:t>,</w:t>
      </w:r>
      <w:r w:rsidRPr="001B1D2F">
        <w:t xml:space="preserve">  expresad</w:t>
      </w:r>
      <w:r>
        <w:t>o</w:t>
      </w:r>
      <w:r w:rsidRPr="001B1D2F">
        <w:t xml:space="preserve"> en kWh. Calculada como se establece en el numeral </w:t>
      </w:r>
      <w:r w:rsidR="00822579">
        <w:fldChar w:fldCharType="begin"/>
      </w:r>
      <w:r>
        <w:instrText xml:space="preserve"> REF _Ref269307806 \r \h </w:instrText>
      </w:r>
      <w:r w:rsidR="00822579">
        <w:fldChar w:fldCharType="separate"/>
      </w:r>
      <w:r w:rsidR="00322DB3">
        <w:t>4.1.6</w:t>
      </w:r>
      <w:r w:rsidR="00822579">
        <w:fldChar w:fldCharType="end"/>
      </w:r>
      <w:r w:rsidRPr="001B1D2F">
        <w:t>.</w:t>
      </w:r>
    </w:p>
    <w:p w:rsidR="00A71B19" w:rsidRDefault="00A71B19" w:rsidP="00A71B19">
      <w:pPr>
        <w:ind w:left="1410" w:hanging="1410"/>
      </w:pPr>
    </w:p>
    <w:p w:rsidR="00A71B19" w:rsidRPr="00DF5C26" w:rsidRDefault="00A71B19" w:rsidP="00A71B19">
      <w:pPr>
        <w:ind w:left="1410" w:hanging="1410"/>
        <w:rPr>
          <w:lang w:val="es-CO"/>
        </w:rPr>
      </w:pPr>
      <w:r w:rsidRPr="00821D81">
        <w:rPr>
          <w:i/>
        </w:rPr>
        <w:t>Fs</w:t>
      </w:r>
      <w:r w:rsidRPr="00821D81">
        <w:rPr>
          <w:i/>
          <w:vertAlign w:val="subscript"/>
        </w:rPr>
        <w:t>OR,j,n,</w:t>
      </w:r>
      <w:r>
        <w:rPr>
          <w:i/>
          <w:vertAlign w:val="subscript"/>
        </w:rPr>
        <w:t>s</w:t>
      </w:r>
      <w:r>
        <w:t xml:space="preserve"> </w:t>
      </w:r>
      <w:r w:rsidRPr="001B1D2F">
        <w:t xml:space="preserve"> </w:t>
      </w:r>
      <w:r w:rsidRPr="001B1D2F">
        <w:tab/>
        <w:t xml:space="preserve">Flujo de energía de salida desde el sistema del OR </w:t>
      </w:r>
      <w:r w:rsidRPr="001B1D2F">
        <w:rPr>
          <w:i/>
        </w:rPr>
        <w:t>j</w:t>
      </w:r>
      <w:r w:rsidRPr="001B1D2F">
        <w:t xml:space="preserve"> en el Nivel de Tensión </w:t>
      </w:r>
      <w:r w:rsidRPr="001B1D2F">
        <w:rPr>
          <w:i/>
        </w:rPr>
        <w:t>n</w:t>
      </w:r>
      <w:r w:rsidRPr="001B1D2F">
        <w:t xml:space="preserve">, a otros STR y/o SDL, </w:t>
      </w:r>
      <w:r>
        <w:t xml:space="preserve">durante los períodos de evaluación </w:t>
      </w:r>
      <w:r w:rsidRPr="00714D8E">
        <w:rPr>
          <w:i/>
        </w:rPr>
        <w:t>s</w:t>
      </w:r>
      <w:r>
        <w:t xml:space="preserve"> y </w:t>
      </w:r>
      <w:r w:rsidRPr="00714D8E">
        <w:rPr>
          <w:i/>
        </w:rPr>
        <w:t>s-1</w:t>
      </w:r>
      <w:r w:rsidRPr="001B1D2F">
        <w:rPr>
          <w:i/>
        </w:rPr>
        <w:t>,</w:t>
      </w:r>
      <w:r w:rsidRPr="001B1D2F">
        <w:t xml:space="preserve">  expresad</w:t>
      </w:r>
      <w:r>
        <w:t>o</w:t>
      </w:r>
      <w:r w:rsidRPr="001B1D2F">
        <w:t xml:space="preserve"> en kWh. Corresponde a la suma de las energías medidas en las fronteras comerciales entre OR, sin referir al STN, registradas en el ASIC</w:t>
      </w:r>
    </w:p>
    <w:p w:rsidR="00A71B19" w:rsidRPr="001B1D2F" w:rsidRDefault="00A71B19" w:rsidP="00A71B19"/>
    <w:p w:rsidR="00A71B19" w:rsidRPr="001B1D2F" w:rsidRDefault="00A71B19" w:rsidP="00A71B19">
      <w:pPr>
        <w:ind w:left="1410" w:hanging="1410"/>
      </w:pPr>
      <w:r w:rsidRPr="001C7E2A">
        <w:rPr>
          <w:i/>
        </w:rPr>
        <w:t>n</w:t>
      </w:r>
      <w:r w:rsidRPr="001B1D2F">
        <w:tab/>
      </w:r>
      <w:r w:rsidRPr="001B1D2F">
        <w:tab/>
        <w:t>Corresponde al Nivel de Tensión para el cual se determina la energía. Toma los valores de 1, 2, 3 y 4.</w:t>
      </w:r>
    </w:p>
    <w:p w:rsidR="00A71B19" w:rsidRPr="001B1D2F" w:rsidRDefault="00A71B19" w:rsidP="00A71B19"/>
    <w:p w:rsidR="00A71B19" w:rsidRDefault="00A71B19" w:rsidP="00CB2A18">
      <w:pPr>
        <w:pStyle w:val="Ttulo3"/>
        <w:spacing w:before="0" w:after="0"/>
        <w:jc w:val="both"/>
      </w:pPr>
      <w:bookmarkStart w:id="62" w:name="_Ref266433168"/>
      <w:bookmarkStart w:id="63" w:name="_Toc271216091"/>
      <w:bookmarkStart w:id="64" w:name="_Toc280712158"/>
      <w:r w:rsidRPr="006A694C">
        <w:t>Pérdidas de energía en el Nivel de Tensión 1</w:t>
      </w:r>
      <w:bookmarkEnd w:id="62"/>
      <w:bookmarkEnd w:id="63"/>
      <w:bookmarkEnd w:id="64"/>
    </w:p>
    <w:p w:rsidR="00CB2A18" w:rsidRPr="00CB2A18" w:rsidRDefault="00CB2A18" w:rsidP="00CB2A18"/>
    <w:p w:rsidR="00A71B19" w:rsidRDefault="00A71B19" w:rsidP="00A71B19">
      <w:pPr>
        <w:rPr>
          <w:iCs/>
        </w:rPr>
      </w:pPr>
      <w:r w:rsidRPr="006A694C">
        <w:t>Para determinar las pérdidas del Nivel de Tensión 1, el ASIC debe realizar el balance de energía para los niveles de tensión superiores</w:t>
      </w:r>
      <w:r w:rsidR="00051727">
        <w:t>,</w:t>
      </w:r>
      <w:r w:rsidRPr="006A694C">
        <w:t xml:space="preserve"> empleando </w:t>
      </w:r>
      <w:r w:rsidRPr="006A694C">
        <w:rPr>
          <w:iCs/>
        </w:rPr>
        <w:t>lo definido en el presente anexo.</w:t>
      </w:r>
    </w:p>
    <w:p w:rsidR="00A71B19" w:rsidRDefault="00A71B19" w:rsidP="00A71B19">
      <w:pPr>
        <w:rPr>
          <w:iCs/>
        </w:rPr>
      </w:pPr>
    </w:p>
    <w:p w:rsidR="00A71B19" w:rsidRPr="006A694C" w:rsidRDefault="00A71B19" w:rsidP="00A71B19">
      <w:r w:rsidRPr="006A694C">
        <w:t xml:space="preserve">Las pérdidas de energía en el Nivel de Tensión 1 del sistema del OR </w:t>
      </w:r>
      <w:r w:rsidRPr="006A694C">
        <w:rPr>
          <w:i/>
        </w:rPr>
        <w:t>j</w:t>
      </w:r>
      <w:r w:rsidRPr="006A694C">
        <w:t xml:space="preserve"> son:</w:t>
      </w:r>
    </w:p>
    <w:p w:rsidR="00A71B19" w:rsidRPr="00593939" w:rsidRDefault="00A71B19" w:rsidP="00A71B19">
      <w:pPr>
        <w:pStyle w:val="Continuarlista"/>
        <w:ind w:left="0"/>
        <w:rPr>
          <w:b/>
          <w:sz w:val="2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j,1,s</m:t>
              </m:r>
            </m:sub>
          </m:sSub>
        </m:oMath>
      </m:oMathPara>
    </w:p>
    <w:p w:rsidR="00A71B19" w:rsidRPr="006A694C" w:rsidRDefault="00A71B19" w:rsidP="00A71B19">
      <w:pPr>
        <w:pStyle w:val="Continuarlista"/>
        <w:ind w:left="0"/>
        <w:rPr>
          <w:sz w:val="22"/>
          <w:szCs w:val="22"/>
        </w:rPr>
      </w:pPr>
    </w:p>
    <w:p w:rsidR="00A71B19" w:rsidRPr="006A694C" w:rsidRDefault="00A71B19" w:rsidP="00CA5090">
      <w:pPr>
        <w:rPr>
          <w:sz w:val="22"/>
          <w:szCs w:val="22"/>
        </w:rPr>
      </w:pPr>
      <w:r w:rsidRPr="006A694C">
        <w:t xml:space="preserve">El índice de pérdidas de energía en el Nivel de Tensión 1 del sistema del OR </w:t>
      </w:r>
      <w:r w:rsidRPr="006A694C">
        <w:rPr>
          <w:i/>
        </w:rPr>
        <w:t>j</w:t>
      </w:r>
      <w:r w:rsidRPr="006A694C">
        <w:t xml:space="preserve"> es:</w:t>
      </w: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IPE</m:t>
              </m:r>
            </m:e>
            <m:sub>
              <m:r>
                <w:rPr>
                  <w:rFonts w:ascii="Cambria Math" w:hAnsi="Cambria Math"/>
                  <w:sz w:val="22"/>
                  <w:szCs w:val="22"/>
                </w:rPr>
                <m:t>j,1,s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j,1,s</m:t>
                  </m:r>
                </m:sub>
              </m:sSub>
            </m:num>
            <m:den>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j,1,s</m:t>
                  </m:r>
                </m:sub>
              </m:sSub>
            </m:den>
          </m:f>
        </m:oMath>
      </m:oMathPara>
    </w:p>
    <w:p w:rsidR="00A71B19" w:rsidRDefault="00A71B19" w:rsidP="00A71B19">
      <w:r w:rsidRPr="006A694C">
        <w:t xml:space="preserve">Donde, </w:t>
      </w:r>
    </w:p>
    <w:p w:rsidR="00A71B19" w:rsidRDefault="00A71B19" w:rsidP="00A71B19">
      <w:pPr>
        <w:pStyle w:val="Continuarlista"/>
        <w:ind w:left="0"/>
        <w:rPr>
          <w:sz w:val="22"/>
          <w:szCs w:val="22"/>
        </w:rPr>
      </w:pPr>
    </w:p>
    <w:p w:rsidR="00A71B19" w:rsidRPr="001B1D2F" w:rsidRDefault="00A71B19" w:rsidP="00A71B19">
      <w:pPr>
        <w:ind w:left="1410" w:hanging="1410"/>
        <w:rPr>
          <w:i/>
        </w:rPr>
      </w:pPr>
      <w:r w:rsidRPr="00593939">
        <w:rPr>
          <w:i/>
        </w:rPr>
        <w:t>IPE</w:t>
      </w:r>
      <w:r w:rsidRPr="00593939">
        <w:rPr>
          <w:i/>
          <w:vertAlign w:val="subscript"/>
        </w:rPr>
        <w:t>j,1,</w:t>
      </w:r>
      <w:r>
        <w:rPr>
          <w:i/>
          <w:vertAlign w:val="subscript"/>
        </w:rPr>
        <w:t>s</w:t>
      </w:r>
      <w:r w:rsidRPr="001B1D2F">
        <w:tab/>
        <w:t xml:space="preserve">Índice de pérdidas de energía en el sistema del OR </w:t>
      </w:r>
      <w:r w:rsidRPr="00593939">
        <w:rPr>
          <w:i/>
        </w:rPr>
        <w:t>j</w:t>
      </w:r>
      <w:r w:rsidRPr="001B1D2F">
        <w:t xml:space="preserve">, Nivel de Tensión 1 del sistema del OR </w:t>
      </w:r>
      <w:r w:rsidRPr="00593939">
        <w:rPr>
          <w:i/>
        </w:rPr>
        <w:t>j</w:t>
      </w:r>
      <w:r>
        <w:rPr>
          <w:i/>
        </w:rPr>
        <w:t xml:space="preserve"> </w:t>
      </w:r>
      <w:r w:rsidRPr="005C67B5">
        <w:t>para</w:t>
      </w:r>
      <w:r w:rsidRPr="001B1D2F">
        <w:t xml:space="preserve"> el </w:t>
      </w:r>
      <w:r>
        <w:t>período</w:t>
      </w:r>
      <w:r w:rsidRPr="001B1D2F">
        <w:t xml:space="preserve"> de evaluación </w:t>
      </w:r>
      <w:r w:rsidRPr="00B83968">
        <w:rPr>
          <w:i/>
        </w:rPr>
        <w:t>s</w:t>
      </w:r>
      <w:r w:rsidRPr="001B1D2F">
        <w:t>.</w:t>
      </w:r>
    </w:p>
    <w:p w:rsidR="00A71B19" w:rsidRDefault="00A71B19" w:rsidP="00A71B19">
      <w:pPr>
        <w:pStyle w:val="Continuarlista"/>
        <w:ind w:left="0"/>
        <w:rPr>
          <w:sz w:val="22"/>
          <w:szCs w:val="22"/>
        </w:rPr>
      </w:pPr>
    </w:p>
    <w:p w:rsidR="00A71B19" w:rsidRPr="001B1D2F" w:rsidRDefault="00A71B19" w:rsidP="00A71B19">
      <w:pPr>
        <w:ind w:left="1410" w:hanging="1410"/>
      </w:pPr>
      <w:r w:rsidRPr="00593939">
        <w:rPr>
          <w:i/>
        </w:rPr>
        <w:t>PE</w:t>
      </w:r>
      <w:r w:rsidRPr="00593939">
        <w:rPr>
          <w:i/>
          <w:vertAlign w:val="subscript"/>
        </w:rPr>
        <w:t>j,1,</w:t>
      </w:r>
      <w:r>
        <w:rPr>
          <w:i/>
          <w:vertAlign w:val="subscript"/>
        </w:rPr>
        <w:t>s</w:t>
      </w:r>
      <w:r w:rsidRPr="001B1D2F">
        <w:tab/>
        <w:t xml:space="preserve">Pérdidas de energía en el sistema del OR </w:t>
      </w:r>
      <w:r w:rsidRPr="00593939">
        <w:rPr>
          <w:i/>
        </w:rPr>
        <w:t>j</w:t>
      </w:r>
      <w:r w:rsidRPr="001B1D2F">
        <w:t>, en el Nivel de Tensión 1</w:t>
      </w:r>
      <w:r w:rsidRPr="005C67B5">
        <w:t xml:space="preserve"> </w:t>
      </w:r>
      <w:r>
        <w:t xml:space="preserve">durante los períodos de evaluación </w:t>
      </w:r>
      <w:r w:rsidRPr="00714D8E">
        <w:rPr>
          <w:i/>
        </w:rPr>
        <w:t>s</w:t>
      </w:r>
      <w:r>
        <w:t xml:space="preserve"> y </w:t>
      </w:r>
      <w:r w:rsidRPr="00714D8E">
        <w:rPr>
          <w:i/>
        </w:rPr>
        <w:t>s-1</w:t>
      </w:r>
      <w:r w:rsidRPr="001B1D2F">
        <w:t>, expresadas en kWh.</w:t>
      </w:r>
    </w:p>
    <w:p w:rsidR="00A71B19" w:rsidRPr="001B1D2F" w:rsidRDefault="00A71B19" w:rsidP="00A71B19">
      <w:pPr>
        <w:rPr>
          <w:sz w:val="22"/>
          <w:szCs w:val="22"/>
        </w:rPr>
      </w:pPr>
    </w:p>
    <w:p w:rsidR="00A71B19" w:rsidRPr="001B1D2F" w:rsidRDefault="00A71B19" w:rsidP="00A71B19">
      <w:pPr>
        <w:ind w:left="1410" w:hanging="1410"/>
      </w:pPr>
      <w:r w:rsidRPr="00593939">
        <w:rPr>
          <w:i/>
        </w:rPr>
        <w:t>Ee</w:t>
      </w:r>
      <w:r w:rsidRPr="00593939">
        <w:rPr>
          <w:i/>
          <w:vertAlign w:val="subscript"/>
        </w:rPr>
        <w:t>j,1,</w:t>
      </w:r>
      <w:r>
        <w:rPr>
          <w:i/>
          <w:vertAlign w:val="subscript"/>
        </w:rPr>
        <w:t>s</w:t>
      </w:r>
      <w:r w:rsidRPr="001B1D2F">
        <w:rPr>
          <w:i/>
        </w:rPr>
        <w:tab/>
      </w:r>
      <w:r w:rsidRPr="001B1D2F">
        <w:t xml:space="preserve">Energía de entrada al sistema del OR </w:t>
      </w:r>
      <w:r w:rsidRPr="00593939">
        <w:rPr>
          <w:i/>
        </w:rPr>
        <w:t>j</w:t>
      </w:r>
      <w:r w:rsidRPr="001B1D2F">
        <w:t xml:space="preserve"> en el Nivel de Tensión 1</w:t>
      </w:r>
      <w:r w:rsidRPr="005C67B5">
        <w:t xml:space="preserve"> </w:t>
      </w:r>
      <w:r>
        <w:t xml:space="preserve">durante los períodos de evaluación </w:t>
      </w:r>
      <w:r w:rsidRPr="00714D8E">
        <w:rPr>
          <w:i/>
        </w:rPr>
        <w:t>s</w:t>
      </w:r>
      <w:r>
        <w:t xml:space="preserve"> y </w:t>
      </w:r>
      <w:r w:rsidRPr="00714D8E">
        <w:rPr>
          <w:i/>
        </w:rPr>
        <w:t>s-1</w:t>
      </w:r>
      <w:r w:rsidRPr="001B1D2F">
        <w:t xml:space="preserve">, expresada en kWh. Calculada como se establece en el numeral </w:t>
      </w:r>
      <w:fldSimple w:instr=" REF _Ref260127504 \r \h  \* MERGEFORMAT ">
        <w:r w:rsidR="00322DB3">
          <w:t>4.1.3</w:t>
        </w:r>
      </w:fldSimple>
      <w:r w:rsidRPr="001B1D2F">
        <w:t>.</w:t>
      </w:r>
    </w:p>
    <w:p w:rsidR="00A71B19" w:rsidRPr="001B1D2F" w:rsidRDefault="00A71B19" w:rsidP="00A71B19">
      <w:pPr>
        <w:rPr>
          <w:i/>
        </w:rPr>
      </w:pPr>
    </w:p>
    <w:p w:rsidR="00A71B19" w:rsidRPr="001B1D2F" w:rsidRDefault="00A71B19" w:rsidP="00A71B19">
      <w:pPr>
        <w:ind w:left="1410" w:hanging="1410"/>
      </w:pPr>
      <w:r>
        <w:rPr>
          <w:i/>
        </w:rPr>
        <w:t>Es</w:t>
      </w:r>
      <w:r w:rsidRPr="00593939">
        <w:rPr>
          <w:i/>
          <w:vertAlign w:val="subscript"/>
        </w:rPr>
        <w:t>j,1,</w:t>
      </w:r>
      <w:r>
        <w:rPr>
          <w:i/>
          <w:vertAlign w:val="subscript"/>
        </w:rPr>
        <w:t>s</w:t>
      </w:r>
      <w:r w:rsidRPr="001B1D2F">
        <w:rPr>
          <w:i/>
        </w:rPr>
        <w:tab/>
      </w:r>
      <w:r w:rsidRPr="001B1D2F">
        <w:t xml:space="preserve">Energía de salida  del sistema del OR </w:t>
      </w:r>
      <w:r w:rsidRPr="00593939">
        <w:rPr>
          <w:i/>
        </w:rPr>
        <w:t>j</w:t>
      </w:r>
      <w:r w:rsidRPr="001B1D2F">
        <w:t>, en el Nivel de Tensión 1</w:t>
      </w:r>
      <w:r w:rsidRPr="005C67B5">
        <w:t xml:space="preserve"> </w:t>
      </w:r>
      <w:r>
        <w:t xml:space="preserve">durante los períodos de evaluación </w:t>
      </w:r>
      <w:r w:rsidRPr="00714D8E">
        <w:rPr>
          <w:i/>
        </w:rPr>
        <w:t>s</w:t>
      </w:r>
      <w:r>
        <w:t xml:space="preserve"> y </w:t>
      </w:r>
      <w:r w:rsidRPr="00714D8E">
        <w:rPr>
          <w:i/>
        </w:rPr>
        <w:t>s-1</w:t>
      </w:r>
      <w:r w:rsidRPr="001B1D2F">
        <w:t xml:space="preserve">, expresada en kWh. Calculada como se establece en el numeral </w:t>
      </w:r>
      <w:fldSimple w:instr=" REF _Ref260127523 \r \h  \* MERGEFORMAT ">
        <w:r w:rsidR="00322DB3">
          <w:t>4.1.4</w:t>
        </w:r>
      </w:fldSimple>
      <w:r w:rsidRPr="001B1D2F">
        <w:t>.</w:t>
      </w:r>
    </w:p>
    <w:p w:rsidR="00A71B19" w:rsidRPr="001B1D2F" w:rsidRDefault="00A71B19" w:rsidP="00A71B19"/>
    <w:p w:rsidR="00A71B19" w:rsidRDefault="00A71B19" w:rsidP="00CB2A18">
      <w:pPr>
        <w:pStyle w:val="Ttulo3"/>
        <w:spacing w:before="0" w:after="0"/>
        <w:jc w:val="both"/>
      </w:pPr>
      <w:bookmarkStart w:id="65" w:name="_Ref260036390"/>
      <w:bookmarkStart w:id="66" w:name="_Ref260127504"/>
      <w:bookmarkStart w:id="67" w:name="_Toc271216092"/>
      <w:bookmarkStart w:id="68" w:name="_Toc280712159"/>
      <w:r w:rsidRPr="006A694C">
        <w:t>C</w:t>
      </w:r>
      <w:r>
        <w:t>á</w:t>
      </w:r>
      <w:r w:rsidRPr="006A694C">
        <w:t xml:space="preserve">lculo de la energía de entrada </w:t>
      </w:r>
      <w:bookmarkEnd w:id="65"/>
      <w:r w:rsidRPr="006A694C">
        <w:t>para cada Nivel de Tensión</w:t>
      </w:r>
      <w:bookmarkEnd w:id="66"/>
      <w:bookmarkEnd w:id="67"/>
      <w:bookmarkEnd w:id="68"/>
      <w:r w:rsidRPr="006A694C">
        <w:t xml:space="preserve"> </w:t>
      </w:r>
    </w:p>
    <w:p w:rsidR="00CB2A18" w:rsidRPr="00CB2A18" w:rsidRDefault="00CB2A18" w:rsidP="00CB2A18"/>
    <w:p w:rsidR="00A71B19" w:rsidRDefault="00A71B19" w:rsidP="00A71B19">
      <w:r w:rsidRPr="006A694C">
        <w:t xml:space="preserve">La energía de entrada en cada uno de los Niveles de Tensión del sistema del OR </w:t>
      </w:r>
      <w:r w:rsidRPr="006A694C">
        <w:rPr>
          <w:i/>
        </w:rPr>
        <w:t>j,</w:t>
      </w:r>
      <w:r w:rsidRPr="006A694C">
        <w:t xml:space="preserve"> se calcula como sigue:</w:t>
      </w:r>
    </w:p>
    <w:p w:rsidR="00A71B19" w:rsidRPr="00CB2A18" w:rsidRDefault="00A71B19" w:rsidP="00A71B19">
      <w:pPr>
        <w:pStyle w:val="Continuarlista"/>
        <w:rPr>
          <w:sz w:val="1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G,j,n,s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STN,j,n,s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OR,j,n,s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NS,j,n,s</m:t>
              </m:r>
            </m:sub>
          </m:sSub>
        </m:oMath>
      </m:oMathPara>
    </w:p>
    <w:p w:rsidR="00A71B19" w:rsidRDefault="00A71B19" w:rsidP="00A71B19">
      <w:r w:rsidRPr="006A694C">
        <w:t>Donde,</w:t>
      </w:r>
    </w:p>
    <w:p w:rsidR="00A71B19" w:rsidRDefault="00A71B19" w:rsidP="00A71B19">
      <w:pPr>
        <w:pStyle w:val="Continuarlista"/>
        <w:ind w:left="0"/>
        <w:rPr>
          <w:sz w:val="22"/>
          <w:szCs w:val="22"/>
        </w:rPr>
      </w:pPr>
    </w:p>
    <w:p w:rsidR="00A71B19" w:rsidRPr="001B1D2F" w:rsidRDefault="00A71B19" w:rsidP="00A71B19">
      <w:pPr>
        <w:ind w:left="1410" w:hanging="1410"/>
      </w:pPr>
      <w:r w:rsidRPr="007110E1">
        <w:rPr>
          <w:i/>
        </w:rPr>
        <w:t>Ee</w:t>
      </w:r>
      <w:r w:rsidRPr="007110E1">
        <w:rPr>
          <w:i/>
          <w:vertAlign w:val="subscript"/>
        </w:rPr>
        <w:t>j,n,</w:t>
      </w:r>
      <w:r>
        <w:rPr>
          <w:i/>
          <w:vertAlign w:val="subscript"/>
        </w:rPr>
        <w:t>s</w:t>
      </w:r>
      <w:r w:rsidRPr="001B1D2F">
        <w:tab/>
        <w:t xml:space="preserve">Energía de entrada al sistema del OR </w:t>
      </w:r>
      <w:r w:rsidRPr="007110E1">
        <w:rPr>
          <w:i/>
        </w:rPr>
        <w:t>j</w:t>
      </w:r>
      <w:r w:rsidRPr="001B1D2F">
        <w:t xml:space="preserve"> en el Nivel de Tensión </w:t>
      </w:r>
      <w:r w:rsidRPr="007110E1">
        <w:rPr>
          <w:i/>
        </w:rPr>
        <w:t>n</w:t>
      </w:r>
      <w:r w:rsidRPr="007258D6">
        <w:t xml:space="preserve"> </w:t>
      </w:r>
      <w:r>
        <w:t xml:space="preserve">durante los períodos de evaluación </w:t>
      </w:r>
      <w:r w:rsidRPr="00714D8E">
        <w:rPr>
          <w:i/>
        </w:rPr>
        <w:t>s</w:t>
      </w:r>
      <w:r>
        <w:t xml:space="preserve"> y </w:t>
      </w:r>
      <w:r w:rsidRPr="00714D8E">
        <w:rPr>
          <w:i/>
        </w:rPr>
        <w:t>s-1</w:t>
      </w:r>
      <w:r w:rsidRPr="001B1D2F">
        <w:t>, expresada en kWh.</w:t>
      </w:r>
    </w:p>
    <w:p w:rsidR="00A71B19" w:rsidRPr="001B1D2F" w:rsidRDefault="00A71B19" w:rsidP="00A71B19"/>
    <w:p w:rsidR="00A71B19" w:rsidRPr="001B1D2F" w:rsidRDefault="00A71B19" w:rsidP="00A71B19">
      <w:pPr>
        <w:ind w:left="1410" w:hanging="1410"/>
      </w:pPr>
      <w:r w:rsidRPr="007110E1">
        <w:rPr>
          <w:i/>
          <w:lang w:val="es-CO"/>
        </w:rPr>
        <w:t>Ee</w:t>
      </w:r>
      <w:r w:rsidRPr="007110E1">
        <w:rPr>
          <w:i/>
          <w:vertAlign w:val="subscript"/>
          <w:lang w:val="es-CO"/>
        </w:rPr>
        <w:t>G,j,n,</w:t>
      </w:r>
      <w:r>
        <w:rPr>
          <w:i/>
          <w:vertAlign w:val="subscript"/>
          <w:lang w:val="es-CO"/>
        </w:rPr>
        <w:t>s</w:t>
      </w:r>
      <w:r w:rsidRPr="007110E1">
        <w:rPr>
          <w:lang w:val="es-CO"/>
        </w:rPr>
        <w:t xml:space="preserve"> </w:t>
      </w:r>
      <w:r w:rsidRPr="001B1D2F">
        <w:rPr>
          <w:lang w:val="es-CO"/>
        </w:rPr>
        <w:t xml:space="preserve"> </w:t>
      </w:r>
      <w:r w:rsidRPr="001B1D2F">
        <w:rPr>
          <w:lang w:val="es-CO"/>
        </w:rPr>
        <w:tab/>
      </w:r>
      <w:r w:rsidRPr="001B1D2F">
        <w:t xml:space="preserve">Energía entregada por los generadores, incluyendo plantas menores, cogeneradores y autogeneradores, conectados directamente al sistema del OR </w:t>
      </w:r>
      <w:r w:rsidRPr="007110E1">
        <w:rPr>
          <w:i/>
        </w:rPr>
        <w:t>j</w:t>
      </w:r>
      <w:r w:rsidRPr="001B1D2F">
        <w:t xml:space="preserve">, en el Nivel de Tensión </w:t>
      </w:r>
      <w:r w:rsidRPr="007110E1">
        <w:rPr>
          <w:i/>
        </w:rPr>
        <w:t>n</w:t>
      </w:r>
      <w:r w:rsidRPr="001B1D2F">
        <w:t xml:space="preserve">, </w:t>
      </w:r>
      <w:r>
        <w:t xml:space="preserve">durante los períodos de evaluación </w:t>
      </w:r>
      <w:r w:rsidRPr="00714D8E">
        <w:rPr>
          <w:i/>
        </w:rPr>
        <w:t>s</w:t>
      </w:r>
      <w:r>
        <w:t xml:space="preserve"> y </w:t>
      </w:r>
      <w:r w:rsidRPr="00714D8E">
        <w:rPr>
          <w:i/>
        </w:rPr>
        <w:t>s-1</w:t>
      </w:r>
      <w:r w:rsidRPr="001B1D2F">
        <w:t>, expresada en  kWh. Corresponde a la suma de las energías medidas en las fronteras comerciales, sin referir al STN, registrada en el ASIC para estos agentes.</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STN,j,n,</w:t>
      </w:r>
      <w:r>
        <w:rPr>
          <w:i/>
          <w:vertAlign w:val="subscript"/>
        </w:rPr>
        <w:t>s</w:t>
      </w:r>
      <w:r w:rsidRPr="001B1D2F">
        <w:tab/>
        <w:t xml:space="preserve">Flujo de Energía del STN al sistema del OR </w:t>
      </w:r>
      <w:r w:rsidRPr="001B1D2F">
        <w:rPr>
          <w:i/>
        </w:rPr>
        <w:t>j</w:t>
      </w:r>
      <w:r w:rsidRPr="001B1D2F">
        <w:t xml:space="preserve"> en el Nivel de Tensión </w:t>
      </w:r>
      <w:r w:rsidRPr="001B1D2F">
        <w:rPr>
          <w:i/>
        </w:rPr>
        <w:t>n</w:t>
      </w:r>
      <w:r w:rsidRPr="001B1D2F">
        <w:t xml:space="preserve">, </w:t>
      </w:r>
      <w:r>
        <w:t xml:space="preserve">durante los períodos de evaluación </w:t>
      </w:r>
      <w:r w:rsidRPr="00714D8E">
        <w:rPr>
          <w:i/>
        </w:rPr>
        <w:t>s</w:t>
      </w:r>
      <w:r>
        <w:t xml:space="preserve"> y </w:t>
      </w:r>
      <w:r w:rsidRPr="00714D8E">
        <w:rPr>
          <w:i/>
        </w:rPr>
        <w:t>s-1</w:t>
      </w:r>
      <w:r w:rsidRPr="001B1D2F">
        <w:rPr>
          <w:i/>
        </w:rPr>
        <w:t>,</w:t>
      </w:r>
      <w:r w:rsidRPr="001B1D2F">
        <w:t xml:space="preserve"> expresado en kWh. Corresponde a la suma de las energías medidas en las fronteras comerciales, sin referir al STN, registradas en el ASIC  para los puntos de conexión del OR </w:t>
      </w:r>
      <w:r w:rsidRPr="001B1D2F">
        <w:rPr>
          <w:i/>
        </w:rPr>
        <w:t>j</w:t>
      </w:r>
      <w:r w:rsidRPr="001B1D2F">
        <w:t xml:space="preserve"> al STN.</w:t>
      </w:r>
    </w:p>
    <w:p w:rsidR="00A71B19" w:rsidRPr="001B1D2F" w:rsidRDefault="00A71B19" w:rsidP="00A71B19"/>
    <w:p w:rsidR="00A71B19" w:rsidRPr="001B1D2F" w:rsidRDefault="00A71B19" w:rsidP="00A71B19">
      <w:pPr>
        <w:ind w:left="1410" w:firstLine="6"/>
      </w:pPr>
      <w:r w:rsidRPr="001B1D2F">
        <w:t xml:space="preserve">Para los puntos de conexión en los cuales exista un transformador tridevanado, el </w:t>
      </w:r>
      <w:r>
        <w:t>OR deberá reportar mensualmente al ASIC los valores de energía de entrada al transformador y los de energía de salida por cada uno de los devanados para que el ASIC efectúe la asignación al nivel de tensión que corresponda.</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OR,j,n,</w:t>
      </w:r>
      <w:r>
        <w:rPr>
          <w:i/>
          <w:vertAlign w:val="subscript"/>
        </w:rPr>
        <w:t>s</w:t>
      </w:r>
      <w:r>
        <w:t xml:space="preserve"> </w:t>
      </w:r>
      <w:r w:rsidRPr="001B1D2F">
        <w:t xml:space="preserve"> </w:t>
      </w:r>
      <w:r w:rsidRPr="001B1D2F">
        <w:tab/>
        <w:t xml:space="preserve">Flujo de energía desde el sistema de otro OR al sistema del OR </w:t>
      </w:r>
      <w:r w:rsidRPr="001B1D2F">
        <w:rPr>
          <w:i/>
        </w:rPr>
        <w:t>j,</w:t>
      </w:r>
      <w:r w:rsidRPr="001B1D2F">
        <w:t xml:space="preserve"> en el Nivel de Tensión </w:t>
      </w:r>
      <w:r w:rsidRPr="001B1D2F">
        <w:rPr>
          <w:i/>
        </w:rPr>
        <w:t>n</w:t>
      </w:r>
      <w:r w:rsidRPr="001B1D2F">
        <w:t xml:space="preserve">, </w:t>
      </w:r>
      <w:r>
        <w:t xml:space="preserve">durante los períodos de evaluación </w:t>
      </w:r>
      <w:r w:rsidRPr="00714D8E">
        <w:rPr>
          <w:i/>
        </w:rPr>
        <w:t>s</w:t>
      </w:r>
      <w:r>
        <w:t xml:space="preserve"> y </w:t>
      </w:r>
      <w:r w:rsidRPr="00714D8E">
        <w:rPr>
          <w:i/>
        </w:rPr>
        <w:t>s-1</w:t>
      </w:r>
      <w:r w:rsidRPr="001B1D2F">
        <w:rPr>
          <w:i/>
        </w:rPr>
        <w:t>,</w:t>
      </w:r>
      <w:r w:rsidRPr="001B1D2F">
        <w:t xml:space="preserve"> expresado en kWh. Corresponde a la suma de las energías medidas en cada frontera comercial entre OR, sin referir al STN, registrada en el ASIC.</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NS,j,n,</w:t>
      </w:r>
      <w:r>
        <w:rPr>
          <w:i/>
          <w:vertAlign w:val="subscript"/>
        </w:rPr>
        <w:t>s</w:t>
      </w:r>
      <w:r w:rsidRPr="001B1D2F">
        <w:t xml:space="preserve"> </w:t>
      </w:r>
      <w:r w:rsidRPr="001B1D2F">
        <w:tab/>
        <w:t xml:space="preserve">Flujo de energía desde Niveles de Tensión superiores en el sistema del OR </w:t>
      </w:r>
      <w:r w:rsidRPr="001B1D2F">
        <w:rPr>
          <w:i/>
        </w:rPr>
        <w:t>j</w:t>
      </w:r>
      <w:r w:rsidRPr="001B1D2F">
        <w:t xml:space="preserve">, al Nivel de Tensión </w:t>
      </w:r>
      <w:r w:rsidRPr="001B1D2F">
        <w:rPr>
          <w:i/>
        </w:rPr>
        <w:t xml:space="preserve">n, </w:t>
      </w:r>
      <w:r>
        <w:t xml:space="preserve">durante los períodos de evaluación </w:t>
      </w:r>
      <w:r w:rsidRPr="00714D8E">
        <w:rPr>
          <w:i/>
        </w:rPr>
        <w:t>s</w:t>
      </w:r>
      <w:r>
        <w:t xml:space="preserve"> y </w:t>
      </w:r>
      <w:r w:rsidRPr="00714D8E">
        <w:rPr>
          <w:i/>
        </w:rPr>
        <w:t>s-1</w:t>
      </w:r>
      <w:r w:rsidRPr="001B1D2F">
        <w:rPr>
          <w:i/>
        </w:rPr>
        <w:t>,</w:t>
      </w:r>
      <w:r w:rsidRPr="001B1D2F">
        <w:t xml:space="preserve">  expresad</w:t>
      </w:r>
      <w:r>
        <w:t>o</w:t>
      </w:r>
      <w:r w:rsidRPr="001B1D2F">
        <w:t xml:space="preserve"> en kWh. Calculada como se establece en el numeral </w:t>
      </w:r>
      <w:r w:rsidR="00822579">
        <w:fldChar w:fldCharType="begin"/>
      </w:r>
      <w:r>
        <w:instrText xml:space="preserve"> REF _Ref269307806 \r \h </w:instrText>
      </w:r>
      <w:r w:rsidR="00822579">
        <w:fldChar w:fldCharType="separate"/>
      </w:r>
      <w:r w:rsidR="00322DB3">
        <w:t>4.1.6</w:t>
      </w:r>
      <w:r w:rsidR="00822579">
        <w:fldChar w:fldCharType="end"/>
      </w:r>
      <w:r w:rsidRPr="001B1D2F">
        <w:t>.</w:t>
      </w:r>
      <w:r>
        <w:t xml:space="preserve"> </w:t>
      </w:r>
    </w:p>
    <w:p w:rsidR="00A71B19" w:rsidRPr="001B1D2F" w:rsidRDefault="00A71B19" w:rsidP="00A71B19"/>
    <w:p w:rsidR="00A71B19" w:rsidRPr="001B1D2F" w:rsidRDefault="00A71B19" w:rsidP="00A71B19">
      <w:pPr>
        <w:ind w:left="1410" w:hanging="1410"/>
      </w:pPr>
      <w:r w:rsidRPr="007110E1">
        <w:rPr>
          <w:i/>
        </w:rPr>
        <w:t>n</w:t>
      </w:r>
      <w:r w:rsidRPr="001B1D2F">
        <w:t xml:space="preserve"> </w:t>
      </w:r>
      <w:r w:rsidRPr="001B1D2F">
        <w:tab/>
      </w:r>
      <w:r w:rsidRPr="001B1D2F">
        <w:tab/>
        <w:t xml:space="preserve">Corresponde al Nivel de Tensión para el cual se determina la </w:t>
      </w:r>
      <w:r>
        <w:t>en</w:t>
      </w:r>
      <w:r w:rsidRPr="001B1D2F">
        <w:t>ergía de entrada. Toma los valores de 1, 2, 3  y 4.</w:t>
      </w:r>
    </w:p>
    <w:p w:rsidR="00A71B19" w:rsidRPr="001B1D2F" w:rsidRDefault="00A71B19" w:rsidP="00A71B19"/>
    <w:p w:rsidR="00A71B19" w:rsidRDefault="00A71B19" w:rsidP="00CB2A18">
      <w:pPr>
        <w:pStyle w:val="Ttulo3"/>
        <w:spacing w:before="0" w:after="0"/>
        <w:jc w:val="both"/>
      </w:pPr>
      <w:bookmarkStart w:id="69" w:name="_Ref260036475"/>
      <w:bookmarkStart w:id="70" w:name="_Ref260127523"/>
      <w:bookmarkStart w:id="71" w:name="_Toc271216093"/>
      <w:bookmarkStart w:id="72" w:name="_Toc280712160"/>
      <w:r w:rsidRPr="00EB2174">
        <w:t>Cálculo de la energía de salida</w:t>
      </w:r>
      <w:bookmarkEnd w:id="69"/>
      <w:r w:rsidRPr="00EB2174">
        <w:t xml:space="preserve"> para cada Nivel de Tensión</w:t>
      </w:r>
      <w:bookmarkEnd w:id="70"/>
      <w:bookmarkEnd w:id="71"/>
      <w:bookmarkEnd w:id="72"/>
      <w:r w:rsidRPr="006A694C">
        <w:t xml:space="preserve"> </w:t>
      </w:r>
    </w:p>
    <w:p w:rsidR="00CB2A18" w:rsidRPr="00CB2A18" w:rsidRDefault="00CB2A18" w:rsidP="00CB2A18"/>
    <w:p w:rsidR="00A71B19" w:rsidRPr="006A694C" w:rsidRDefault="00A71B19" w:rsidP="00A71B19">
      <w:r w:rsidRPr="006A694C">
        <w:t xml:space="preserve">La energía de salida en cada uno de los Niveles de Tensión del sistema del OR </w:t>
      </w:r>
      <w:r w:rsidRPr="006A694C">
        <w:rPr>
          <w:i/>
        </w:rPr>
        <w:t>j,</w:t>
      </w:r>
      <w:r w:rsidRPr="006A694C">
        <w:t xml:space="preserve"> se calcula como:</w:t>
      </w:r>
    </w:p>
    <w:p w:rsidR="00A71B19" w:rsidRPr="006A694C" w:rsidRDefault="00A71B19" w:rsidP="00A71B19">
      <w:pPr>
        <w:pStyle w:val="Continuarlista"/>
        <w:rPr>
          <w:sz w:val="2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VCI,j,n,s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VCP,j,n,s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m:t>
              </m:r>
            </m:e>
            <m:sub>
              <m:r>
                <w:rPr>
                  <w:rFonts w:ascii="Cambria Math" w:hAnsi="Cambria Math"/>
                  <w:sz w:val="22"/>
                  <w:szCs w:val="22"/>
                </w:rPr>
                <m:t>STN,j,n,s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m:t>
              </m:r>
            </m:e>
            <m:sub>
              <m:r>
                <w:rPr>
                  <w:rFonts w:ascii="Cambria Math" w:hAnsi="Cambria Math"/>
                  <w:sz w:val="22"/>
                  <w:szCs w:val="22"/>
                </w:rPr>
                <m:t>OR,j,n,s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A,j,n,s</m:t>
              </m:r>
            </m:sub>
          </m:sSub>
        </m:oMath>
      </m:oMathPara>
    </w:p>
    <w:p w:rsidR="00A71B19" w:rsidRDefault="00A71B19" w:rsidP="00A71B19">
      <w:pPr>
        <w:pStyle w:val="Continuarlista"/>
        <w:ind w:left="0"/>
        <w:rPr>
          <w:sz w:val="22"/>
          <w:szCs w:val="22"/>
        </w:rPr>
      </w:pPr>
      <w:r w:rsidRPr="006A694C">
        <w:rPr>
          <w:sz w:val="22"/>
          <w:szCs w:val="22"/>
        </w:rPr>
        <w:t>Donde,</w:t>
      </w:r>
    </w:p>
    <w:p w:rsidR="00A71B19" w:rsidRPr="001B1D2F" w:rsidRDefault="00A71B19" w:rsidP="00A71B19">
      <w:pPr>
        <w:ind w:left="1410" w:hanging="1410"/>
        <w:rPr>
          <w:sz w:val="22"/>
          <w:szCs w:val="22"/>
        </w:rPr>
      </w:pPr>
      <w:r w:rsidRPr="00821D81">
        <w:rPr>
          <w:i/>
        </w:rPr>
        <w:t>E</w:t>
      </w:r>
      <w:r>
        <w:rPr>
          <w:i/>
        </w:rPr>
        <w:t>s</w:t>
      </w:r>
      <w:r w:rsidRPr="00821D81">
        <w:rPr>
          <w:i/>
          <w:vertAlign w:val="subscript"/>
        </w:rPr>
        <w:t>j,n,</w:t>
      </w:r>
      <w:r>
        <w:rPr>
          <w:i/>
          <w:vertAlign w:val="subscript"/>
        </w:rPr>
        <w:t>s</w:t>
      </w:r>
      <w:r w:rsidRPr="001B1D2F">
        <w:t xml:space="preserve"> </w:t>
      </w:r>
      <w:r w:rsidRPr="001B1D2F">
        <w:tab/>
        <w:t xml:space="preserve">Energía de salida del sistema del OR </w:t>
      </w:r>
      <w:r w:rsidRPr="001B1D2F">
        <w:rPr>
          <w:i/>
        </w:rPr>
        <w:t>j</w:t>
      </w:r>
      <w:r w:rsidRPr="001B1D2F">
        <w:t xml:space="preserve"> en el Nivel de Tensión </w:t>
      </w:r>
      <w:r w:rsidRPr="001B1D2F">
        <w:rPr>
          <w:i/>
        </w:rPr>
        <w:t xml:space="preserve">n, </w:t>
      </w:r>
      <w:r>
        <w:t xml:space="preserve">durante los períodos de evaluación </w:t>
      </w:r>
      <w:r w:rsidRPr="00714D8E">
        <w:rPr>
          <w:i/>
        </w:rPr>
        <w:t>s</w:t>
      </w:r>
      <w:r>
        <w:t xml:space="preserve"> y </w:t>
      </w:r>
      <w:r w:rsidRPr="00714D8E">
        <w:rPr>
          <w:i/>
        </w:rPr>
        <w:t>s-1</w:t>
      </w:r>
      <w:r w:rsidRPr="001B1D2F">
        <w:rPr>
          <w:i/>
        </w:rPr>
        <w:t xml:space="preserve">, </w:t>
      </w:r>
      <w:r w:rsidRPr="001B1D2F">
        <w:t>expresada en kWh.</w:t>
      </w:r>
    </w:p>
    <w:p w:rsidR="00A71B19" w:rsidRDefault="00A71B19" w:rsidP="00A71B19">
      <w:pPr>
        <w:rPr>
          <w:sz w:val="22"/>
          <w:szCs w:val="22"/>
        </w:rPr>
      </w:pPr>
    </w:p>
    <w:p w:rsidR="00CB2A18" w:rsidRPr="001B1D2F" w:rsidRDefault="00CB2A18" w:rsidP="00A71B19">
      <w:pPr>
        <w:rPr>
          <w:sz w:val="22"/>
          <w:szCs w:val="22"/>
        </w:rPr>
      </w:pPr>
    </w:p>
    <w:p w:rsidR="00A71B19" w:rsidRPr="001B1D2F" w:rsidRDefault="00A71B19" w:rsidP="00A71B19">
      <w:pPr>
        <w:ind w:left="1410" w:hanging="1410"/>
        <w:rPr>
          <w:sz w:val="22"/>
          <w:szCs w:val="22"/>
        </w:rPr>
      </w:pPr>
      <w:r w:rsidRPr="00821D81">
        <w:rPr>
          <w:i/>
        </w:rPr>
        <w:t>Es</w:t>
      </w:r>
      <w:r w:rsidRPr="00821D81">
        <w:rPr>
          <w:i/>
          <w:vertAlign w:val="subscript"/>
        </w:rPr>
        <w:t>VCI,j,n,</w:t>
      </w:r>
      <w:r>
        <w:rPr>
          <w:i/>
          <w:vertAlign w:val="subscript"/>
        </w:rPr>
        <w:t>s</w:t>
      </w:r>
      <w:r>
        <w:t xml:space="preserve">  </w:t>
      </w:r>
      <w:r w:rsidRPr="001B1D2F">
        <w:t xml:space="preserve"> </w:t>
      </w:r>
      <w:r w:rsidRPr="001B1D2F">
        <w:tab/>
        <w:t xml:space="preserve">Ventas de energía del comercializador </w:t>
      </w:r>
      <w:r>
        <w:t>incumbente</w:t>
      </w:r>
      <w:r w:rsidRPr="001B1D2F">
        <w:t xml:space="preserve"> en el Nivel de Tensión </w:t>
      </w:r>
      <w:r w:rsidRPr="001B1D2F">
        <w:rPr>
          <w:i/>
        </w:rPr>
        <w:t>n</w:t>
      </w:r>
      <w:r w:rsidRPr="001B1D2F">
        <w:t xml:space="preserve"> del sistema del OR </w:t>
      </w:r>
      <w:r w:rsidRPr="001B1D2F">
        <w:rPr>
          <w:i/>
        </w:rPr>
        <w:t>j,</w:t>
      </w:r>
      <w:r w:rsidRPr="001B1D2F">
        <w:t xml:space="preserve"> </w:t>
      </w:r>
      <w:r>
        <w:t xml:space="preserve">durante los períodos de evaluación </w:t>
      </w:r>
      <w:r w:rsidRPr="00714D8E">
        <w:rPr>
          <w:i/>
        </w:rPr>
        <w:t>s</w:t>
      </w:r>
      <w:r>
        <w:t xml:space="preserve"> y </w:t>
      </w:r>
      <w:r w:rsidRPr="00714D8E">
        <w:rPr>
          <w:i/>
        </w:rPr>
        <w:t>s-1</w:t>
      </w:r>
      <w:r w:rsidRPr="001B1D2F">
        <w:rPr>
          <w:i/>
        </w:rPr>
        <w:t>.</w:t>
      </w:r>
      <w:r w:rsidRPr="001B1D2F">
        <w:t xml:space="preserve"> Corresponde a la suma de las ventas de energía a usuarios regulados y no regulados registradas en el SUI por el Comercializador </w:t>
      </w:r>
      <w:r>
        <w:t>incumbente</w:t>
      </w:r>
      <w:r w:rsidRPr="001B1D2F">
        <w:t>, expresadas en kWh. Incluye la energía entregada a los auxiliares de las subestaciones que no están conectadas directamente al STN.</w:t>
      </w:r>
    </w:p>
    <w:p w:rsidR="00A71B19" w:rsidRPr="001B1D2F" w:rsidRDefault="00A71B19" w:rsidP="00A71B19">
      <w:pPr>
        <w:rPr>
          <w:sz w:val="22"/>
          <w:szCs w:val="22"/>
        </w:rPr>
      </w:pPr>
    </w:p>
    <w:p w:rsidR="00A71B19" w:rsidRPr="001B1D2F" w:rsidRDefault="00A71B19" w:rsidP="00A71B19">
      <w:pPr>
        <w:ind w:left="1410" w:hanging="1410"/>
      </w:pPr>
      <w:r w:rsidRPr="00821D81">
        <w:rPr>
          <w:i/>
        </w:rPr>
        <w:t>Es</w:t>
      </w:r>
      <w:r w:rsidRPr="00821D81">
        <w:rPr>
          <w:i/>
          <w:vertAlign w:val="subscript"/>
        </w:rPr>
        <w:t>VCP,j,n,</w:t>
      </w:r>
      <w:r>
        <w:rPr>
          <w:i/>
          <w:vertAlign w:val="subscript"/>
        </w:rPr>
        <w:t>s</w:t>
      </w:r>
      <w:r>
        <w:t xml:space="preserve"> </w:t>
      </w:r>
      <w:r w:rsidRPr="001B1D2F">
        <w:t xml:space="preserve"> </w:t>
      </w:r>
      <w:r w:rsidRPr="001B1D2F">
        <w:tab/>
        <w:t xml:space="preserve">Ventas de energía en el sistema del OR </w:t>
      </w:r>
      <w:r w:rsidRPr="001B1D2F">
        <w:rPr>
          <w:i/>
        </w:rPr>
        <w:t>j,</w:t>
      </w:r>
      <w:r w:rsidRPr="001B1D2F">
        <w:t xml:space="preserve"> en el Nivel de Tensión </w:t>
      </w:r>
      <w:r w:rsidRPr="001B1D2F">
        <w:rPr>
          <w:i/>
        </w:rPr>
        <w:t>n,</w:t>
      </w:r>
      <w:r w:rsidRPr="001B1D2F">
        <w:t xml:space="preserve"> </w:t>
      </w:r>
      <w:r>
        <w:t xml:space="preserve">durante los períodos de evaluación </w:t>
      </w:r>
      <w:r w:rsidRPr="00714D8E">
        <w:rPr>
          <w:i/>
        </w:rPr>
        <w:t>s</w:t>
      </w:r>
      <w:r>
        <w:t xml:space="preserve"> y </w:t>
      </w:r>
      <w:r w:rsidRPr="00714D8E">
        <w:rPr>
          <w:i/>
        </w:rPr>
        <w:t>s-1</w:t>
      </w:r>
      <w:r w:rsidRPr="001B1D2F">
        <w:rPr>
          <w:i/>
        </w:rPr>
        <w:t>,</w:t>
      </w:r>
      <w:r w:rsidRPr="001B1D2F">
        <w:t xml:space="preserve"> por comercializadores distintos al integrado</w:t>
      </w:r>
      <w:r w:rsidRPr="001B1D2F">
        <w:rPr>
          <w:i/>
        </w:rPr>
        <w:t xml:space="preserve">. </w:t>
      </w:r>
      <w:r w:rsidRPr="001B1D2F">
        <w:t>Corresponde a la suma de las medidas en las fronteras comerciales, sin referir al STN, registradas en el ASIC por los comercializadores no integrado</w:t>
      </w:r>
      <w:r>
        <w:t>s</w:t>
      </w:r>
      <w:r w:rsidRPr="001B1D2F">
        <w:t xml:space="preserve"> con el OR para la venta de energía a usuarios regulados y no regulados. Incluye la energía entregada a los auxiliares de las subestaciones que no están conectadas directamente al STN.  </w:t>
      </w:r>
    </w:p>
    <w:p w:rsidR="00A71B19" w:rsidRPr="001B1D2F" w:rsidRDefault="00A71B19" w:rsidP="00A71B19"/>
    <w:p w:rsidR="00A71B19" w:rsidRPr="001B1D2F" w:rsidRDefault="00A71B19" w:rsidP="00A71B19">
      <w:pPr>
        <w:ind w:left="1410" w:hanging="1410"/>
      </w:pPr>
      <w:r w:rsidRPr="00821D81">
        <w:rPr>
          <w:i/>
        </w:rPr>
        <w:t>Fs</w:t>
      </w:r>
      <w:r w:rsidRPr="00821D81">
        <w:rPr>
          <w:i/>
          <w:vertAlign w:val="subscript"/>
        </w:rPr>
        <w:t>STN,j,n,</w:t>
      </w:r>
      <w:r>
        <w:rPr>
          <w:i/>
          <w:vertAlign w:val="subscript"/>
        </w:rPr>
        <w:t>s</w:t>
      </w:r>
      <w:r>
        <w:t xml:space="preserve"> </w:t>
      </w:r>
      <w:r w:rsidRPr="001B1D2F">
        <w:t xml:space="preserve"> </w:t>
      </w:r>
      <w:r w:rsidRPr="001B1D2F">
        <w:tab/>
        <w:t>Flujo de energía de salida en el Nivel de Tensión</w:t>
      </w:r>
      <w:r>
        <w:t xml:space="preserve"> </w:t>
      </w:r>
      <w:r w:rsidRPr="00207A1B">
        <w:rPr>
          <w:i/>
        </w:rPr>
        <w:t>n</w:t>
      </w:r>
      <w:r w:rsidRPr="001B1D2F">
        <w:t xml:space="preserve"> desde los puntos de conexión del OR </w:t>
      </w:r>
      <w:r w:rsidRPr="001B1D2F">
        <w:rPr>
          <w:i/>
        </w:rPr>
        <w:t>j</w:t>
      </w:r>
      <w:r w:rsidRPr="001B1D2F">
        <w:t xml:space="preserve"> al STN, </w:t>
      </w:r>
      <w:r>
        <w:t xml:space="preserve">durante los períodos de evaluación </w:t>
      </w:r>
      <w:r w:rsidRPr="00714D8E">
        <w:rPr>
          <w:i/>
        </w:rPr>
        <w:t>s</w:t>
      </w:r>
      <w:r>
        <w:t xml:space="preserve"> y </w:t>
      </w:r>
      <w:r w:rsidRPr="00714D8E">
        <w:rPr>
          <w:i/>
        </w:rPr>
        <w:t>s-1</w:t>
      </w:r>
      <w:r w:rsidRPr="001B1D2F">
        <w:t>, expresad</w:t>
      </w:r>
      <w:r>
        <w:t>o</w:t>
      </w:r>
      <w:r w:rsidRPr="001B1D2F">
        <w:t xml:space="preserve"> en  kWh. Corresponde a la suma de las energías medidas </w:t>
      </w:r>
      <w:r>
        <w:t xml:space="preserve">en </w:t>
      </w:r>
      <w:r w:rsidRPr="001B1D2F">
        <w:t xml:space="preserve">las fronteras comerciales, sin referir al STN, registradas en el ASIC  para los puntos de conexión del OR </w:t>
      </w:r>
      <w:r w:rsidRPr="001B1D2F">
        <w:rPr>
          <w:i/>
        </w:rPr>
        <w:t>j</w:t>
      </w:r>
      <w:r w:rsidRPr="001B1D2F">
        <w:t xml:space="preserve"> al STN.</w:t>
      </w:r>
    </w:p>
    <w:p w:rsidR="00A71B19" w:rsidRPr="001B1D2F" w:rsidRDefault="00A71B19" w:rsidP="00A71B19"/>
    <w:p w:rsidR="00A71B19" w:rsidRPr="001B1D2F" w:rsidRDefault="00A71B19" w:rsidP="00A71B19">
      <w:pPr>
        <w:ind w:left="1410" w:hanging="1410"/>
      </w:pPr>
      <w:r w:rsidRPr="00821D81">
        <w:rPr>
          <w:i/>
        </w:rPr>
        <w:t>Fs</w:t>
      </w:r>
      <w:r w:rsidRPr="00821D81">
        <w:rPr>
          <w:i/>
          <w:vertAlign w:val="subscript"/>
        </w:rPr>
        <w:t>OR,j,n,</w:t>
      </w:r>
      <w:r>
        <w:rPr>
          <w:i/>
          <w:vertAlign w:val="subscript"/>
        </w:rPr>
        <w:t>s</w:t>
      </w:r>
      <w:r>
        <w:t xml:space="preserve"> </w:t>
      </w:r>
      <w:r w:rsidRPr="001B1D2F">
        <w:t xml:space="preserve"> </w:t>
      </w:r>
      <w:r w:rsidRPr="001B1D2F">
        <w:tab/>
        <w:t xml:space="preserve">Flujo de energía de salida desde el sistema del OR </w:t>
      </w:r>
      <w:r w:rsidRPr="001B1D2F">
        <w:rPr>
          <w:i/>
        </w:rPr>
        <w:t>j</w:t>
      </w:r>
      <w:r w:rsidRPr="001B1D2F">
        <w:t xml:space="preserve"> en el Nivel de Tensión </w:t>
      </w:r>
      <w:r w:rsidRPr="001B1D2F">
        <w:rPr>
          <w:i/>
        </w:rPr>
        <w:t>n</w:t>
      </w:r>
      <w:r w:rsidRPr="001B1D2F">
        <w:t xml:space="preserve">, a otros STR y/o SDL, </w:t>
      </w:r>
      <w:r>
        <w:t xml:space="preserve">durante los períodos de evaluación </w:t>
      </w:r>
      <w:r w:rsidRPr="00714D8E">
        <w:rPr>
          <w:i/>
        </w:rPr>
        <w:t>s</w:t>
      </w:r>
      <w:r>
        <w:t xml:space="preserve"> y </w:t>
      </w:r>
      <w:r w:rsidRPr="00714D8E">
        <w:rPr>
          <w:i/>
        </w:rPr>
        <w:t>s-1</w:t>
      </w:r>
      <w:r w:rsidRPr="001B1D2F">
        <w:rPr>
          <w:i/>
        </w:rPr>
        <w:t>,</w:t>
      </w:r>
      <w:r w:rsidRPr="001B1D2F">
        <w:t xml:space="preserve">  expresad</w:t>
      </w:r>
      <w:r>
        <w:t>o</w:t>
      </w:r>
      <w:r w:rsidRPr="001B1D2F">
        <w:t xml:space="preserve"> en kWh. Corresponde a la suma de las energías medidas en las fronteras comerciales entre OR</w:t>
      </w:r>
      <w:r>
        <w:t>s</w:t>
      </w:r>
      <w:r w:rsidRPr="001B1D2F">
        <w:t>, sin referir al STN, registradas en el ASIC.</w:t>
      </w:r>
    </w:p>
    <w:p w:rsidR="00A71B19" w:rsidRPr="001B1D2F" w:rsidRDefault="00A71B19" w:rsidP="00A71B19">
      <w:pPr>
        <w:rPr>
          <w:sz w:val="22"/>
          <w:szCs w:val="22"/>
        </w:rPr>
      </w:pPr>
    </w:p>
    <w:p w:rsidR="00A71B19" w:rsidRPr="001B1D2F" w:rsidRDefault="00A71B19" w:rsidP="00A71B19">
      <w:pPr>
        <w:ind w:left="1410" w:hanging="1410"/>
      </w:pPr>
      <w:r w:rsidRPr="00207A1B">
        <w:rPr>
          <w:i/>
        </w:rPr>
        <w:t>Es</w:t>
      </w:r>
      <w:r w:rsidRPr="00207A1B">
        <w:rPr>
          <w:i/>
          <w:vertAlign w:val="subscript"/>
        </w:rPr>
        <w:t>A,j,n,</w:t>
      </w:r>
      <w:r>
        <w:rPr>
          <w:i/>
          <w:vertAlign w:val="subscript"/>
        </w:rPr>
        <w:t>s</w:t>
      </w:r>
      <w:r w:rsidRPr="001B1D2F">
        <w:rPr>
          <w:i/>
        </w:rPr>
        <w:t xml:space="preserve"> </w:t>
      </w:r>
      <w:r w:rsidRPr="001B1D2F">
        <w:rPr>
          <w:i/>
        </w:rPr>
        <w:tab/>
      </w:r>
      <w:r w:rsidRPr="001B1D2F">
        <w:t xml:space="preserve">Energía de salida  desde el sistema del OR </w:t>
      </w:r>
      <w:r w:rsidRPr="001B1D2F">
        <w:rPr>
          <w:i/>
        </w:rPr>
        <w:t>j,</w:t>
      </w:r>
      <w:r w:rsidRPr="001B1D2F">
        <w:t xml:space="preserve"> en el Nivel de Tensión </w:t>
      </w:r>
      <w:r w:rsidRPr="001B1D2F">
        <w:rPr>
          <w:i/>
        </w:rPr>
        <w:t>n</w:t>
      </w:r>
      <w:r w:rsidRPr="001B1D2F">
        <w:t xml:space="preserve">, a los auxiliares de plantas de generación y/o subestaciones del SIN, </w:t>
      </w:r>
      <w:r>
        <w:t xml:space="preserve">durante los períodos de evaluación </w:t>
      </w:r>
      <w:r w:rsidRPr="00714D8E">
        <w:rPr>
          <w:i/>
        </w:rPr>
        <w:t>s</w:t>
      </w:r>
      <w:r>
        <w:t xml:space="preserve"> y </w:t>
      </w:r>
      <w:r w:rsidRPr="00714D8E">
        <w:rPr>
          <w:i/>
        </w:rPr>
        <w:t>s-1</w:t>
      </w:r>
      <w:r w:rsidRPr="001B1D2F">
        <w:rPr>
          <w:i/>
        </w:rPr>
        <w:t xml:space="preserve">, </w:t>
      </w:r>
      <w:r w:rsidRPr="001B1D2F">
        <w:t>expresada en kWh. Corresponde a la suma de las energías medidas las fronteras comerciales, sin referir al STN, registradas en el ASIC como auxiliares.</w:t>
      </w:r>
    </w:p>
    <w:p w:rsidR="00A71B19" w:rsidRPr="001B1D2F" w:rsidRDefault="00A71B19" w:rsidP="00A71B19"/>
    <w:p w:rsidR="00A71B19" w:rsidRDefault="00A71B19" w:rsidP="00A71B19">
      <w:pPr>
        <w:ind w:left="1410" w:hanging="1410"/>
      </w:pPr>
      <w:r w:rsidRPr="00207A1B">
        <w:rPr>
          <w:i/>
        </w:rPr>
        <w:t>n</w:t>
      </w:r>
      <w:r>
        <w:t xml:space="preserve"> </w:t>
      </w:r>
      <w:r w:rsidRPr="001B1D2F">
        <w:t xml:space="preserve"> </w:t>
      </w:r>
      <w:r w:rsidRPr="001B1D2F">
        <w:tab/>
      </w:r>
      <w:r w:rsidRPr="001B1D2F">
        <w:tab/>
        <w:t>Corresponde al Nivel de Tensión para el cual se determina la energía de salida. Toma los valores de 1, 2, 3 y 4.</w:t>
      </w:r>
    </w:p>
    <w:p w:rsidR="00A71B19" w:rsidRDefault="00A71B19" w:rsidP="00A71B19"/>
    <w:p w:rsidR="00A71B19" w:rsidRDefault="00A71B19" w:rsidP="00A71B19">
      <w:r>
        <w:t xml:space="preserve">En el cálculo de la variable </w:t>
      </w:r>
      <w:r w:rsidRPr="00F90815">
        <w:rPr>
          <w:i/>
        </w:rPr>
        <w:t>Es</w:t>
      </w:r>
      <w:r w:rsidRPr="00F90815">
        <w:rPr>
          <w:i/>
          <w:vertAlign w:val="subscript"/>
        </w:rPr>
        <w:t>j,n,s</w:t>
      </w:r>
      <w:r>
        <w:t xml:space="preserve"> </w:t>
      </w:r>
      <w:r w:rsidRPr="00FD40E9">
        <w:t xml:space="preserve">no se debe tener en cuenta la </w:t>
      </w:r>
      <w:r>
        <w:t>energía recuperada que se haya dejado de factura.</w:t>
      </w:r>
    </w:p>
    <w:p w:rsidR="00A71B19" w:rsidRDefault="00A71B19" w:rsidP="00A71B19">
      <w:pPr>
        <w:pStyle w:val="Ttulo3"/>
        <w:jc w:val="both"/>
      </w:pPr>
      <w:bookmarkStart w:id="73" w:name="_Ref260036614"/>
      <w:bookmarkStart w:id="74" w:name="_Toc271216094"/>
      <w:bookmarkStart w:id="75" w:name="_Toc280712161"/>
      <w:r w:rsidRPr="006A694C">
        <w:t>Pérdidas de energía</w:t>
      </w:r>
      <w:bookmarkEnd w:id="73"/>
      <w:r w:rsidRPr="006A694C">
        <w:t xml:space="preserve"> reconocidas</w:t>
      </w:r>
      <w:bookmarkEnd w:id="74"/>
      <w:bookmarkEnd w:id="75"/>
    </w:p>
    <w:p w:rsidR="00A71B19" w:rsidRPr="006A694C" w:rsidRDefault="00A71B19" w:rsidP="00A71B19">
      <w:r w:rsidRPr="006A694C">
        <w:t xml:space="preserve">Las pérdidas de energía reconocidas en cada uno de los Niveles de Tensión del sistema del OR </w:t>
      </w:r>
      <w:r w:rsidRPr="006A694C">
        <w:rPr>
          <w:i/>
        </w:rPr>
        <w:t>j,</w:t>
      </w:r>
      <w:r w:rsidRPr="006A694C">
        <w:t xml:space="preserve"> se calculan como:</w:t>
      </w:r>
    </w:p>
    <w:p w:rsidR="00A71B19" w:rsidRPr="006A694C" w:rsidRDefault="00A71B19" w:rsidP="00A71B19">
      <w:pPr>
        <w:pStyle w:val="Continuarlista"/>
        <w:rPr>
          <w:sz w:val="22"/>
          <w:szCs w:val="22"/>
        </w:rPr>
      </w:pPr>
    </w:p>
    <w:p w:rsidR="00A71B19" w:rsidRPr="00CC1949" w:rsidRDefault="00822579" w:rsidP="00A71B19">
      <w:pPr>
        <w:pStyle w:val="Continuarlista"/>
        <w:rPr>
          <w:sz w:val="22"/>
          <w:szCs w:val="22"/>
        </w:rPr>
      </w:pPr>
      <m:oMathPara>
        <m:oMath>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j,n</m:t>
              </m:r>
            </m:sub>
          </m:sSub>
        </m:oMath>
      </m:oMathPara>
    </w:p>
    <w:p w:rsidR="00A71B19" w:rsidRDefault="00A71B19" w:rsidP="00A71B19">
      <w:r w:rsidRPr="006A694C">
        <w:t>Donde,</w:t>
      </w:r>
    </w:p>
    <w:p w:rsidR="00A71B19" w:rsidRPr="001B1D2F" w:rsidRDefault="00A71B19" w:rsidP="00A71B19">
      <w:pPr>
        <w:pStyle w:val="Continuarlista"/>
        <w:ind w:left="0"/>
        <w:rPr>
          <w:b/>
          <w:sz w:val="22"/>
          <w:szCs w:val="22"/>
        </w:rPr>
      </w:pPr>
    </w:p>
    <w:p w:rsidR="00A71B19" w:rsidRPr="001C7E2A" w:rsidRDefault="00A71B19" w:rsidP="00A71B19">
      <w:pPr>
        <w:ind w:left="1410" w:hanging="1410"/>
        <w:rPr>
          <w:sz w:val="22"/>
          <w:szCs w:val="22"/>
        </w:rPr>
      </w:pPr>
      <w:r w:rsidRPr="00207A1B">
        <w:rPr>
          <w:i/>
        </w:rPr>
        <w:t>PR</w:t>
      </w:r>
      <w:r w:rsidRPr="00207A1B">
        <w:rPr>
          <w:i/>
          <w:vertAlign w:val="subscript"/>
        </w:rPr>
        <w:t>j,n,</w:t>
      </w:r>
      <w:r>
        <w:rPr>
          <w:i/>
          <w:vertAlign w:val="subscript"/>
        </w:rPr>
        <w:t>s</w:t>
      </w:r>
      <w:r w:rsidRPr="001C7E2A">
        <w:t xml:space="preserve"> </w:t>
      </w:r>
      <w:r w:rsidRPr="001C7E2A">
        <w:tab/>
        <w:t xml:space="preserve">Pérdidas de energía reconocidas  en el sistema del OR </w:t>
      </w:r>
      <w:r w:rsidRPr="001C7E2A">
        <w:rPr>
          <w:i/>
        </w:rPr>
        <w:t>j,</w:t>
      </w:r>
      <w:r w:rsidRPr="001C7E2A">
        <w:t xml:space="preserve"> en el Nivel de Tensión </w:t>
      </w:r>
      <w:r w:rsidRPr="001C7E2A">
        <w:rPr>
          <w:i/>
        </w:rPr>
        <w:t>n,</w:t>
      </w:r>
      <w:r w:rsidRPr="001C7E2A">
        <w:t xml:space="preserve">  </w:t>
      </w:r>
      <w:r>
        <w:t xml:space="preserve">durante los períodos de evaluación </w:t>
      </w:r>
      <w:r w:rsidRPr="00714D8E">
        <w:rPr>
          <w:i/>
        </w:rPr>
        <w:t>s</w:t>
      </w:r>
      <w:r>
        <w:t xml:space="preserve"> y </w:t>
      </w:r>
      <w:r w:rsidRPr="00714D8E">
        <w:rPr>
          <w:i/>
        </w:rPr>
        <w:t>s-1</w:t>
      </w:r>
      <w:r w:rsidRPr="001C7E2A">
        <w:rPr>
          <w:i/>
        </w:rPr>
        <w:t>,</w:t>
      </w:r>
      <w:r w:rsidRPr="001C7E2A">
        <w:t xml:space="preserve"> expresadas en kWh.</w:t>
      </w:r>
    </w:p>
    <w:p w:rsidR="00A71B19" w:rsidRPr="001C7E2A" w:rsidRDefault="00A71B19" w:rsidP="00A71B19">
      <w:pPr>
        <w:rPr>
          <w:sz w:val="22"/>
          <w:szCs w:val="22"/>
        </w:rPr>
      </w:pPr>
    </w:p>
    <w:p w:rsidR="00A71B19" w:rsidRPr="001C7E2A" w:rsidRDefault="00A71B19" w:rsidP="00A71B19">
      <w:pPr>
        <w:spacing w:line="216" w:lineRule="auto"/>
        <w:ind w:left="1410" w:hanging="1410"/>
        <w:rPr>
          <w:sz w:val="22"/>
          <w:szCs w:val="22"/>
        </w:rPr>
      </w:pPr>
      <w:r w:rsidRPr="00207A1B">
        <w:rPr>
          <w:i/>
        </w:rPr>
        <w:t>Ee</w:t>
      </w:r>
      <w:r w:rsidRPr="00207A1B">
        <w:rPr>
          <w:i/>
          <w:vertAlign w:val="subscript"/>
        </w:rPr>
        <w:t>j,n,</w:t>
      </w:r>
      <w:r>
        <w:rPr>
          <w:i/>
          <w:vertAlign w:val="subscript"/>
        </w:rPr>
        <w:t>s</w:t>
      </w:r>
      <w:r>
        <w:t xml:space="preserve"> </w:t>
      </w:r>
      <w:r w:rsidRPr="001C7E2A">
        <w:t xml:space="preserve"> </w:t>
      </w:r>
      <w:r w:rsidRPr="001C7E2A">
        <w:tab/>
        <w:t xml:space="preserve">Energía de entrada al sistema del OR </w:t>
      </w:r>
      <w:r w:rsidRPr="001C7E2A">
        <w:rPr>
          <w:i/>
        </w:rPr>
        <w:t>j,</w:t>
      </w:r>
      <w:r w:rsidRPr="001C7E2A">
        <w:t xml:space="preserve"> en el Nivel de Tensión </w:t>
      </w:r>
      <w:r w:rsidRPr="001C7E2A">
        <w:rPr>
          <w:i/>
        </w:rPr>
        <w:t>n</w:t>
      </w:r>
      <w:r w:rsidRPr="001C7E2A">
        <w:t>,</w:t>
      </w:r>
      <w:r w:rsidRPr="001C7E2A">
        <w:rPr>
          <w:i/>
        </w:rPr>
        <w:t xml:space="preserve"> </w:t>
      </w:r>
      <w:r>
        <w:t xml:space="preserve">durante los períodos de evaluación </w:t>
      </w:r>
      <w:r w:rsidRPr="00714D8E">
        <w:rPr>
          <w:i/>
        </w:rPr>
        <w:t>s</w:t>
      </w:r>
      <w:r>
        <w:t xml:space="preserve"> y </w:t>
      </w:r>
      <w:r w:rsidRPr="00714D8E">
        <w:rPr>
          <w:i/>
        </w:rPr>
        <w:t>s-1</w:t>
      </w:r>
      <w:r w:rsidRPr="001C7E2A">
        <w:t>,</w:t>
      </w:r>
      <w:r w:rsidRPr="001C7E2A">
        <w:rPr>
          <w:i/>
        </w:rPr>
        <w:t xml:space="preserve"> </w:t>
      </w:r>
      <w:r w:rsidRPr="001C7E2A">
        <w:t>expresada en kWh.</w:t>
      </w:r>
    </w:p>
    <w:p w:rsidR="00A71B19" w:rsidRPr="001C7E2A" w:rsidRDefault="00A71B19" w:rsidP="00A71B19">
      <w:pPr>
        <w:spacing w:line="216" w:lineRule="auto"/>
        <w:rPr>
          <w:sz w:val="22"/>
          <w:szCs w:val="22"/>
        </w:rPr>
      </w:pPr>
      <w:r w:rsidRPr="001C7E2A">
        <w:rPr>
          <w:sz w:val="22"/>
          <w:szCs w:val="22"/>
        </w:rPr>
        <w:t xml:space="preserve"> </w:t>
      </w:r>
    </w:p>
    <w:p w:rsidR="00A71B19" w:rsidRPr="001C7E2A" w:rsidRDefault="00A71B19" w:rsidP="00A71B19">
      <w:pPr>
        <w:spacing w:line="216" w:lineRule="auto"/>
        <w:ind w:left="1410" w:hanging="1410"/>
      </w:pPr>
      <w:r w:rsidRPr="00207A1B">
        <w:rPr>
          <w:i/>
        </w:rPr>
        <w:t>P</w:t>
      </w:r>
      <w:r w:rsidRPr="00207A1B">
        <w:rPr>
          <w:i/>
          <w:vertAlign w:val="subscript"/>
        </w:rPr>
        <w:t>j,n</w:t>
      </w:r>
      <w:r w:rsidRPr="001C7E2A">
        <w:tab/>
      </w:r>
      <w:r w:rsidRPr="001C7E2A">
        <w:tab/>
        <w:t xml:space="preserve">Índice de pérdidas reconocidas en el Nivel de Tensión </w:t>
      </w:r>
      <w:r w:rsidRPr="00207A1B">
        <w:rPr>
          <w:i/>
        </w:rPr>
        <w:t>n</w:t>
      </w:r>
      <w:r>
        <w:t xml:space="preserve"> </w:t>
      </w:r>
      <w:r w:rsidRPr="001C7E2A">
        <w:t xml:space="preserve">para el OR </w:t>
      </w:r>
      <w:r w:rsidRPr="001C7E2A">
        <w:rPr>
          <w:i/>
        </w:rPr>
        <w:t>j</w:t>
      </w:r>
      <w:r w:rsidRPr="001C7E2A">
        <w:t xml:space="preserve"> aprobado en la Resolución de Cargos vigentes.</w:t>
      </w:r>
    </w:p>
    <w:p w:rsidR="00A71B19" w:rsidRPr="001C7E2A" w:rsidRDefault="00A71B19" w:rsidP="00A71B19">
      <w:pPr>
        <w:spacing w:line="216" w:lineRule="auto"/>
      </w:pPr>
    </w:p>
    <w:p w:rsidR="00A71B19" w:rsidRPr="001C7E2A" w:rsidRDefault="00A71B19" w:rsidP="00A71B19">
      <w:pPr>
        <w:spacing w:line="216" w:lineRule="auto"/>
        <w:ind w:left="1410" w:hanging="1407"/>
      </w:pPr>
      <w:r w:rsidRPr="00207A1B">
        <w:rPr>
          <w:i/>
        </w:rPr>
        <w:t>n</w:t>
      </w:r>
      <w:r>
        <w:t xml:space="preserve"> </w:t>
      </w:r>
      <w:r w:rsidRPr="001C7E2A">
        <w:t xml:space="preserve"> </w:t>
      </w:r>
      <w:r w:rsidRPr="001C7E2A">
        <w:tab/>
      </w:r>
      <w:r>
        <w:tab/>
      </w:r>
      <w:r w:rsidRPr="001C7E2A">
        <w:t>Corresponde al Nivel de Tensión para el cual se determinan las pérdidas de energía. Toma los valores de 2, 3 y 4</w:t>
      </w:r>
    </w:p>
    <w:p w:rsidR="00A71B19" w:rsidRDefault="00A71B19" w:rsidP="00A71B19">
      <w:pPr>
        <w:spacing w:line="216" w:lineRule="auto"/>
      </w:pPr>
      <w:bookmarkStart w:id="76" w:name="_Ref260037940"/>
    </w:p>
    <w:p w:rsidR="00A71B19" w:rsidRDefault="00A71B19" w:rsidP="00CB2A18">
      <w:pPr>
        <w:pStyle w:val="Ttulo3"/>
        <w:spacing w:before="0" w:after="0"/>
        <w:jc w:val="both"/>
      </w:pPr>
      <w:bookmarkStart w:id="77" w:name="_Ref269307806"/>
      <w:bookmarkStart w:id="78" w:name="_Toc271216095"/>
      <w:bookmarkStart w:id="79" w:name="_Toc280712162"/>
      <w:r w:rsidRPr="006A694C">
        <w:t>Energía de entrada desde Niveles de Tensión superiores</w:t>
      </w:r>
      <w:bookmarkEnd w:id="76"/>
      <w:bookmarkEnd w:id="77"/>
      <w:bookmarkEnd w:id="78"/>
      <w:bookmarkEnd w:id="79"/>
    </w:p>
    <w:p w:rsidR="00CB2A18" w:rsidRPr="00CB2A18" w:rsidRDefault="00CB2A18" w:rsidP="00CB2A18"/>
    <w:p w:rsidR="00A71B19" w:rsidRPr="006A694C" w:rsidRDefault="00A71B19" w:rsidP="00A71B19">
      <w:r w:rsidRPr="006A694C">
        <w:t xml:space="preserve">La energía de entrada desde Niveles de Tensión superiores hacia cada uno de los Niveles de Tensión en el sistema del OR </w:t>
      </w:r>
      <w:r w:rsidRPr="006A694C">
        <w:rPr>
          <w:i/>
        </w:rPr>
        <w:t>j</w:t>
      </w:r>
      <w:r w:rsidRPr="006A694C">
        <w:t>, corresponde a:</w:t>
      </w:r>
    </w:p>
    <w:p w:rsidR="00A71B19" w:rsidRPr="006A694C" w:rsidRDefault="00A71B19" w:rsidP="00A71B19">
      <w:pPr>
        <w:pStyle w:val="Continuarlista"/>
        <w:rPr>
          <w:sz w:val="22"/>
          <w:szCs w:val="22"/>
        </w:rPr>
      </w:pPr>
    </w:p>
    <w:p w:rsidR="00A71B19" w:rsidRPr="00CC1949" w:rsidRDefault="00822579" w:rsidP="00A71B19">
      <w:pPr>
        <w:rPr>
          <w:i/>
        </w:rPr>
      </w:pPr>
      <m:oMathPara>
        <m:oMath>
          <m:sSub>
            <m:sSubPr>
              <m:ctrlPr>
                <w:rPr>
                  <w:rFonts w:ascii="Cambria Math" w:hAnsi="Cambria Math"/>
                  <w:i/>
                </w:rPr>
              </m:ctrlPr>
            </m:sSubPr>
            <m:e>
              <m:r>
                <w:rPr>
                  <w:rFonts w:ascii="Cambria Math" w:hAnsi="Cambria Math"/>
                </w:rPr>
                <m:t>Fe</m:t>
              </m:r>
            </m:e>
            <m:sub>
              <m:r>
                <w:rPr>
                  <w:rFonts w:ascii="Cambria Math" w:hAnsi="Cambria Math"/>
                </w:rPr>
                <m:t>NS,j,n,s</m:t>
              </m:r>
            </m:sub>
          </m:sSub>
          <m:r>
            <w:rPr>
              <w:rFonts w:ascii="Cambria Math" w:hAnsi="Cambria Math"/>
            </w:rPr>
            <m:t>=</m:t>
          </m:r>
          <m:nary>
            <m:naryPr>
              <m:chr m:val="∑"/>
              <m:limLoc m:val="undOvr"/>
              <m:ctrlPr>
                <w:rPr>
                  <w:rFonts w:ascii="Cambria Math" w:hAnsi="Cambria Math"/>
                  <w:i/>
                </w:rPr>
              </m:ctrlPr>
            </m:naryPr>
            <m:sub>
              <m:r>
                <w:rPr>
                  <w:rFonts w:ascii="Cambria Math" w:hAnsi="Cambria Math"/>
                </w:rPr>
                <m:t>k=n+1</m:t>
              </m:r>
            </m:sub>
            <m:sup>
              <m:r>
                <w:rPr>
                  <w:rFonts w:ascii="Cambria Math" w:hAnsi="Cambria Math"/>
                </w:rPr>
                <m:t>4</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Ee</m:t>
                          </m:r>
                        </m:e>
                        <m:sub>
                          <m:r>
                            <w:rPr>
                              <w:rFonts w:ascii="Cambria Math" w:hAnsi="Cambria Math"/>
                            </w:rPr>
                            <m:t>j,k,s</m:t>
                          </m:r>
                        </m:sub>
                      </m:sSub>
                      <m:r>
                        <w:rPr>
                          <w:rFonts w:ascii="Cambria Math" w:hAnsi="Cambria Math"/>
                        </w:rPr>
                        <m:t>-</m:t>
                      </m:r>
                      <m:sSub>
                        <m:sSubPr>
                          <m:ctrlPr>
                            <w:rPr>
                              <w:rFonts w:ascii="Cambria Math" w:hAnsi="Cambria Math"/>
                              <w:i/>
                            </w:rPr>
                          </m:ctrlPr>
                        </m:sSubPr>
                        <m:e>
                          <m:r>
                            <w:rPr>
                              <w:rFonts w:ascii="Cambria Math" w:hAnsi="Cambria Math"/>
                            </w:rPr>
                            <m:t>Es</m:t>
                          </m:r>
                        </m:e>
                        <m:sub>
                          <m:r>
                            <w:rPr>
                              <w:rFonts w:ascii="Cambria Math" w:hAnsi="Cambria Math"/>
                            </w:rPr>
                            <m:t>j,k,s</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j,k,s</m:t>
                          </m:r>
                        </m:sub>
                      </m:sSub>
                    </m:e>
                  </m:d>
                  <m:r>
                    <w:rPr>
                      <w:rFonts w:ascii="Cambria Math" w:hAnsi="Cambria Math"/>
                    </w:rPr>
                    <m:t>*</m:t>
                  </m:r>
                  <m:sSub>
                    <m:sSubPr>
                      <m:ctrlPr>
                        <w:rPr>
                          <w:rFonts w:ascii="Cambria Math" w:hAnsi="Cambria Math"/>
                          <w:i/>
                        </w:rPr>
                      </m:ctrlPr>
                    </m:sSubPr>
                    <m:e>
                      <m:r>
                        <w:rPr>
                          <w:rFonts w:ascii="Cambria Math" w:hAnsi="Cambria Math"/>
                        </w:rPr>
                        <m:t>FDF</m:t>
                      </m:r>
                    </m:e>
                    <m:sub>
                      <m:r>
                        <w:rPr>
                          <w:rFonts w:ascii="Cambria Math" w:hAnsi="Cambria Math"/>
                        </w:rPr>
                        <m:t>j,k→n,s</m:t>
                      </m:r>
                    </m:sub>
                  </m:sSub>
                </m:e>
              </m:d>
            </m:e>
          </m:nary>
        </m:oMath>
      </m:oMathPara>
    </w:p>
    <w:p w:rsidR="00A71B19" w:rsidRDefault="00A71B19" w:rsidP="00A71B19"/>
    <w:p w:rsidR="00A71B19" w:rsidRDefault="00A71B19" w:rsidP="00A71B19">
      <w:r w:rsidRPr="006A694C">
        <w:t>Donde,</w:t>
      </w:r>
    </w:p>
    <w:p w:rsidR="00A71B19" w:rsidRDefault="00A71B19" w:rsidP="00A71B19">
      <w:pPr>
        <w:pStyle w:val="Continuarlista"/>
        <w:ind w:left="0"/>
        <w:rPr>
          <w:sz w:val="22"/>
          <w:szCs w:val="22"/>
        </w:rPr>
      </w:pPr>
    </w:p>
    <w:p w:rsidR="00A71B19" w:rsidRPr="001C7E2A" w:rsidRDefault="00A71B19" w:rsidP="00A71B19">
      <w:pPr>
        <w:spacing w:line="216" w:lineRule="auto"/>
        <w:ind w:left="1410" w:hanging="1410"/>
      </w:pPr>
      <w:r>
        <w:rPr>
          <w:i/>
        </w:rPr>
        <w:t>F</w:t>
      </w:r>
      <w:r w:rsidRPr="005E5995">
        <w:rPr>
          <w:i/>
        </w:rPr>
        <w:t>e</w:t>
      </w:r>
      <w:r w:rsidRPr="005E5995">
        <w:rPr>
          <w:i/>
          <w:vertAlign w:val="subscript"/>
        </w:rPr>
        <w:t>NS,j,n,</w:t>
      </w:r>
      <w:r>
        <w:rPr>
          <w:i/>
          <w:vertAlign w:val="subscript"/>
        </w:rPr>
        <w:t>s</w:t>
      </w:r>
      <w:r>
        <w:t xml:space="preserve"> </w:t>
      </w:r>
      <w:r w:rsidRPr="001C7E2A">
        <w:t xml:space="preserve"> </w:t>
      </w:r>
      <w:r>
        <w:tab/>
      </w:r>
      <w:r w:rsidRPr="001C7E2A">
        <w:t xml:space="preserve">Energía de entrada desde Niveles de Tensión superiores al Nivel de Tensión </w:t>
      </w:r>
      <w:r w:rsidRPr="005E5995">
        <w:rPr>
          <w:i/>
        </w:rPr>
        <w:t>n</w:t>
      </w:r>
      <w:r w:rsidRPr="001C7E2A">
        <w:t xml:space="preserve">, en el sistema del OR </w:t>
      </w:r>
      <w:r w:rsidRPr="005E5995">
        <w:rPr>
          <w:i/>
        </w:rPr>
        <w:t>j</w:t>
      </w:r>
      <w:r w:rsidRPr="001C7E2A">
        <w:t xml:space="preserve">, </w:t>
      </w:r>
      <w:r>
        <w:t xml:space="preserve">durante los períodos de evaluación </w:t>
      </w:r>
      <w:r w:rsidRPr="00714D8E">
        <w:rPr>
          <w:i/>
        </w:rPr>
        <w:t>s</w:t>
      </w:r>
      <w:r>
        <w:t xml:space="preserve"> y </w:t>
      </w:r>
      <w:r w:rsidRPr="00714D8E">
        <w:rPr>
          <w:i/>
        </w:rPr>
        <w:t>s-1</w:t>
      </w:r>
      <w:r w:rsidRPr="001C7E2A">
        <w:t xml:space="preserve">,  expresada en kWh. Para el Nivel de Tensión 4, el valor de </w:t>
      </w:r>
      <w:r w:rsidRPr="00A23BD3">
        <w:rPr>
          <w:i/>
        </w:rPr>
        <w:t>Fe</w:t>
      </w:r>
      <w:r w:rsidRPr="005E5995">
        <w:rPr>
          <w:i/>
          <w:vertAlign w:val="subscript"/>
        </w:rPr>
        <w:t>NS,j,4,m</w:t>
      </w:r>
      <w:r>
        <w:t xml:space="preserve"> </w:t>
      </w:r>
      <w:r w:rsidRPr="001C7E2A">
        <w:t xml:space="preserve"> es cero.</w:t>
      </w:r>
    </w:p>
    <w:p w:rsidR="00A71B19" w:rsidRPr="001C7E2A" w:rsidRDefault="00A71B19" w:rsidP="00A71B19">
      <w:pPr>
        <w:spacing w:line="216" w:lineRule="auto"/>
      </w:pPr>
    </w:p>
    <w:p w:rsidR="00A71B19" w:rsidRPr="001C7E2A" w:rsidRDefault="00A71B19" w:rsidP="00A71B19">
      <w:pPr>
        <w:spacing w:line="216" w:lineRule="auto"/>
        <w:ind w:left="1410" w:hanging="1410"/>
      </w:pPr>
      <w:r w:rsidRPr="005E5995">
        <w:rPr>
          <w:i/>
        </w:rPr>
        <w:t>Ee</w:t>
      </w:r>
      <w:r w:rsidRPr="005E5995">
        <w:rPr>
          <w:i/>
          <w:vertAlign w:val="subscript"/>
        </w:rPr>
        <w:t>j,k,</w:t>
      </w:r>
      <w:r>
        <w:rPr>
          <w:i/>
          <w:vertAlign w:val="subscript"/>
        </w:rPr>
        <w:t>s</w:t>
      </w:r>
      <w:r>
        <w:tab/>
      </w:r>
      <w:r>
        <w:tab/>
      </w:r>
      <w:r w:rsidRPr="001C7E2A">
        <w:t xml:space="preserve">Energía de entrada en el Nivel de Tensión superior </w:t>
      </w:r>
      <w:r w:rsidRPr="005E5995">
        <w:rPr>
          <w:i/>
        </w:rPr>
        <w:t>k</w:t>
      </w:r>
      <w:r w:rsidRPr="001C7E2A">
        <w:t xml:space="preserve"> del sistema del OR </w:t>
      </w:r>
      <w:r w:rsidRPr="005E5995">
        <w:rPr>
          <w:i/>
        </w:rPr>
        <w:t>j</w:t>
      </w:r>
      <w:r w:rsidRPr="001C7E2A">
        <w:t xml:space="preserve">, </w:t>
      </w:r>
      <w:r>
        <w:t xml:space="preserve">durante los períodos de evaluación </w:t>
      </w:r>
      <w:r w:rsidRPr="00714D8E">
        <w:rPr>
          <w:i/>
        </w:rPr>
        <w:t>s</w:t>
      </w:r>
      <w:r>
        <w:t xml:space="preserve"> y </w:t>
      </w:r>
      <w:r w:rsidRPr="00714D8E">
        <w:rPr>
          <w:i/>
        </w:rPr>
        <w:t>s-1</w:t>
      </w:r>
      <w:r w:rsidRPr="001C7E2A">
        <w:t>, expresada en kWh.</w:t>
      </w:r>
    </w:p>
    <w:p w:rsidR="00A71B19" w:rsidRPr="001C7E2A" w:rsidRDefault="00A71B19" w:rsidP="00A71B19">
      <w:pPr>
        <w:spacing w:line="216" w:lineRule="auto"/>
      </w:pPr>
    </w:p>
    <w:p w:rsidR="00A71B19" w:rsidRPr="001C7E2A" w:rsidRDefault="00A71B19" w:rsidP="00A71B19">
      <w:pPr>
        <w:spacing w:line="216" w:lineRule="auto"/>
        <w:ind w:left="1410" w:hanging="1410"/>
      </w:pPr>
      <w:r w:rsidRPr="005E5995">
        <w:rPr>
          <w:i/>
        </w:rPr>
        <w:t>Es</w:t>
      </w:r>
      <w:r w:rsidRPr="005E5995">
        <w:rPr>
          <w:i/>
          <w:vertAlign w:val="subscript"/>
        </w:rPr>
        <w:t>j,k,</w:t>
      </w:r>
      <w:r>
        <w:rPr>
          <w:i/>
          <w:vertAlign w:val="subscript"/>
        </w:rPr>
        <w:t>s</w:t>
      </w:r>
      <w:r>
        <w:tab/>
      </w:r>
      <w:r>
        <w:tab/>
      </w:r>
      <w:r w:rsidRPr="001C7E2A">
        <w:t xml:space="preserve">Energía de salida del sistema del OR </w:t>
      </w:r>
      <w:r w:rsidRPr="005E5995">
        <w:rPr>
          <w:i/>
        </w:rPr>
        <w:t>j</w:t>
      </w:r>
      <w:r w:rsidRPr="001C7E2A">
        <w:t xml:space="preserve">, en el Nivel de Tensión superior </w:t>
      </w:r>
      <w:r w:rsidRPr="005E5995">
        <w:rPr>
          <w:i/>
        </w:rPr>
        <w:t>k</w:t>
      </w:r>
      <w:r w:rsidRPr="001C7E2A">
        <w:t xml:space="preserve">, </w:t>
      </w:r>
      <w:r>
        <w:t xml:space="preserve">durante los períodos de evaluación </w:t>
      </w:r>
      <w:r w:rsidRPr="00714D8E">
        <w:rPr>
          <w:i/>
        </w:rPr>
        <w:t>s</w:t>
      </w:r>
      <w:r>
        <w:t xml:space="preserve"> y </w:t>
      </w:r>
      <w:r w:rsidRPr="00714D8E">
        <w:rPr>
          <w:i/>
        </w:rPr>
        <w:t>s-1</w:t>
      </w:r>
      <w:r w:rsidRPr="001C7E2A">
        <w:t>, expresada en kWh.</w:t>
      </w:r>
    </w:p>
    <w:p w:rsidR="00A71B19" w:rsidRPr="001C7E2A" w:rsidRDefault="00A71B19" w:rsidP="00A71B19"/>
    <w:p w:rsidR="00A71B19" w:rsidRPr="001C7E2A" w:rsidRDefault="00A71B19" w:rsidP="00A71B19">
      <w:pPr>
        <w:ind w:left="1410" w:hanging="1410"/>
      </w:pPr>
      <w:r w:rsidRPr="005E5995">
        <w:rPr>
          <w:i/>
        </w:rPr>
        <w:t>PR</w:t>
      </w:r>
      <w:r w:rsidRPr="005E5995">
        <w:rPr>
          <w:i/>
          <w:vertAlign w:val="subscript"/>
        </w:rPr>
        <w:t>k,j,</w:t>
      </w:r>
      <w:r>
        <w:rPr>
          <w:i/>
          <w:vertAlign w:val="subscript"/>
        </w:rPr>
        <w:t>s</w:t>
      </w:r>
      <w:r>
        <w:tab/>
      </w:r>
      <w:r w:rsidRPr="001C7E2A">
        <w:t xml:space="preserve">Pérdidas de energía reconocidas en el Nivel de Tensión superior </w:t>
      </w:r>
      <w:r w:rsidRPr="005E5995">
        <w:rPr>
          <w:i/>
        </w:rPr>
        <w:t>k</w:t>
      </w:r>
      <w:r w:rsidRPr="001C7E2A">
        <w:t xml:space="preserve">, en el sistema del OR </w:t>
      </w:r>
      <w:r w:rsidRPr="005E5995">
        <w:rPr>
          <w:i/>
        </w:rPr>
        <w:t>j</w:t>
      </w:r>
      <w:r w:rsidRPr="001C7E2A">
        <w:t xml:space="preserve">, </w:t>
      </w:r>
      <w:r>
        <w:t xml:space="preserve">durante los períodos de evaluación </w:t>
      </w:r>
      <w:r w:rsidRPr="00714D8E">
        <w:rPr>
          <w:i/>
        </w:rPr>
        <w:t>s</w:t>
      </w:r>
      <w:r>
        <w:t xml:space="preserve"> y </w:t>
      </w:r>
      <w:r w:rsidRPr="00714D8E">
        <w:rPr>
          <w:i/>
        </w:rPr>
        <w:t>s-1</w:t>
      </w:r>
      <w:r w:rsidRPr="001C7E2A">
        <w:t>, expresadas en kWh.</w:t>
      </w:r>
    </w:p>
    <w:p w:rsidR="00A71B19" w:rsidRPr="001C7E2A" w:rsidRDefault="00A71B19" w:rsidP="00A71B19"/>
    <w:p w:rsidR="00A71B19" w:rsidRPr="001C7E2A" w:rsidRDefault="00A71B19" w:rsidP="00A71B19">
      <w:pPr>
        <w:ind w:left="1410" w:hanging="1410"/>
      </w:pPr>
      <w:r w:rsidRPr="005E5995">
        <w:rPr>
          <w:i/>
        </w:rPr>
        <w:t>FDF</w:t>
      </w:r>
      <w:r w:rsidRPr="005E5995">
        <w:rPr>
          <w:i/>
          <w:vertAlign w:val="subscript"/>
        </w:rPr>
        <w:t>j,k</w:t>
      </w:r>
      <w:r w:rsidRPr="005E5995">
        <w:rPr>
          <w:i/>
          <w:vertAlign w:val="subscript"/>
        </w:rPr>
        <w:sym w:font="Symbol" w:char="F0AE"/>
      </w:r>
      <w:r w:rsidRPr="005E5995">
        <w:rPr>
          <w:i/>
          <w:vertAlign w:val="subscript"/>
        </w:rPr>
        <w:t>n,</w:t>
      </w:r>
      <w:r>
        <w:rPr>
          <w:i/>
          <w:vertAlign w:val="subscript"/>
        </w:rPr>
        <w:t>s</w:t>
      </w:r>
      <w:r>
        <w:t xml:space="preserve"> </w:t>
      </w:r>
      <w:r w:rsidRPr="001C7E2A">
        <w:t xml:space="preserve"> </w:t>
      </w:r>
      <w:r>
        <w:tab/>
      </w:r>
      <w:r w:rsidRPr="001C7E2A">
        <w:t xml:space="preserve">Factor de distribución del flujo de energía en el sistema del OR </w:t>
      </w:r>
      <w:r w:rsidRPr="008F3207">
        <w:rPr>
          <w:i/>
        </w:rPr>
        <w:t>j</w:t>
      </w:r>
      <w:r w:rsidRPr="001C7E2A">
        <w:t xml:space="preserve">, desde el Nivel de Tensión superior </w:t>
      </w:r>
      <w:r w:rsidRPr="001C7E2A">
        <w:rPr>
          <w:i/>
        </w:rPr>
        <w:t>k</w:t>
      </w:r>
      <w:r w:rsidRPr="001C7E2A">
        <w:t xml:space="preserve"> hacia el Nivel de Tensión </w:t>
      </w:r>
      <w:r w:rsidRPr="001C7E2A">
        <w:rPr>
          <w:i/>
        </w:rPr>
        <w:t>n</w:t>
      </w:r>
      <w:r w:rsidRPr="001C7E2A">
        <w:t xml:space="preserve">, </w:t>
      </w:r>
      <w:r>
        <w:t xml:space="preserve">durante los períodos de evaluación </w:t>
      </w:r>
      <w:r w:rsidRPr="00714D8E">
        <w:rPr>
          <w:i/>
        </w:rPr>
        <w:t>s</w:t>
      </w:r>
      <w:r>
        <w:t xml:space="preserve"> y </w:t>
      </w:r>
      <w:r w:rsidRPr="00714D8E">
        <w:rPr>
          <w:i/>
        </w:rPr>
        <w:t>s-1</w:t>
      </w:r>
      <w:r w:rsidRPr="001C7E2A">
        <w:t xml:space="preserve">. </w:t>
      </w:r>
      <w:r>
        <w:t>Para los dos primeros períodos de evaluación e</w:t>
      </w:r>
      <w:r w:rsidRPr="001C7E2A">
        <w:t xml:space="preserve">l factor debe ser calculado </w:t>
      </w:r>
      <w:r>
        <w:t xml:space="preserve">con base en los factores tenidos en cuenta en </w:t>
      </w:r>
      <w:r w:rsidRPr="001C7E2A">
        <w:t>la Resolución de aprobación de cargos de cada OR.</w:t>
      </w:r>
      <w:r>
        <w:t xml:space="preserve"> A partir del tercer período de evaluación este factor deberá ser informado por el OR al LAC con base en las medidas entre niveles efectuada.</w:t>
      </w:r>
    </w:p>
    <w:p w:rsidR="00A71B19" w:rsidRDefault="00A71B19" w:rsidP="00A71B19"/>
    <w:p w:rsidR="00CB2A18" w:rsidRPr="001C7E2A" w:rsidRDefault="00CB2A18" w:rsidP="00A71B19"/>
    <w:p w:rsidR="00A71B19" w:rsidRDefault="00A71B19" w:rsidP="00A71B19">
      <w:pPr>
        <w:ind w:left="1410" w:hanging="1410"/>
      </w:pPr>
      <w:r w:rsidRPr="005E5995">
        <w:rPr>
          <w:i/>
        </w:rPr>
        <w:t>n</w:t>
      </w:r>
      <w:r>
        <w:tab/>
      </w:r>
      <w:r>
        <w:tab/>
      </w:r>
      <w:r w:rsidRPr="001C7E2A">
        <w:t>Corresponde al Nivel de Tensión para el cual se determina la energía de salida. Toma los valores de 1, 2 y 3.</w:t>
      </w:r>
    </w:p>
    <w:p w:rsidR="00A71B19" w:rsidRPr="001C7E2A" w:rsidRDefault="00A71B19" w:rsidP="00A71B19">
      <w:pPr>
        <w:ind w:left="1410" w:hanging="1410"/>
      </w:pPr>
    </w:p>
    <w:p w:rsidR="00A71B19" w:rsidRDefault="00A71B19" w:rsidP="00A71B19">
      <w:pPr>
        <w:ind w:left="1410" w:hanging="1410"/>
      </w:pPr>
      <w:r w:rsidRPr="005E5995">
        <w:rPr>
          <w:i/>
        </w:rPr>
        <w:t>k</w:t>
      </w:r>
      <w:r w:rsidRPr="001C7E2A">
        <w:t xml:space="preserve"> </w:t>
      </w:r>
      <w:r>
        <w:tab/>
      </w:r>
      <w:r>
        <w:tab/>
      </w:r>
      <w:r w:rsidRPr="001C7E2A">
        <w:t>Corresponde al Nivel de Tensión superior. Toma los valores de 2, 3 y 4.</w:t>
      </w:r>
    </w:p>
    <w:p w:rsidR="00A71B19" w:rsidRDefault="00A71B19" w:rsidP="00A71B19">
      <w:pPr>
        <w:pStyle w:val="Ttulo2"/>
        <w:jc w:val="both"/>
      </w:pPr>
      <w:bookmarkStart w:id="80" w:name="_Toc280712163"/>
      <w:r>
        <w:t xml:space="preserve">Pérdidas de energía a distribuir </w:t>
      </w:r>
      <w:r w:rsidRPr="006A694C">
        <w:t>en los mercados de comercialización</w:t>
      </w:r>
      <w:bookmarkEnd w:id="80"/>
    </w:p>
    <w:p w:rsidR="00A71B19" w:rsidRDefault="00A71B19" w:rsidP="00A71B19">
      <w:r>
        <w:t xml:space="preserve">Las pérdidas de energía a distribuir en el mercado de comercialización </w:t>
      </w:r>
      <w:r w:rsidRPr="00D82A18">
        <w:rPr>
          <w:i/>
        </w:rPr>
        <w:t>i</w:t>
      </w:r>
      <w:r>
        <w:t xml:space="preserve">, atendido por el OR </w:t>
      </w:r>
      <w:r w:rsidRPr="00D82A18">
        <w:t>j</w:t>
      </w:r>
      <w:r>
        <w:rPr>
          <w:i/>
        </w:rPr>
        <w:t>,</w:t>
      </w:r>
      <w:r>
        <w:t xml:space="preserve"> en el mes </w:t>
      </w:r>
      <w:r w:rsidRPr="00E918CE">
        <w:rPr>
          <w:i/>
        </w:rPr>
        <w:t>m</w:t>
      </w:r>
      <w:r>
        <w:rPr>
          <w:i/>
        </w:rPr>
        <w:t xml:space="preserve"> </w:t>
      </w:r>
      <w:r>
        <w:t>son:</w:t>
      </w:r>
    </w:p>
    <w:p w:rsidR="00A71B19" w:rsidRDefault="00A71B19" w:rsidP="00A71B19"/>
    <w:p w:rsidR="00A71B19" w:rsidRPr="00D82A18" w:rsidRDefault="00822579" w:rsidP="00A71B19">
      <w:pPr>
        <w:rPr>
          <w:rFonts w:ascii="Cambria Math" w:hAnsi="Cambria Math"/>
          <w:i/>
        </w:rPr>
      </w:pPr>
      <m:oMathPara>
        <m:oMath>
          <m:sSub>
            <m:sSubPr>
              <m:ctrlPr>
                <w:rPr>
                  <w:rFonts w:ascii="Cambria Math" w:hAnsi="Cambria Math"/>
                  <w:i/>
                </w:rPr>
              </m:ctrlPr>
            </m:sSubPr>
            <m:e>
              <m:r>
                <w:rPr>
                  <w:rFonts w:ascii="Cambria Math" w:hAnsi="Cambria Math"/>
                </w:rPr>
                <m:t>PA</m:t>
              </m:r>
            </m:e>
            <m:sub>
              <m:r>
                <w:rPr>
                  <w:rFonts w:ascii="Cambria Math" w:hAnsi="Cambria Math"/>
                </w:rPr>
                <m:t>i,j,m</m:t>
              </m:r>
            </m:sub>
          </m:sSub>
          <m:r>
            <w:rPr>
              <w:rFonts w:ascii="Cambria Math" w:hAnsi="Cambria Math"/>
            </w:rPr>
            <m:t>=min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PTS</m:t>
                  </m:r>
                </m:e>
                <m:sub>
                  <m:r>
                    <w:rPr>
                      <w:rFonts w:ascii="Cambria Math" w:hAnsi="Cambria Math"/>
                    </w:rPr>
                    <m:t>i,j,m</m:t>
                  </m:r>
                </m:sub>
              </m:sSub>
              <m:r>
                <w:rPr>
                  <w:rFonts w:ascii="Cambria Math" w:hAnsi="Cambria Math"/>
                </w:rPr>
                <m:t>,</m:t>
              </m:r>
              <m:sSub>
                <m:sSubPr>
                  <m:ctrlPr>
                    <w:rPr>
                      <w:rFonts w:ascii="Cambria Math" w:hAnsi="Cambria Math"/>
                      <w:i/>
                    </w:rPr>
                  </m:ctrlPr>
                </m:sSubPr>
                <m:e>
                  <m:r>
                    <w:rPr>
                      <w:rFonts w:ascii="Cambria Math" w:hAnsi="Cambria Math"/>
                    </w:rPr>
                    <m:t>PTc</m:t>
                  </m:r>
                </m:e>
                <m:sub>
                  <m:r>
                    <w:rPr>
                      <w:rFonts w:ascii="Cambria Math" w:hAnsi="Cambria Math"/>
                    </w:rPr>
                    <m:t>j,m</m:t>
                  </m:r>
                </m:sub>
              </m:sSub>
            </m:e>
          </m:d>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i,j,m</m:t>
              </m:r>
            </m:sub>
          </m:sSub>
        </m:oMath>
      </m:oMathPara>
    </w:p>
    <w:p w:rsidR="00A71B19" w:rsidRDefault="00A71B19" w:rsidP="00A71B19">
      <w:r>
        <w:t>Donde,</w:t>
      </w:r>
    </w:p>
    <w:p w:rsidR="00A71B19" w:rsidRDefault="00A71B19" w:rsidP="00A71B19"/>
    <w:p w:rsidR="00A71B19" w:rsidRDefault="00A71B19" w:rsidP="00A71B19">
      <w:pPr>
        <w:ind w:left="1410" w:hanging="1410"/>
      </w:pPr>
      <w:r w:rsidRPr="00340D5E">
        <w:rPr>
          <w:i/>
        </w:rPr>
        <w:t>PA</w:t>
      </w:r>
      <w:r>
        <w:rPr>
          <w:i/>
          <w:vertAlign w:val="subscript"/>
        </w:rPr>
        <w:t>i,j</w:t>
      </w:r>
      <w:r w:rsidRPr="00340D5E">
        <w:rPr>
          <w:i/>
          <w:vertAlign w:val="subscript"/>
        </w:rPr>
        <w:t>,m</w:t>
      </w:r>
      <w:r>
        <w:rPr>
          <w:i/>
        </w:rPr>
        <w:tab/>
      </w:r>
      <w:r>
        <w:rPr>
          <w:i/>
        </w:rPr>
        <w:tab/>
      </w:r>
      <w:r>
        <w:t xml:space="preserve">Pérdidas de energía a distribuir entre los comercializadores del mercado de comercialización </w:t>
      </w:r>
      <w:r w:rsidRPr="00340D5E">
        <w:rPr>
          <w:i/>
        </w:rPr>
        <w:t>i</w:t>
      </w:r>
      <w:r>
        <w:t xml:space="preserve">, servido por el OR </w:t>
      </w:r>
      <w:r w:rsidRPr="00340D5E">
        <w:rPr>
          <w:i/>
        </w:rPr>
        <w:t>j</w:t>
      </w:r>
      <w:r>
        <w:t xml:space="preserve">, para el mes </w:t>
      </w:r>
      <w:r w:rsidRPr="00340D5E">
        <w:rPr>
          <w:i/>
        </w:rPr>
        <w:t>m</w:t>
      </w:r>
      <w:r>
        <w:t>, expresadas en kWh.</w:t>
      </w:r>
    </w:p>
    <w:p w:rsidR="00A71B19" w:rsidRDefault="00A71B19" w:rsidP="00A71B19">
      <w:pPr>
        <w:ind w:left="1410" w:hanging="1410"/>
      </w:pPr>
    </w:p>
    <w:p w:rsidR="00A71B19" w:rsidRDefault="00A71B19" w:rsidP="00A71B19">
      <w:pPr>
        <w:ind w:left="1410" w:hanging="1410"/>
      </w:pPr>
      <w:r w:rsidRPr="001E214F">
        <w:rPr>
          <w:i/>
        </w:rPr>
        <w:t>PT</w:t>
      </w:r>
      <w:r>
        <w:rPr>
          <w:i/>
        </w:rPr>
        <w:t>S</w:t>
      </w:r>
      <w:r>
        <w:rPr>
          <w:i/>
          <w:vertAlign w:val="subscript"/>
        </w:rPr>
        <w:t>i,j</w:t>
      </w:r>
      <w:r w:rsidRPr="00340D5E">
        <w:rPr>
          <w:i/>
          <w:vertAlign w:val="subscript"/>
        </w:rPr>
        <w:t>,m</w:t>
      </w:r>
      <w:r w:rsidRPr="00340D5E">
        <w:rPr>
          <w:i/>
        </w:rPr>
        <w:tab/>
      </w:r>
      <w:r>
        <w:t xml:space="preserve">Pérdidas totales de energía de la senda, en el mercado de comercialización </w:t>
      </w:r>
      <w:r w:rsidRPr="00340D5E">
        <w:rPr>
          <w:i/>
        </w:rPr>
        <w:t>i</w:t>
      </w:r>
      <w:r>
        <w:t xml:space="preserve">, servido por el OR </w:t>
      </w:r>
      <w:r w:rsidRPr="00340D5E">
        <w:rPr>
          <w:i/>
        </w:rPr>
        <w:t>j</w:t>
      </w:r>
      <w:r>
        <w:t xml:space="preserve">, para el mes </w:t>
      </w:r>
      <w:r w:rsidRPr="00340D5E">
        <w:rPr>
          <w:i/>
        </w:rPr>
        <w:t>m</w:t>
      </w:r>
      <w:r>
        <w:t xml:space="preserve">, expresadas en kWh. Calculadas como se indica en el numeral </w:t>
      </w:r>
      <w:r w:rsidR="00822579">
        <w:rPr>
          <w:highlight w:val="yellow"/>
        </w:rPr>
        <w:fldChar w:fldCharType="begin"/>
      </w:r>
      <w:r>
        <w:instrText xml:space="preserve"> REF _Ref277705537 \r \h </w:instrText>
      </w:r>
      <w:r w:rsidR="00822579">
        <w:rPr>
          <w:highlight w:val="yellow"/>
        </w:rPr>
      </w:r>
      <w:r w:rsidR="00822579">
        <w:rPr>
          <w:highlight w:val="yellow"/>
        </w:rPr>
        <w:fldChar w:fldCharType="separate"/>
      </w:r>
      <w:r w:rsidR="00322DB3">
        <w:t>4.2.1</w:t>
      </w:r>
      <w:r w:rsidR="00822579">
        <w:rPr>
          <w:highlight w:val="yellow"/>
        </w:rPr>
        <w:fldChar w:fldCharType="end"/>
      </w:r>
    </w:p>
    <w:p w:rsidR="00A71B19" w:rsidRDefault="00A71B19" w:rsidP="00A71B19">
      <w:pPr>
        <w:ind w:left="1410" w:hanging="1410"/>
        <w:rPr>
          <w:i/>
        </w:rPr>
      </w:pPr>
    </w:p>
    <w:p w:rsidR="00A71B19" w:rsidRDefault="00A71B19" w:rsidP="00A71B19">
      <w:pPr>
        <w:ind w:left="1410" w:hanging="1410"/>
      </w:pPr>
      <w:r w:rsidRPr="001E214F">
        <w:rPr>
          <w:i/>
        </w:rPr>
        <w:t>PT</w:t>
      </w:r>
      <w:r>
        <w:rPr>
          <w:i/>
        </w:rPr>
        <w:t>c</w:t>
      </w:r>
      <w:r>
        <w:rPr>
          <w:i/>
          <w:vertAlign w:val="subscript"/>
        </w:rPr>
        <w:t>i,j</w:t>
      </w:r>
      <w:r w:rsidRPr="001E214F">
        <w:rPr>
          <w:i/>
          <w:vertAlign w:val="subscript"/>
        </w:rPr>
        <w:t>,m</w:t>
      </w:r>
      <w:r>
        <w:rPr>
          <w:i/>
        </w:rPr>
        <w:tab/>
      </w:r>
      <w:r>
        <w:t xml:space="preserve">Pérdidas totales de energía calculadas para el mercado de comercialización </w:t>
      </w:r>
      <w:r w:rsidRPr="00340D5E">
        <w:rPr>
          <w:i/>
        </w:rPr>
        <w:t>i</w:t>
      </w:r>
      <w:r>
        <w:t xml:space="preserve">, servido por el OR </w:t>
      </w:r>
      <w:r w:rsidRPr="00340D5E">
        <w:rPr>
          <w:i/>
        </w:rPr>
        <w:t>j</w:t>
      </w:r>
      <w:r>
        <w:t xml:space="preserve">, para el mes </w:t>
      </w:r>
      <w:r w:rsidRPr="00340D5E">
        <w:rPr>
          <w:i/>
        </w:rPr>
        <w:t>m</w:t>
      </w:r>
      <w:r>
        <w:t xml:space="preserve">, expresadas en kWh. Calculadas como se indica en el numeral </w:t>
      </w:r>
      <w:r w:rsidR="00822579">
        <w:fldChar w:fldCharType="begin"/>
      </w:r>
      <w:r>
        <w:instrText xml:space="preserve"> REF _Ref277705564 \r \h </w:instrText>
      </w:r>
      <w:r w:rsidR="00822579">
        <w:fldChar w:fldCharType="separate"/>
      </w:r>
      <w:r w:rsidR="00322DB3">
        <w:t>4.2.2</w:t>
      </w:r>
      <w:r w:rsidR="00822579">
        <w:fldChar w:fldCharType="end"/>
      </w:r>
      <w:r>
        <w:t>.</w:t>
      </w:r>
    </w:p>
    <w:p w:rsidR="00A71B19" w:rsidRDefault="00A71B19" w:rsidP="00A71B19">
      <w:pPr>
        <w:ind w:left="1410" w:hanging="1410"/>
      </w:pPr>
    </w:p>
    <w:p w:rsidR="00A71B19" w:rsidRDefault="00A71B19" w:rsidP="00A71B19">
      <w:pPr>
        <w:ind w:left="1410" w:hanging="1410"/>
      </w:pPr>
      <w:r w:rsidRPr="001E214F">
        <w:rPr>
          <w:i/>
        </w:rPr>
        <w:t>P</w:t>
      </w:r>
      <w:r>
        <w:rPr>
          <w:i/>
        </w:rPr>
        <w:t>R</w:t>
      </w:r>
      <w:r>
        <w:rPr>
          <w:i/>
          <w:vertAlign w:val="subscript"/>
        </w:rPr>
        <w:t>i,j,</w:t>
      </w:r>
      <w:r w:rsidRPr="001E214F">
        <w:rPr>
          <w:i/>
          <w:vertAlign w:val="subscript"/>
        </w:rPr>
        <w:t>,m</w:t>
      </w:r>
      <w:r>
        <w:rPr>
          <w:i/>
        </w:rPr>
        <w:tab/>
      </w:r>
      <w:r>
        <w:t xml:space="preserve">Pérdidas reconocidas de energía para el mercado de comercialización </w:t>
      </w:r>
      <w:r w:rsidRPr="008301D0">
        <w:rPr>
          <w:i/>
        </w:rPr>
        <w:t>i</w:t>
      </w:r>
      <w:r>
        <w:t xml:space="preserve">, servido por el OR </w:t>
      </w:r>
      <w:r w:rsidRPr="008301D0">
        <w:rPr>
          <w:i/>
        </w:rPr>
        <w:t>j</w:t>
      </w:r>
      <w:r>
        <w:t xml:space="preserve">, para el mes </w:t>
      </w:r>
      <w:r w:rsidRPr="008301D0">
        <w:rPr>
          <w:i/>
        </w:rPr>
        <w:t>m</w:t>
      </w:r>
      <w:r>
        <w:t xml:space="preserve">, expresadas en kWh. Calculadas como se indica en el numeral </w:t>
      </w:r>
      <w:r w:rsidR="00822579">
        <w:fldChar w:fldCharType="begin"/>
      </w:r>
      <w:r>
        <w:instrText xml:space="preserve"> REF _Ref277767321 \r \h </w:instrText>
      </w:r>
      <w:r w:rsidR="00822579">
        <w:fldChar w:fldCharType="separate"/>
      </w:r>
      <w:r w:rsidR="00322DB3">
        <w:t>4.2.5</w:t>
      </w:r>
      <w:r w:rsidR="00822579">
        <w:fldChar w:fldCharType="end"/>
      </w:r>
      <w:r>
        <w:t>.</w:t>
      </w:r>
    </w:p>
    <w:p w:rsidR="00A71B19" w:rsidRDefault="00A71B19" w:rsidP="00A71B19">
      <w:pPr>
        <w:pStyle w:val="Ttulo3"/>
        <w:jc w:val="both"/>
      </w:pPr>
      <w:bookmarkStart w:id="81" w:name="_Ref277705537"/>
      <w:bookmarkStart w:id="82" w:name="_Toc280712164"/>
      <w:r>
        <w:t>Pérdidas totales de energía de la senda</w:t>
      </w:r>
      <w:bookmarkEnd w:id="81"/>
      <w:bookmarkEnd w:id="82"/>
    </w:p>
    <w:p w:rsidR="00A71B19" w:rsidRDefault="00A71B19" w:rsidP="00A71B19">
      <w:r>
        <w:t xml:space="preserve">Las pérdidas totales de energía asociadas a la senda aprobada a un OR </w:t>
      </w:r>
      <w:r w:rsidRPr="008F3207">
        <w:rPr>
          <w:i/>
        </w:rPr>
        <w:t>j</w:t>
      </w:r>
      <w:r>
        <w:t xml:space="preserve"> son:</w:t>
      </w:r>
    </w:p>
    <w:p w:rsidR="00A71B19" w:rsidRDefault="00A71B19" w:rsidP="00A71B19"/>
    <w:p w:rsidR="00A71B19" w:rsidRDefault="00822579" w:rsidP="00A71B19">
      <m:oMathPara>
        <m:oMath>
          <m:sSub>
            <m:sSubPr>
              <m:ctrlPr>
                <w:rPr>
                  <w:rFonts w:ascii="Cambria Math" w:hAnsi="Cambria Math"/>
                  <w:i/>
                  <w:sz w:val="22"/>
                  <w:szCs w:val="22"/>
                </w:rPr>
              </m:ctrlPr>
            </m:sSubPr>
            <m:e>
              <m:r>
                <w:rPr>
                  <w:rFonts w:ascii="Cambria Math" w:hAnsi="Cambria Math"/>
                  <w:sz w:val="22"/>
                  <w:szCs w:val="22"/>
                </w:rPr>
                <m:t>PTS</m:t>
              </m:r>
            </m:e>
            <m:sub>
              <m:r>
                <w:rPr>
                  <w:rFonts w:ascii="Cambria Math" w:hAnsi="Cambria Math"/>
                  <w:sz w:val="22"/>
                  <w:szCs w:val="22"/>
                </w:rPr>
                <m:t>i,j,m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IPTS</m:t>
              </m:r>
            </m:e>
            <m:sub>
              <m:r>
                <w:rPr>
                  <w:rFonts w:ascii="Cambria Math" w:hAnsi="Cambria Math"/>
                  <w:sz w:val="22"/>
                  <w:szCs w:val="22"/>
                </w:rPr>
                <m:t>j,s</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NS,j,n,m</m:t>
                      </m:r>
                    </m:sub>
                  </m:sSub>
                </m:e>
              </m:d>
            </m:e>
          </m:nary>
        </m:oMath>
      </m:oMathPara>
    </w:p>
    <w:p w:rsidR="00A71B19" w:rsidRDefault="00A71B19" w:rsidP="00A71B19"/>
    <w:p w:rsidR="00A71B19" w:rsidRDefault="00A71B19" w:rsidP="00A71B19">
      <w:pPr>
        <w:ind w:left="1410" w:hanging="1410"/>
      </w:pPr>
      <w:r w:rsidRPr="001E214F">
        <w:rPr>
          <w:i/>
        </w:rPr>
        <w:t>PT</w:t>
      </w:r>
      <w:r>
        <w:rPr>
          <w:i/>
        </w:rPr>
        <w:t>S</w:t>
      </w:r>
      <w:r>
        <w:rPr>
          <w:i/>
          <w:vertAlign w:val="subscript"/>
        </w:rPr>
        <w:t>i,j</w:t>
      </w:r>
      <w:r w:rsidRPr="00340D5E">
        <w:rPr>
          <w:i/>
          <w:vertAlign w:val="subscript"/>
        </w:rPr>
        <w:t>,m</w:t>
      </w:r>
      <w:r w:rsidRPr="00340D5E">
        <w:rPr>
          <w:i/>
        </w:rPr>
        <w:tab/>
      </w:r>
      <w:r>
        <w:t xml:space="preserve">Pérdidas totales de energía de la senda, en el mercado de comercialización </w:t>
      </w:r>
      <w:r w:rsidRPr="00340D5E">
        <w:rPr>
          <w:i/>
        </w:rPr>
        <w:t>i</w:t>
      </w:r>
      <w:r>
        <w:t xml:space="preserve">, servido por el OR </w:t>
      </w:r>
      <w:r w:rsidRPr="00340D5E">
        <w:rPr>
          <w:i/>
        </w:rPr>
        <w:t>j</w:t>
      </w:r>
      <w:r>
        <w:t xml:space="preserve">, para el mes </w:t>
      </w:r>
      <w:r w:rsidRPr="00340D5E">
        <w:rPr>
          <w:i/>
        </w:rPr>
        <w:t>m</w:t>
      </w:r>
      <w:r>
        <w:t xml:space="preserve">, expresadas en kWh. </w:t>
      </w:r>
    </w:p>
    <w:p w:rsidR="00A71B19" w:rsidRDefault="00A71B19" w:rsidP="00A71B19">
      <w:pPr>
        <w:ind w:left="1410" w:hanging="1410"/>
      </w:pPr>
    </w:p>
    <w:p w:rsidR="00CB2A18" w:rsidRDefault="00A71B19" w:rsidP="00A71B19">
      <w:pPr>
        <w:ind w:left="1410" w:hanging="1410"/>
      </w:pPr>
      <w:r>
        <w:rPr>
          <w:i/>
        </w:rPr>
        <w:t>IPTS</w:t>
      </w:r>
      <w:r w:rsidRPr="008F3207">
        <w:rPr>
          <w:i/>
          <w:vertAlign w:val="subscript"/>
        </w:rPr>
        <w:t>j,s</w:t>
      </w:r>
      <w:r>
        <w:rPr>
          <w:i/>
        </w:rPr>
        <w:tab/>
      </w:r>
      <w:r>
        <w:t xml:space="preserve">Índice de pérdidas totales de energía de la senda, en el mercado de comercialización </w:t>
      </w:r>
      <w:r w:rsidRPr="00340D5E">
        <w:rPr>
          <w:i/>
        </w:rPr>
        <w:t>i</w:t>
      </w:r>
      <w:r>
        <w:t xml:space="preserve">, servido por el OR </w:t>
      </w:r>
      <w:r w:rsidRPr="00340D5E">
        <w:rPr>
          <w:i/>
        </w:rPr>
        <w:t>j</w:t>
      </w:r>
      <w:r>
        <w:t xml:space="preserve">, asignado para el periodo de evaluación </w:t>
      </w:r>
      <w:r w:rsidRPr="008F3207">
        <w:rPr>
          <w:i/>
        </w:rPr>
        <w:t>s</w:t>
      </w:r>
      <w:r>
        <w:t xml:space="preserve"> en la resolución de aprobación particular del OR </w:t>
      </w:r>
      <w:r w:rsidRPr="008F3207">
        <w:rPr>
          <w:i/>
        </w:rPr>
        <w:t>j</w:t>
      </w:r>
      <w:r>
        <w:t xml:space="preserve">, aplicable al mes </w:t>
      </w:r>
      <w:r w:rsidRPr="008F3207">
        <w:rPr>
          <w:i/>
        </w:rPr>
        <w:t>m</w:t>
      </w:r>
      <w:r>
        <w:t>.</w:t>
      </w:r>
    </w:p>
    <w:p w:rsidR="00CB2A18" w:rsidRDefault="00CB2A18" w:rsidP="00A71B19">
      <w:pPr>
        <w:ind w:left="1410" w:hanging="1410"/>
      </w:pPr>
    </w:p>
    <w:p w:rsidR="00A71B19" w:rsidRPr="001B1D2F" w:rsidRDefault="00A71B19" w:rsidP="00A71B19">
      <w:pPr>
        <w:ind w:left="1410" w:hanging="1410"/>
      </w:pPr>
      <w:r w:rsidRPr="00593939">
        <w:rPr>
          <w:i/>
        </w:rPr>
        <w:t>Ee</w:t>
      </w:r>
      <w:r w:rsidRPr="00593939">
        <w:rPr>
          <w:i/>
          <w:vertAlign w:val="subscript"/>
        </w:rPr>
        <w:t>j,n,</w:t>
      </w:r>
      <w:r>
        <w:rPr>
          <w:i/>
          <w:vertAlign w:val="subscript"/>
        </w:rPr>
        <w:t>m</w:t>
      </w:r>
      <w:r w:rsidRPr="001B1D2F">
        <w:tab/>
        <w:t xml:space="preserve">Energía de entrada al sistema del OR </w:t>
      </w:r>
      <w:r w:rsidRPr="00593939">
        <w:rPr>
          <w:i/>
        </w:rPr>
        <w:t>j</w:t>
      </w:r>
      <w:r w:rsidRPr="001B1D2F">
        <w:t xml:space="preserve"> en el Nivel de Tensión </w:t>
      </w:r>
      <w:r w:rsidRPr="00593939">
        <w:rPr>
          <w:i/>
        </w:rPr>
        <w:t>n</w:t>
      </w:r>
      <w:r>
        <w:rPr>
          <w:i/>
        </w:rPr>
        <w:t xml:space="preserve"> </w:t>
      </w:r>
      <w:r>
        <w:t xml:space="preserve">durante el mes </w:t>
      </w:r>
      <w:r w:rsidRPr="00340D5E">
        <w:rPr>
          <w:i/>
        </w:rPr>
        <w:t>m</w:t>
      </w:r>
      <w:r w:rsidRPr="001B1D2F">
        <w:t>, expresada en kWh. Calculada como se establece en el numeral</w:t>
      </w:r>
      <w:r>
        <w:t xml:space="preserve"> </w:t>
      </w:r>
      <w:r w:rsidR="00822579">
        <w:fldChar w:fldCharType="begin"/>
      </w:r>
      <w:r>
        <w:instrText xml:space="preserve"> REF _Ref277706453 \r \h </w:instrText>
      </w:r>
      <w:r w:rsidR="00822579">
        <w:fldChar w:fldCharType="separate"/>
      </w:r>
      <w:r w:rsidR="00322DB3">
        <w:t>4.2.3</w:t>
      </w:r>
      <w:r w:rsidR="00822579">
        <w:fldChar w:fldCharType="end"/>
      </w:r>
      <w:r w:rsidRPr="001B1D2F">
        <w:t>.</w:t>
      </w:r>
    </w:p>
    <w:p w:rsidR="00A71B19" w:rsidRDefault="00A71B19" w:rsidP="00A71B19">
      <w:pPr>
        <w:ind w:left="1410" w:hanging="1410"/>
      </w:pPr>
    </w:p>
    <w:p w:rsidR="00A71B19" w:rsidRPr="001B1D2F" w:rsidRDefault="00A71B19" w:rsidP="00A71B19">
      <w:pPr>
        <w:ind w:left="1410" w:hanging="1410"/>
      </w:pPr>
      <w:r w:rsidRPr="007110E1">
        <w:rPr>
          <w:i/>
        </w:rPr>
        <w:t>Fe</w:t>
      </w:r>
      <w:r w:rsidRPr="007110E1">
        <w:rPr>
          <w:i/>
          <w:vertAlign w:val="subscript"/>
        </w:rPr>
        <w:t>NS,j,n,</w:t>
      </w:r>
      <w:r>
        <w:rPr>
          <w:i/>
          <w:vertAlign w:val="subscript"/>
        </w:rPr>
        <w:t>m</w:t>
      </w:r>
      <w:r w:rsidRPr="001B1D2F">
        <w:t xml:space="preserve"> </w:t>
      </w:r>
      <w:r w:rsidRPr="001B1D2F">
        <w:tab/>
        <w:t xml:space="preserve">Flujo de energía desde Niveles de Tensión superiores en el sistema del OR </w:t>
      </w:r>
      <w:r w:rsidRPr="001B1D2F">
        <w:rPr>
          <w:i/>
        </w:rPr>
        <w:t>j</w:t>
      </w:r>
      <w:r w:rsidRPr="001B1D2F">
        <w:t xml:space="preserve">, al Nivel de Tensión </w:t>
      </w:r>
      <w:r w:rsidRPr="001B1D2F">
        <w:rPr>
          <w:i/>
        </w:rPr>
        <w:t xml:space="preserve">n, </w:t>
      </w:r>
      <w:r>
        <w:t xml:space="preserve">durante el mes </w:t>
      </w:r>
      <w:r w:rsidRPr="00340D5E">
        <w:rPr>
          <w:i/>
        </w:rPr>
        <w:t>m</w:t>
      </w:r>
      <w:r w:rsidRPr="001B1D2F">
        <w:rPr>
          <w:i/>
        </w:rPr>
        <w:t>,</w:t>
      </w:r>
      <w:r w:rsidRPr="001B1D2F">
        <w:t xml:space="preserve">  expresada en kWh. Calculada como se establece en el numeral </w:t>
      </w:r>
      <w:r w:rsidR="00822579">
        <w:fldChar w:fldCharType="begin"/>
      </w:r>
      <w:r>
        <w:instrText xml:space="preserve"> REF _Ref277707634 \r \h </w:instrText>
      </w:r>
      <w:r w:rsidR="00822579">
        <w:fldChar w:fldCharType="separate"/>
      </w:r>
      <w:r w:rsidR="00322DB3">
        <w:t>4.2.6</w:t>
      </w:r>
      <w:r w:rsidR="00822579">
        <w:fldChar w:fldCharType="end"/>
      </w:r>
      <w:r w:rsidRPr="001B1D2F">
        <w:t>.</w:t>
      </w:r>
      <w:r>
        <w:t xml:space="preserve"> </w:t>
      </w:r>
    </w:p>
    <w:p w:rsidR="00A71B19" w:rsidRDefault="00A71B19" w:rsidP="00A71B19">
      <w:pPr>
        <w:pStyle w:val="Ttulo3"/>
        <w:jc w:val="both"/>
      </w:pPr>
      <w:bookmarkStart w:id="83" w:name="_Ref277705564"/>
      <w:bookmarkStart w:id="84" w:name="_Toc280712165"/>
      <w:r>
        <w:t>Pérdidas totales de energía calculadas</w:t>
      </w:r>
      <w:bookmarkEnd w:id="83"/>
      <w:bookmarkEnd w:id="84"/>
    </w:p>
    <w:p w:rsidR="00A71B19" w:rsidRDefault="00A71B19" w:rsidP="00A71B19">
      <w:r w:rsidRPr="006A694C">
        <w:t xml:space="preserve">Las pérdidas </w:t>
      </w:r>
      <w:r>
        <w:t xml:space="preserve">totales </w:t>
      </w:r>
      <w:r w:rsidRPr="006A694C">
        <w:t xml:space="preserve">de energía </w:t>
      </w:r>
      <w:r>
        <w:t xml:space="preserve">calculadas </w:t>
      </w:r>
      <w:r w:rsidRPr="006A694C">
        <w:t>en el mercado de comercialización</w:t>
      </w:r>
      <w:r>
        <w:t xml:space="preserve"> </w:t>
      </w:r>
      <w:r w:rsidRPr="008F3207">
        <w:rPr>
          <w:i/>
        </w:rPr>
        <w:t>i</w:t>
      </w:r>
      <w:r>
        <w:t>,</w:t>
      </w:r>
      <w:r w:rsidRPr="006A694C">
        <w:t xml:space="preserve"> servido por el OR </w:t>
      </w:r>
      <w:r w:rsidRPr="006A694C">
        <w:rPr>
          <w:i/>
        </w:rPr>
        <w:t>j</w:t>
      </w:r>
      <w:r>
        <w:rPr>
          <w:i/>
        </w:rPr>
        <w:t>,</w:t>
      </w:r>
      <w:r w:rsidRPr="006A694C">
        <w:t xml:space="preserve"> </w:t>
      </w:r>
      <w:r>
        <w:t xml:space="preserve">para el mes </w:t>
      </w:r>
      <w:r w:rsidRPr="008F3207">
        <w:rPr>
          <w:i/>
        </w:rPr>
        <w:t>m</w:t>
      </w:r>
      <w:r>
        <w:rPr>
          <w:i/>
        </w:rPr>
        <w:t>,</w:t>
      </w:r>
      <w:r>
        <w:t xml:space="preserve"> </w:t>
      </w:r>
      <w:r w:rsidRPr="006A694C">
        <w:t>son:</w:t>
      </w:r>
    </w:p>
    <w:p w:rsidR="00A71B19" w:rsidRPr="006A694C" w:rsidRDefault="00A71B19" w:rsidP="00A71B19"/>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PTc</m:t>
              </m:r>
            </m:e>
            <m:sub>
              <m:r>
                <w:rPr>
                  <w:rFonts w:ascii="Cambria Math" w:hAnsi="Cambria Math"/>
                  <w:sz w:val="22"/>
                  <w:szCs w:val="22"/>
                </w:rPr>
                <m:t>i,j,m</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NS,j,n,m</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e>
          </m:nary>
        </m:oMath>
      </m:oMathPara>
    </w:p>
    <w:p w:rsidR="00A71B19" w:rsidRDefault="00A71B19" w:rsidP="00A71B19">
      <w:pPr>
        <w:pStyle w:val="Continuarlista"/>
        <w:spacing w:before="120"/>
        <w:ind w:left="0"/>
        <w:rPr>
          <w:sz w:val="22"/>
          <w:szCs w:val="22"/>
        </w:rPr>
      </w:pPr>
    </w:p>
    <w:p w:rsidR="00A71B19" w:rsidRPr="00CC1949" w:rsidRDefault="00A71B19" w:rsidP="00A71B19">
      <w:pPr>
        <w:pStyle w:val="Continuarlista"/>
        <w:ind w:left="0"/>
        <w:rPr>
          <w:sz w:val="22"/>
          <w:szCs w:val="22"/>
        </w:rPr>
      </w:pPr>
      <w:r w:rsidRPr="00CC1949">
        <w:rPr>
          <w:sz w:val="22"/>
          <w:szCs w:val="22"/>
        </w:rPr>
        <w:t>Donde:</w:t>
      </w:r>
    </w:p>
    <w:p w:rsidR="00A71B19" w:rsidRDefault="00A71B19" w:rsidP="00A71B19">
      <w:pPr>
        <w:pStyle w:val="Continuarlista"/>
        <w:ind w:left="0"/>
        <w:rPr>
          <w:sz w:val="22"/>
          <w:szCs w:val="22"/>
        </w:rPr>
      </w:pPr>
    </w:p>
    <w:p w:rsidR="00A71B19" w:rsidRDefault="00A71B19" w:rsidP="00A71B19">
      <w:pPr>
        <w:ind w:left="1410" w:hanging="1410"/>
      </w:pPr>
      <w:r w:rsidRPr="00593939">
        <w:rPr>
          <w:i/>
        </w:rPr>
        <w:t>PT</w:t>
      </w:r>
      <w:r>
        <w:rPr>
          <w:i/>
        </w:rPr>
        <w:t>c</w:t>
      </w:r>
      <w:r>
        <w:rPr>
          <w:i/>
          <w:vertAlign w:val="subscript"/>
        </w:rPr>
        <w:t>i,j</w:t>
      </w:r>
      <w:r w:rsidRPr="00593939">
        <w:rPr>
          <w:i/>
          <w:vertAlign w:val="subscript"/>
        </w:rPr>
        <w:t>,</w:t>
      </w:r>
      <w:r>
        <w:rPr>
          <w:i/>
          <w:vertAlign w:val="subscript"/>
        </w:rPr>
        <w:t>s</w:t>
      </w:r>
      <w:r>
        <w:tab/>
      </w:r>
      <w:r w:rsidRPr="001B1D2F">
        <w:t>Pérdidas totales de energía</w:t>
      </w:r>
      <w:r>
        <w:t xml:space="preserve"> calculadas para </w:t>
      </w:r>
      <w:r w:rsidRPr="001B1D2F">
        <w:t>el mercado de comercialización</w:t>
      </w:r>
      <w:r>
        <w:t xml:space="preserve"> </w:t>
      </w:r>
      <w:r w:rsidRPr="00340D5E">
        <w:rPr>
          <w:i/>
        </w:rPr>
        <w:t>i</w:t>
      </w:r>
      <w:r>
        <w:t>,</w:t>
      </w:r>
      <w:r w:rsidRPr="001B1D2F">
        <w:t xml:space="preserve"> servido por el OR </w:t>
      </w:r>
      <w:r w:rsidRPr="00593939">
        <w:rPr>
          <w:i/>
        </w:rPr>
        <w:t>j</w:t>
      </w:r>
      <w:r w:rsidRPr="001B1D2F">
        <w:t xml:space="preserve">, </w:t>
      </w:r>
      <w:r>
        <w:t>para</w:t>
      </w:r>
      <w:r w:rsidRPr="001B1D2F">
        <w:t xml:space="preserve"> el </w:t>
      </w:r>
      <w:r>
        <w:t xml:space="preserve">mes </w:t>
      </w:r>
      <w:r w:rsidRPr="00340D5E">
        <w:rPr>
          <w:i/>
        </w:rPr>
        <w:t>m</w:t>
      </w:r>
      <w:r w:rsidRPr="001B1D2F">
        <w:t>, expresadas en kWh.</w:t>
      </w:r>
    </w:p>
    <w:p w:rsidR="00A71B19" w:rsidRPr="001B1D2F" w:rsidRDefault="00A71B19" w:rsidP="00A71B19">
      <w:pPr>
        <w:ind w:left="1410" w:hanging="1410"/>
      </w:pPr>
    </w:p>
    <w:p w:rsidR="00A71B19" w:rsidRPr="001B1D2F" w:rsidRDefault="00A71B19" w:rsidP="00A71B19">
      <w:pPr>
        <w:ind w:left="1410" w:hanging="1410"/>
      </w:pPr>
      <w:r w:rsidRPr="00593939">
        <w:rPr>
          <w:i/>
        </w:rPr>
        <w:t>Ee</w:t>
      </w:r>
      <w:r w:rsidRPr="00593939">
        <w:rPr>
          <w:i/>
          <w:vertAlign w:val="subscript"/>
        </w:rPr>
        <w:t>j,n,</w:t>
      </w:r>
      <w:r>
        <w:rPr>
          <w:i/>
          <w:vertAlign w:val="subscript"/>
        </w:rPr>
        <w:t>m</w:t>
      </w:r>
      <w:r w:rsidRPr="001B1D2F">
        <w:tab/>
        <w:t xml:space="preserve">Energía de entrada al sistema del OR </w:t>
      </w:r>
      <w:r w:rsidRPr="00593939">
        <w:rPr>
          <w:i/>
        </w:rPr>
        <w:t>j</w:t>
      </w:r>
      <w:r w:rsidRPr="001B1D2F">
        <w:t xml:space="preserve"> en el Nivel de Tensión </w:t>
      </w:r>
      <w:r w:rsidRPr="00593939">
        <w:rPr>
          <w:i/>
        </w:rPr>
        <w:t>n</w:t>
      </w:r>
      <w:r>
        <w:rPr>
          <w:i/>
        </w:rPr>
        <w:t xml:space="preserve"> </w:t>
      </w:r>
      <w:r>
        <w:t xml:space="preserve">durante el mes </w:t>
      </w:r>
      <w:r w:rsidRPr="00340D5E">
        <w:rPr>
          <w:i/>
        </w:rPr>
        <w:t>m</w:t>
      </w:r>
      <w:r w:rsidRPr="001B1D2F">
        <w:t>, expresada en kWh. Calculada como se establece en el numeral</w:t>
      </w:r>
      <w:r>
        <w:t xml:space="preserve"> </w:t>
      </w:r>
      <w:r w:rsidR="00822579">
        <w:fldChar w:fldCharType="begin"/>
      </w:r>
      <w:r>
        <w:instrText xml:space="preserve"> REF _Ref277706453 \r \h </w:instrText>
      </w:r>
      <w:r w:rsidR="00822579">
        <w:fldChar w:fldCharType="separate"/>
      </w:r>
      <w:r w:rsidR="00322DB3">
        <w:t>4.2.3</w:t>
      </w:r>
      <w:r w:rsidR="00822579">
        <w:fldChar w:fldCharType="end"/>
      </w:r>
      <w:r w:rsidRPr="001B1D2F">
        <w:t>.</w:t>
      </w:r>
    </w:p>
    <w:p w:rsidR="00A71B19" w:rsidRPr="001B1D2F" w:rsidRDefault="00A71B19" w:rsidP="00A71B19"/>
    <w:p w:rsidR="00A71B19" w:rsidRDefault="00A71B19" w:rsidP="00A71B19">
      <w:pPr>
        <w:ind w:left="1410" w:hanging="1410"/>
      </w:pPr>
      <w:r w:rsidRPr="00593939">
        <w:rPr>
          <w:i/>
        </w:rPr>
        <w:t>Es</w:t>
      </w:r>
      <w:r w:rsidRPr="00593939">
        <w:rPr>
          <w:i/>
          <w:vertAlign w:val="subscript"/>
        </w:rPr>
        <w:t>j,n,</w:t>
      </w:r>
      <w:r>
        <w:rPr>
          <w:i/>
          <w:vertAlign w:val="subscript"/>
        </w:rPr>
        <w:t>m</w:t>
      </w:r>
      <w:r w:rsidRPr="001B1D2F">
        <w:tab/>
        <w:t xml:space="preserve">Energía de salida del sistema del OR </w:t>
      </w:r>
      <w:r w:rsidRPr="00593939">
        <w:rPr>
          <w:i/>
        </w:rPr>
        <w:t>j</w:t>
      </w:r>
      <w:r w:rsidRPr="001B1D2F">
        <w:t xml:space="preserve"> en el Nivel de Tensión </w:t>
      </w:r>
      <w:r w:rsidRPr="00593939">
        <w:rPr>
          <w:i/>
        </w:rPr>
        <w:t>n</w:t>
      </w:r>
      <w:r>
        <w:rPr>
          <w:i/>
        </w:rPr>
        <w:t xml:space="preserve"> </w:t>
      </w:r>
      <w:r>
        <w:t xml:space="preserve">durante el mes </w:t>
      </w:r>
      <w:r w:rsidRPr="00340D5E">
        <w:rPr>
          <w:i/>
        </w:rPr>
        <w:t>m</w:t>
      </w:r>
      <w:r w:rsidRPr="001B1D2F">
        <w:t>, expresada en kWh. Calculada como se establece en el numeral</w:t>
      </w:r>
      <w:r>
        <w:t xml:space="preserve"> </w:t>
      </w:r>
      <w:r w:rsidR="00822579">
        <w:fldChar w:fldCharType="begin"/>
      </w:r>
      <w:r>
        <w:instrText xml:space="preserve"> REF _Ref277706484 \r \h </w:instrText>
      </w:r>
      <w:r w:rsidR="00822579">
        <w:fldChar w:fldCharType="separate"/>
      </w:r>
      <w:r w:rsidR="00322DB3">
        <w:t>4.2.4</w:t>
      </w:r>
      <w:r w:rsidR="00822579">
        <w:fldChar w:fldCharType="end"/>
      </w:r>
      <w:r w:rsidRPr="001B1D2F">
        <w:t>.</w:t>
      </w:r>
    </w:p>
    <w:p w:rsidR="00A71B19" w:rsidRDefault="00A71B19" w:rsidP="00A71B19">
      <w:pPr>
        <w:ind w:left="1410" w:hanging="1410"/>
      </w:pPr>
    </w:p>
    <w:p w:rsidR="00A71B19" w:rsidRPr="001B1D2F" w:rsidRDefault="00A71B19" w:rsidP="00A71B19">
      <w:pPr>
        <w:ind w:left="1410" w:hanging="1410"/>
      </w:pPr>
      <w:r w:rsidRPr="007110E1">
        <w:rPr>
          <w:i/>
        </w:rPr>
        <w:t>Fe</w:t>
      </w:r>
      <w:r w:rsidRPr="007110E1">
        <w:rPr>
          <w:i/>
          <w:vertAlign w:val="subscript"/>
        </w:rPr>
        <w:t>NS,j,n,</w:t>
      </w:r>
      <w:r>
        <w:rPr>
          <w:i/>
          <w:vertAlign w:val="subscript"/>
        </w:rPr>
        <w:t>m</w:t>
      </w:r>
      <w:r w:rsidRPr="001B1D2F">
        <w:t xml:space="preserve"> </w:t>
      </w:r>
      <w:r w:rsidRPr="001B1D2F">
        <w:tab/>
        <w:t xml:space="preserve">Flujo de energía desde Niveles de Tensión superiores en el sistema del OR </w:t>
      </w:r>
      <w:r w:rsidRPr="001B1D2F">
        <w:rPr>
          <w:i/>
        </w:rPr>
        <w:t>j</w:t>
      </w:r>
      <w:r w:rsidRPr="001B1D2F">
        <w:t xml:space="preserve">, al Nivel de Tensión </w:t>
      </w:r>
      <w:r w:rsidRPr="001B1D2F">
        <w:rPr>
          <w:i/>
        </w:rPr>
        <w:t xml:space="preserve">n, </w:t>
      </w:r>
      <w:r>
        <w:t xml:space="preserve">durante el mes </w:t>
      </w:r>
      <w:r w:rsidRPr="00340D5E">
        <w:rPr>
          <w:i/>
        </w:rPr>
        <w:t>m</w:t>
      </w:r>
      <w:r w:rsidRPr="001B1D2F">
        <w:rPr>
          <w:i/>
        </w:rPr>
        <w:t>,</w:t>
      </w:r>
      <w:r w:rsidRPr="001B1D2F">
        <w:t xml:space="preserve">  expresada en kWh. Calculada como se establece en el numeral </w:t>
      </w:r>
      <w:r w:rsidR="00822579">
        <w:fldChar w:fldCharType="begin"/>
      </w:r>
      <w:r>
        <w:instrText xml:space="preserve"> REF _Ref277707634 \r \h </w:instrText>
      </w:r>
      <w:r w:rsidR="00822579">
        <w:fldChar w:fldCharType="separate"/>
      </w:r>
      <w:r w:rsidR="00322DB3">
        <w:t>4.2.6</w:t>
      </w:r>
      <w:r w:rsidR="00822579">
        <w:fldChar w:fldCharType="end"/>
      </w:r>
      <w:r w:rsidRPr="001B1D2F">
        <w:t>.</w:t>
      </w:r>
      <w:r>
        <w:t xml:space="preserve"> </w:t>
      </w:r>
    </w:p>
    <w:p w:rsidR="00A71B19" w:rsidRDefault="00A71B19" w:rsidP="00A71B19">
      <w:pPr>
        <w:ind w:left="1410" w:hanging="1410"/>
      </w:pPr>
    </w:p>
    <w:p w:rsidR="00A71B19" w:rsidRPr="001B1D2F" w:rsidRDefault="00A71B19" w:rsidP="00A71B19">
      <w:pPr>
        <w:ind w:left="1410" w:hanging="1410"/>
      </w:pPr>
      <w:r w:rsidRPr="001C7E2A">
        <w:rPr>
          <w:i/>
        </w:rPr>
        <w:t>n</w:t>
      </w:r>
      <w:r w:rsidRPr="001B1D2F">
        <w:tab/>
      </w:r>
      <w:r w:rsidRPr="001B1D2F">
        <w:tab/>
        <w:t>Corresponde al Nivel de Tensión para el cual se determina la energía. Toma los valores de 1, 2, 3 y 4.</w:t>
      </w:r>
    </w:p>
    <w:p w:rsidR="00A71B19" w:rsidRPr="006A694C" w:rsidRDefault="00A71B19" w:rsidP="00A71B19">
      <w:pPr>
        <w:pStyle w:val="Ttulo3"/>
        <w:jc w:val="both"/>
      </w:pPr>
      <w:bookmarkStart w:id="85" w:name="_Ref277706453"/>
      <w:bookmarkStart w:id="86" w:name="_Toc280712166"/>
      <w:r w:rsidRPr="006A694C">
        <w:t>C</w:t>
      </w:r>
      <w:r>
        <w:t>á</w:t>
      </w:r>
      <w:r w:rsidRPr="006A694C">
        <w:t>lculo de la energía de entrada para cada Nivel de Tensión</w:t>
      </w:r>
      <w:bookmarkEnd w:id="85"/>
      <w:bookmarkEnd w:id="86"/>
      <w:r w:rsidRPr="006A694C">
        <w:t xml:space="preserve"> </w:t>
      </w:r>
    </w:p>
    <w:p w:rsidR="00A71B19" w:rsidRPr="006A694C" w:rsidRDefault="00A71B19" w:rsidP="00A71B19">
      <w:r w:rsidRPr="006A694C">
        <w:t xml:space="preserve">La energía de entrada en cada uno de los Niveles de Tensión del sistema del OR </w:t>
      </w:r>
      <w:r w:rsidRPr="006A694C">
        <w:rPr>
          <w:i/>
        </w:rPr>
        <w:t>j,</w:t>
      </w:r>
      <w:r w:rsidRPr="006A694C">
        <w:t xml:space="preserve"> se calcula como sigue:</w:t>
      </w:r>
    </w:p>
    <w:p w:rsidR="00A71B19" w:rsidRDefault="00A71B19" w:rsidP="00A71B19">
      <w:pPr>
        <w:pStyle w:val="Continuarlista"/>
        <w:ind w:left="0"/>
        <w:rPr>
          <w:sz w:val="2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G,j,n,m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STN,j,n,m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OR,j,n,m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NS,j,n,m</m:t>
              </m:r>
            </m:sub>
          </m:sSub>
        </m:oMath>
      </m:oMathPara>
    </w:p>
    <w:p w:rsidR="00A71B19" w:rsidRDefault="00A71B19" w:rsidP="00A71B19">
      <w:r w:rsidRPr="006A694C">
        <w:t>Donde,</w:t>
      </w:r>
    </w:p>
    <w:p w:rsidR="00A71B19" w:rsidRDefault="00A71B19" w:rsidP="00A71B19">
      <w:pPr>
        <w:pStyle w:val="Continuarlista"/>
        <w:ind w:left="0"/>
        <w:rPr>
          <w:sz w:val="22"/>
          <w:szCs w:val="22"/>
        </w:rPr>
      </w:pPr>
    </w:p>
    <w:p w:rsidR="00A71B19" w:rsidRPr="001B1D2F" w:rsidRDefault="00A71B19" w:rsidP="00A71B19">
      <w:pPr>
        <w:ind w:left="1410" w:hanging="1410"/>
      </w:pPr>
      <w:r w:rsidRPr="007110E1">
        <w:rPr>
          <w:i/>
        </w:rPr>
        <w:t>Ee</w:t>
      </w:r>
      <w:r w:rsidRPr="007110E1">
        <w:rPr>
          <w:i/>
          <w:vertAlign w:val="subscript"/>
        </w:rPr>
        <w:t>j,n,</w:t>
      </w:r>
      <w:r>
        <w:rPr>
          <w:i/>
          <w:vertAlign w:val="subscript"/>
        </w:rPr>
        <w:t>m</w:t>
      </w:r>
      <w:r w:rsidRPr="001B1D2F">
        <w:tab/>
        <w:t xml:space="preserve">Energía de entrada al sistema del OR </w:t>
      </w:r>
      <w:r w:rsidRPr="007110E1">
        <w:rPr>
          <w:i/>
        </w:rPr>
        <w:t>j</w:t>
      </w:r>
      <w:r w:rsidRPr="001B1D2F">
        <w:t xml:space="preserve"> en el Nivel de Tensión </w:t>
      </w:r>
      <w:r w:rsidRPr="007110E1">
        <w:rPr>
          <w:i/>
        </w:rPr>
        <w:t>n</w:t>
      </w:r>
      <w:r w:rsidRPr="007258D6">
        <w:t xml:space="preserve"> </w:t>
      </w:r>
      <w:r>
        <w:t xml:space="preserve">durante el mes </w:t>
      </w:r>
      <w:r w:rsidRPr="008F3207">
        <w:rPr>
          <w:i/>
        </w:rPr>
        <w:t>m</w:t>
      </w:r>
      <w:r w:rsidRPr="001B1D2F">
        <w:t>, expresada en kWh.</w:t>
      </w:r>
    </w:p>
    <w:p w:rsidR="00A71B19" w:rsidRDefault="00A71B19" w:rsidP="00A71B19"/>
    <w:p w:rsidR="00CB2A18" w:rsidRDefault="00CB2A18" w:rsidP="00A71B19"/>
    <w:p w:rsidR="00CB2A18" w:rsidRPr="001B1D2F" w:rsidRDefault="00CB2A18" w:rsidP="00A71B19"/>
    <w:p w:rsidR="00A71B19" w:rsidRPr="001B1D2F" w:rsidRDefault="00A71B19" w:rsidP="00A71B19">
      <w:pPr>
        <w:ind w:left="1410" w:hanging="1410"/>
      </w:pPr>
      <w:r w:rsidRPr="007110E1">
        <w:rPr>
          <w:i/>
          <w:lang w:val="es-CO"/>
        </w:rPr>
        <w:t>Ee</w:t>
      </w:r>
      <w:r w:rsidRPr="007110E1">
        <w:rPr>
          <w:i/>
          <w:vertAlign w:val="subscript"/>
          <w:lang w:val="es-CO"/>
        </w:rPr>
        <w:t>G,j,n,m</w:t>
      </w:r>
      <w:r w:rsidRPr="007110E1">
        <w:rPr>
          <w:lang w:val="es-CO"/>
        </w:rPr>
        <w:t xml:space="preserve"> </w:t>
      </w:r>
      <w:r w:rsidRPr="001B1D2F">
        <w:rPr>
          <w:lang w:val="es-CO"/>
        </w:rPr>
        <w:t xml:space="preserve"> </w:t>
      </w:r>
      <w:r w:rsidRPr="001B1D2F">
        <w:rPr>
          <w:lang w:val="es-CO"/>
        </w:rPr>
        <w:tab/>
      </w:r>
      <w:r w:rsidRPr="001B1D2F">
        <w:t xml:space="preserve">Energía entregada por los generadores, incluyendo plantas menores, cogeneradores y autogeneradores, conectados directamente al sistema del OR </w:t>
      </w:r>
      <w:r w:rsidRPr="007110E1">
        <w:rPr>
          <w:i/>
        </w:rPr>
        <w:t>j</w:t>
      </w:r>
      <w:r w:rsidRPr="001B1D2F">
        <w:t xml:space="preserve">, en el Nivel de Tensión </w:t>
      </w:r>
      <w:r w:rsidRPr="007110E1">
        <w:rPr>
          <w:i/>
        </w:rPr>
        <w:t>n</w:t>
      </w:r>
      <w:r w:rsidRPr="001B1D2F">
        <w:t xml:space="preserve">, </w:t>
      </w:r>
      <w:r>
        <w:t xml:space="preserve">durante el mes </w:t>
      </w:r>
      <w:r w:rsidRPr="008F3207">
        <w:rPr>
          <w:i/>
        </w:rPr>
        <w:t>m</w:t>
      </w:r>
      <w:r w:rsidRPr="001B1D2F">
        <w:t>, expresada en  kWh. Corresponde a la suma de las energías medidas en las fronteras comerciales, sin referir al STN, registrada en el ASIC para estos agentes.</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STN,j,n,</w:t>
      </w:r>
      <w:r>
        <w:rPr>
          <w:i/>
          <w:vertAlign w:val="subscript"/>
        </w:rPr>
        <w:t>m</w:t>
      </w:r>
      <w:r w:rsidRPr="001B1D2F">
        <w:tab/>
        <w:t xml:space="preserve">Flujo de Energía del STN al sistema del OR </w:t>
      </w:r>
      <w:r w:rsidRPr="001B1D2F">
        <w:rPr>
          <w:i/>
        </w:rPr>
        <w:t>j</w:t>
      </w:r>
      <w:r w:rsidRPr="001B1D2F">
        <w:t xml:space="preserve"> en el Nivel de Tensión </w:t>
      </w:r>
      <w:r w:rsidRPr="001B1D2F">
        <w:rPr>
          <w:i/>
        </w:rPr>
        <w:t>n</w:t>
      </w:r>
      <w:r w:rsidRPr="001B1D2F">
        <w:t xml:space="preserve">, </w:t>
      </w:r>
      <w:r>
        <w:t xml:space="preserve">durante el mes </w:t>
      </w:r>
      <w:r w:rsidRPr="008F3207">
        <w:rPr>
          <w:i/>
        </w:rPr>
        <w:t>m</w:t>
      </w:r>
      <w:r w:rsidRPr="001B1D2F">
        <w:rPr>
          <w:i/>
        </w:rPr>
        <w:t>,</w:t>
      </w:r>
      <w:r w:rsidRPr="001B1D2F">
        <w:t xml:space="preserve"> expresado en kWh. Corresponde a la suma de las energías medidas en las fronteras comerciales, sin referir al STN, registradas en el ASIC  para los puntos de conexión del OR </w:t>
      </w:r>
      <w:r w:rsidRPr="001B1D2F">
        <w:rPr>
          <w:i/>
        </w:rPr>
        <w:t>j</w:t>
      </w:r>
      <w:r w:rsidRPr="001B1D2F">
        <w:t xml:space="preserve"> al STN.</w:t>
      </w:r>
    </w:p>
    <w:p w:rsidR="00A71B19" w:rsidRPr="001B1D2F" w:rsidRDefault="00A71B19" w:rsidP="00A71B19"/>
    <w:p w:rsidR="00A71B19" w:rsidRPr="001B1D2F" w:rsidRDefault="00A71B19" w:rsidP="00A71B19">
      <w:pPr>
        <w:ind w:left="1410" w:firstLine="6"/>
      </w:pPr>
      <w:r w:rsidRPr="001B1D2F">
        <w:t xml:space="preserve">Para los puntos de conexión en los cuales exista un transformador tridevanado, el </w:t>
      </w:r>
      <w:r>
        <w:t>OR deberá reportar mensualmente al ASIC los valores de energía de entrada al transformador y los de energía de salida por cada uno de los devanados para que el ASIC efectúe la asignación al nivel de tensión que corresponda.</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OR,j,n,</w:t>
      </w:r>
      <w:r>
        <w:rPr>
          <w:i/>
          <w:vertAlign w:val="subscript"/>
        </w:rPr>
        <w:t>m</w:t>
      </w:r>
      <w:r>
        <w:t xml:space="preserve"> </w:t>
      </w:r>
      <w:r w:rsidRPr="001B1D2F">
        <w:t xml:space="preserve"> </w:t>
      </w:r>
      <w:r w:rsidRPr="001B1D2F">
        <w:tab/>
        <w:t xml:space="preserve">Flujo de energía desde el sistema de otro OR al sistema del OR </w:t>
      </w:r>
      <w:r w:rsidRPr="001B1D2F">
        <w:rPr>
          <w:i/>
        </w:rPr>
        <w:t>j,</w:t>
      </w:r>
      <w:r w:rsidRPr="001B1D2F">
        <w:t xml:space="preserve"> en el Nivel de Tensión </w:t>
      </w:r>
      <w:r w:rsidRPr="001B1D2F">
        <w:rPr>
          <w:i/>
        </w:rPr>
        <w:t>n</w:t>
      </w:r>
      <w:r w:rsidRPr="001B1D2F">
        <w:t xml:space="preserve">, </w:t>
      </w:r>
      <w:r>
        <w:t xml:space="preserve">durante el mes </w:t>
      </w:r>
      <w:r w:rsidRPr="008F3207">
        <w:rPr>
          <w:i/>
        </w:rPr>
        <w:t>m</w:t>
      </w:r>
      <w:r w:rsidRPr="001B1D2F">
        <w:rPr>
          <w:i/>
        </w:rPr>
        <w:t>,</w:t>
      </w:r>
      <w:r w:rsidRPr="001B1D2F">
        <w:t xml:space="preserve"> expresado en kWh. Corresponde a la suma de las energías medidas en cada frontera comercial entre OR, sin referir al STN, registrada en el ASIC.</w:t>
      </w:r>
    </w:p>
    <w:p w:rsidR="00A71B19" w:rsidRPr="001B1D2F" w:rsidRDefault="00A71B19" w:rsidP="00A71B19"/>
    <w:p w:rsidR="00A71B19" w:rsidRPr="001B1D2F" w:rsidRDefault="00A71B19" w:rsidP="00A71B19">
      <w:pPr>
        <w:ind w:left="1410" w:hanging="1410"/>
      </w:pPr>
      <w:r w:rsidRPr="007110E1">
        <w:rPr>
          <w:i/>
        </w:rPr>
        <w:t>Fe</w:t>
      </w:r>
      <w:r w:rsidRPr="007110E1">
        <w:rPr>
          <w:i/>
          <w:vertAlign w:val="subscript"/>
        </w:rPr>
        <w:t>NS,j,n,</w:t>
      </w:r>
      <w:r>
        <w:rPr>
          <w:i/>
          <w:vertAlign w:val="subscript"/>
        </w:rPr>
        <w:t>m</w:t>
      </w:r>
      <w:r w:rsidRPr="001B1D2F">
        <w:t xml:space="preserve"> </w:t>
      </w:r>
      <w:r w:rsidRPr="001B1D2F">
        <w:tab/>
        <w:t xml:space="preserve">Flujo de energía desde Niveles de Tensión superiores en el sistema del OR </w:t>
      </w:r>
      <w:r w:rsidRPr="001B1D2F">
        <w:rPr>
          <w:i/>
        </w:rPr>
        <w:t>j</w:t>
      </w:r>
      <w:r w:rsidRPr="001B1D2F">
        <w:t xml:space="preserve">, al Nivel de Tensión </w:t>
      </w:r>
      <w:r w:rsidRPr="001B1D2F">
        <w:rPr>
          <w:i/>
        </w:rPr>
        <w:t xml:space="preserve">n, </w:t>
      </w:r>
      <w:r>
        <w:t xml:space="preserve">durante el mes </w:t>
      </w:r>
      <w:r w:rsidRPr="008F3207">
        <w:rPr>
          <w:i/>
        </w:rPr>
        <w:t>m</w:t>
      </w:r>
      <w:r w:rsidRPr="001B1D2F">
        <w:rPr>
          <w:i/>
        </w:rPr>
        <w:t>,</w:t>
      </w:r>
      <w:r w:rsidRPr="001B1D2F">
        <w:t xml:space="preserve">  expresada en kWh. Calculada como se establece en el numeral </w:t>
      </w:r>
      <w:r w:rsidR="00822579">
        <w:fldChar w:fldCharType="begin"/>
      </w:r>
      <w:r>
        <w:instrText xml:space="preserve"> REF _Ref277707634 \r \h </w:instrText>
      </w:r>
      <w:r w:rsidR="00822579">
        <w:fldChar w:fldCharType="separate"/>
      </w:r>
      <w:r w:rsidR="00322DB3">
        <w:t>4.2.6</w:t>
      </w:r>
      <w:r w:rsidR="00822579">
        <w:fldChar w:fldCharType="end"/>
      </w:r>
      <w:r w:rsidRPr="001B1D2F">
        <w:t>.</w:t>
      </w:r>
      <w:r>
        <w:t xml:space="preserve"> </w:t>
      </w:r>
    </w:p>
    <w:p w:rsidR="00A71B19" w:rsidRPr="001B1D2F" w:rsidRDefault="00A71B19" w:rsidP="00A71B19"/>
    <w:p w:rsidR="00A71B19" w:rsidRPr="001B1D2F" w:rsidRDefault="00A71B19" w:rsidP="00A71B19">
      <w:pPr>
        <w:ind w:left="1410" w:hanging="1410"/>
      </w:pPr>
      <w:r w:rsidRPr="007110E1">
        <w:rPr>
          <w:i/>
        </w:rPr>
        <w:t>n</w:t>
      </w:r>
      <w:r w:rsidRPr="001B1D2F">
        <w:t xml:space="preserve"> </w:t>
      </w:r>
      <w:r w:rsidRPr="001B1D2F">
        <w:tab/>
      </w:r>
      <w:r w:rsidRPr="001B1D2F">
        <w:tab/>
        <w:t xml:space="preserve">Corresponde al Nivel de Tensión para el cual se determina la </w:t>
      </w:r>
      <w:r>
        <w:t>en</w:t>
      </w:r>
      <w:r w:rsidRPr="001B1D2F">
        <w:t>ergía de entrada. Toma los valores de 1, 2, 3  y 4.</w:t>
      </w:r>
    </w:p>
    <w:p w:rsidR="00A71B19" w:rsidRPr="006A694C" w:rsidRDefault="00A71B19" w:rsidP="00A71B19">
      <w:pPr>
        <w:pStyle w:val="Ttulo3"/>
        <w:jc w:val="both"/>
      </w:pPr>
      <w:bookmarkStart w:id="87" w:name="_Ref277706484"/>
      <w:bookmarkStart w:id="88" w:name="_Toc280712167"/>
      <w:r w:rsidRPr="00EB2174">
        <w:t>Cálculo de la energía de salida para cada Nivel de Tensión</w:t>
      </w:r>
      <w:bookmarkEnd w:id="87"/>
      <w:bookmarkEnd w:id="88"/>
      <w:r w:rsidRPr="006A694C">
        <w:t xml:space="preserve"> </w:t>
      </w:r>
    </w:p>
    <w:p w:rsidR="00A71B19" w:rsidRPr="006A694C" w:rsidRDefault="00A71B19" w:rsidP="00A71B19">
      <w:r w:rsidRPr="006A694C">
        <w:t xml:space="preserve">La energía de salida en cada uno de los Niveles de Tensión del sistema del OR </w:t>
      </w:r>
      <w:r w:rsidRPr="006A694C">
        <w:rPr>
          <w:i/>
        </w:rPr>
        <w:t>j,</w:t>
      </w:r>
      <w:r w:rsidRPr="006A694C">
        <w:t xml:space="preserve"> se calcula como:</w:t>
      </w:r>
    </w:p>
    <w:p w:rsidR="00A71B19" w:rsidRPr="006A694C" w:rsidRDefault="00A71B19" w:rsidP="00A71B19">
      <w:pPr>
        <w:pStyle w:val="Continuarlista"/>
        <w:rPr>
          <w:sz w:val="22"/>
          <w:szCs w:val="22"/>
        </w:rPr>
      </w:pPr>
    </w:p>
    <w:p w:rsidR="00A71B19" w:rsidRPr="00CC1949" w:rsidRDefault="00822579" w:rsidP="00A71B19">
      <w:pPr>
        <w:pStyle w:val="Continuarlista"/>
        <w:rPr>
          <w:i/>
          <w:sz w:val="22"/>
          <w:szCs w:val="22"/>
        </w:rPr>
      </w:pPr>
      <m:oMathPara>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VFC,j,n,m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VSFC,j,n,m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m:t>
              </m:r>
            </m:e>
            <m:sub>
              <m:r>
                <w:rPr>
                  <w:rFonts w:ascii="Cambria Math" w:hAnsi="Cambria Math"/>
                  <w:sz w:val="22"/>
                  <w:szCs w:val="22"/>
                </w:rPr>
                <m:t>STN,j,n,m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m:t>
              </m:r>
            </m:e>
            <m:sub>
              <m:r>
                <w:rPr>
                  <w:rFonts w:ascii="Cambria Math" w:hAnsi="Cambria Math"/>
                  <w:sz w:val="22"/>
                  <w:szCs w:val="22"/>
                </w:rPr>
                <m:t>OR,j,n,m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A,j,n,m</m:t>
              </m:r>
            </m:sub>
          </m:sSub>
        </m:oMath>
      </m:oMathPara>
    </w:p>
    <w:p w:rsidR="00A71B19" w:rsidRDefault="00A71B19" w:rsidP="00A71B19">
      <w:pPr>
        <w:pStyle w:val="Continuarlista"/>
        <w:ind w:left="0"/>
        <w:rPr>
          <w:sz w:val="22"/>
          <w:szCs w:val="22"/>
        </w:rPr>
      </w:pPr>
      <w:r w:rsidRPr="006A694C">
        <w:rPr>
          <w:sz w:val="22"/>
          <w:szCs w:val="22"/>
        </w:rPr>
        <w:t>Donde,</w:t>
      </w:r>
    </w:p>
    <w:p w:rsidR="00A71B19" w:rsidRDefault="00A71B19" w:rsidP="00A71B19">
      <w:pPr>
        <w:pStyle w:val="Continuarlista"/>
        <w:ind w:left="0"/>
        <w:rPr>
          <w:b/>
          <w:sz w:val="22"/>
          <w:szCs w:val="22"/>
        </w:rPr>
      </w:pPr>
    </w:p>
    <w:p w:rsidR="00A71B19" w:rsidRPr="001B1D2F" w:rsidRDefault="00A71B19" w:rsidP="00A71B19">
      <w:pPr>
        <w:ind w:left="1410" w:hanging="1410"/>
        <w:rPr>
          <w:sz w:val="22"/>
          <w:szCs w:val="22"/>
        </w:rPr>
      </w:pPr>
      <w:r w:rsidRPr="00821D81">
        <w:rPr>
          <w:i/>
        </w:rPr>
        <w:t>E</w:t>
      </w:r>
      <w:r>
        <w:rPr>
          <w:i/>
        </w:rPr>
        <w:t>s</w:t>
      </w:r>
      <w:r w:rsidRPr="00821D81">
        <w:rPr>
          <w:i/>
          <w:vertAlign w:val="subscript"/>
        </w:rPr>
        <w:t>j,n,</w:t>
      </w:r>
      <w:r>
        <w:rPr>
          <w:i/>
          <w:vertAlign w:val="subscript"/>
        </w:rPr>
        <w:t>m</w:t>
      </w:r>
      <w:r w:rsidRPr="001B1D2F">
        <w:t xml:space="preserve"> </w:t>
      </w:r>
      <w:r w:rsidRPr="001B1D2F">
        <w:tab/>
        <w:t xml:space="preserve">Energía de salida del sistema del OR </w:t>
      </w:r>
      <w:r w:rsidRPr="001B1D2F">
        <w:rPr>
          <w:i/>
        </w:rPr>
        <w:t>j</w:t>
      </w:r>
      <w:r w:rsidRPr="001B1D2F">
        <w:t xml:space="preserve"> en el Nivel de Tensión </w:t>
      </w:r>
      <w:r w:rsidRPr="001B1D2F">
        <w:rPr>
          <w:i/>
        </w:rPr>
        <w:t xml:space="preserve">n, </w:t>
      </w:r>
      <w:r>
        <w:t xml:space="preserve">durante el mes </w:t>
      </w:r>
      <w:r w:rsidRPr="008F3207">
        <w:rPr>
          <w:i/>
        </w:rPr>
        <w:t>m</w:t>
      </w:r>
      <w:r w:rsidRPr="001B1D2F">
        <w:rPr>
          <w:i/>
        </w:rPr>
        <w:t xml:space="preserve">, </w:t>
      </w:r>
      <w:r w:rsidRPr="001B1D2F">
        <w:t>expresada en kWh.</w:t>
      </w:r>
    </w:p>
    <w:p w:rsidR="00A71B19" w:rsidRPr="001B1D2F" w:rsidRDefault="00A71B19" w:rsidP="00A71B19">
      <w:pPr>
        <w:rPr>
          <w:sz w:val="22"/>
          <w:szCs w:val="22"/>
        </w:rPr>
      </w:pPr>
    </w:p>
    <w:p w:rsidR="00A71B19" w:rsidRPr="006A3E11" w:rsidRDefault="00A71B19" w:rsidP="00A71B19">
      <w:pPr>
        <w:ind w:left="1410" w:hanging="1410"/>
        <w:rPr>
          <w:lang w:val="es-CO"/>
        </w:rPr>
      </w:pPr>
      <w:r w:rsidRPr="00821D81">
        <w:rPr>
          <w:i/>
        </w:rPr>
        <w:t>Es</w:t>
      </w:r>
      <w:r w:rsidRPr="00821D81">
        <w:rPr>
          <w:i/>
          <w:vertAlign w:val="subscript"/>
        </w:rPr>
        <w:t>V</w:t>
      </w:r>
      <w:r>
        <w:rPr>
          <w:i/>
          <w:vertAlign w:val="subscript"/>
        </w:rPr>
        <w:t>F</w:t>
      </w:r>
      <w:r w:rsidRPr="00821D81">
        <w:rPr>
          <w:i/>
          <w:vertAlign w:val="subscript"/>
        </w:rPr>
        <w:t>C,j,n,</w:t>
      </w:r>
      <w:r>
        <w:rPr>
          <w:i/>
          <w:vertAlign w:val="subscript"/>
        </w:rPr>
        <w:t>m</w:t>
      </w:r>
      <w:r>
        <w:t xml:space="preserve">  </w:t>
      </w:r>
      <w:r w:rsidRPr="001B1D2F">
        <w:t xml:space="preserve"> </w:t>
      </w:r>
      <w:r w:rsidRPr="001B1D2F">
        <w:tab/>
        <w:t xml:space="preserve">Ventas de energía </w:t>
      </w:r>
      <w:r>
        <w:t>en las fronteras comerciales d</w:t>
      </w:r>
      <w:r w:rsidRPr="001B1D2F">
        <w:t xml:space="preserve">el Nivel de Tensión </w:t>
      </w:r>
      <w:r w:rsidRPr="001B1D2F">
        <w:rPr>
          <w:i/>
        </w:rPr>
        <w:t>n</w:t>
      </w:r>
      <w:r>
        <w:rPr>
          <w:i/>
        </w:rPr>
        <w:t>,</w:t>
      </w:r>
      <w:r>
        <w:t xml:space="preserve"> del mercado de comercialización servido por el OR </w:t>
      </w:r>
      <w:r w:rsidRPr="008F3207">
        <w:rPr>
          <w:i/>
        </w:rPr>
        <w:t>j</w:t>
      </w:r>
      <w:r w:rsidRPr="001B1D2F">
        <w:rPr>
          <w:i/>
        </w:rPr>
        <w:t>,</w:t>
      </w:r>
      <w:r>
        <w:t xml:space="preserve"> para el mes </w:t>
      </w:r>
      <w:r w:rsidRPr="008F3207">
        <w:rPr>
          <w:i/>
        </w:rPr>
        <w:t>m</w:t>
      </w:r>
      <w:r w:rsidRPr="001B1D2F">
        <w:rPr>
          <w:i/>
        </w:rPr>
        <w:t>.</w:t>
      </w:r>
      <w:r>
        <w:rPr>
          <w:i/>
        </w:rPr>
        <w:t xml:space="preserve"> </w:t>
      </w:r>
      <w:r w:rsidRPr="001B1D2F">
        <w:t xml:space="preserve">Corresponde a la suma de las medidas en las fronteras comerciales, sin referir al STN, registradas en el ASIC </w:t>
      </w:r>
      <w:r>
        <w:t xml:space="preserve">para el mercado de comercialización servido por el OR </w:t>
      </w:r>
      <w:r w:rsidRPr="008F3207">
        <w:rPr>
          <w:i/>
        </w:rPr>
        <w:t>j</w:t>
      </w:r>
      <w:r>
        <w:rPr>
          <w:i/>
        </w:rPr>
        <w:t>,</w:t>
      </w:r>
      <w:r w:rsidRPr="001B1D2F">
        <w:t xml:space="preserve"> para la venta de energía a usuarios regulados y no regulados. Incluye la energía entregada a los auxiliares de las subestaciones que no están conectadas directamente al STN</w:t>
      </w:r>
    </w:p>
    <w:p w:rsidR="00A71B19" w:rsidRPr="001B1D2F" w:rsidRDefault="00A71B19" w:rsidP="00A71B19">
      <w:pPr>
        <w:rPr>
          <w:sz w:val="22"/>
          <w:szCs w:val="22"/>
        </w:rPr>
      </w:pPr>
    </w:p>
    <w:p w:rsidR="00A71B19" w:rsidRPr="001B1D2F" w:rsidRDefault="00A71B19" w:rsidP="00A71B19">
      <w:pPr>
        <w:ind w:left="1410" w:hanging="1410"/>
        <w:rPr>
          <w:sz w:val="22"/>
          <w:szCs w:val="22"/>
        </w:rPr>
      </w:pPr>
      <w:r w:rsidRPr="00821D81">
        <w:rPr>
          <w:i/>
        </w:rPr>
        <w:t>Es</w:t>
      </w:r>
      <w:r w:rsidRPr="00821D81">
        <w:rPr>
          <w:i/>
          <w:vertAlign w:val="subscript"/>
        </w:rPr>
        <w:t>V</w:t>
      </w:r>
      <w:r>
        <w:rPr>
          <w:i/>
          <w:vertAlign w:val="subscript"/>
        </w:rPr>
        <w:t>SF</w:t>
      </w:r>
      <w:r w:rsidRPr="00821D81">
        <w:rPr>
          <w:i/>
          <w:vertAlign w:val="subscript"/>
        </w:rPr>
        <w:t>C,j,n,</w:t>
      </w:r>
      <w:r>
        <w:rPr>
          <w:i/>
          <w:vertAlign w:val="subscript"/>
        </w:rPr>
        <w:t>m</w:t>
      </w:r>
      <w:r>
        <w:t xml:space="preserve"> </w:t>
      </w:r>
      <w:r w:rsidRPr="001B1D2F">
        <w:t xml:space="preserve"> </w:t>
      </w:r>
      <w:r w:rsidRPr="001B1D2F">
        <w:tab/>
        <w:t xml:space="preserve">Ventas de energía </w:t>
      </w:r>
      <w:r>
        <w:t xml:space="preserve">sin frontera comercial </w:t>
      </w:r>
      <w:r w:rsidRPr="001B1D2F">
        <w:t xml:space="preserve">en el sistema del OR </w:t>
      </w:r>
      <w:r w:rsidRPr="001B1D2F">
        <w:rPr>
          <w:i/>
        </w:rPr>
        <w:t>j,</w:t>
      </w:r>
      <w:r w:rsidRPr="001B1D2F">
        <w:t xml:space="preserve"> en el Nivel de Tensión </w:t>
      </w:r>
      <w:r w:rsidRPr="001B1D2F">
        <w:rPr>
          <w:i/>
        </w:rPr>
        <w:t>n,</w:t>
      </w:r>
      <w:r w:rsidRPr="001B1D2F">
        <w:t xml:space="preserve"> </w:t>
      </w:r>
      <w:r>
        <w:t xml:space="preserve">durante el mes </w:t>
      </w:r>
      <w:r w:rsidRPr="008F3207">
        <w:rPr>
          <w:i/>
        </w:rPr>
        <w:t>m</w:t>
      </w:r>
      <w:r w:rsidRPr="001B1D2F">
        <w:rPr>
          <w:i/>
        </w:rPr>
        <w:t xml:space="preserve">. </w:t>
      </w:r>
      <w:r w:rsidRPr="001B1D2F">
        <w:t>Corresponde al</w:t>
      </w:r>
      <w:r>
        <w:t xml:space="preserve"> valor promedio para el periodo m=-12 a m=-1 </w:t>
      </w:r>
      <w:r w:rsidRPr="001B1D2F">
        <w:t>de las ventas de energía a usuarios regulados y no regulados registradas en el SUI, expresadas en kWh. Incluye la energía entregada a los auxiliares de las subestaciones que no están conectadas directamente al STN.</w:t>
      </w:r>
    </w:p>
    <w:p w:rsidR="00A71B19" w:rsidRPr="001B1D2F" w:rsidRDefault="00A71B19" w:rsidP="00A71B19"/>
    <w:p w:rsidR="00A71B19" w:rsidRPr="001B1D2F" w:rsidRDefault="00A71B19" w:rsidP="00A71B19">
      <w:pPr>
        <w:ind w:left="1410" w:hanging="1410"/>
      </w:pPr>
      <w:r w:rsidRPr="00821D81">
        <w:rPr>
          <w:i/>
        </w:rPr>
        <w:t>Fs</w:t>
      </w:r>
      <w:r w:rsidRPr="00821D81">
        <w:rPr>
          <w:i/>
          <w:vertAlign w:val="subscript"/>
        </w:rPr>
        <w:t>STN,j,n,</w:t>
      </w:r>
      <w:r>
        <w:rPr>
          <w:i/>
          <w:vertAlign w:val="subscript"/>
        </w:rPr>
        <w:t>m</w:t>
      </w:r>
      <w:r>
        <w:t xml:space="preserve"> </w:t>
      </w:r>
      <w:r w:rsidRPr="001B1D2F">
        <w:t xml:space="preserve"> </w:t>
      </w:r>
      <w:r w:rsidRPr="001B1D2F">
        <w:tab/>
        <w:t>Flujo de energía de salida en el Nivel de Tensión</w:t>
      </w:r>
      <w:r>
        <w:t xml:space="preserve"> </w:t>
      </w:r>
      <w:r w:rsidRPr="00207A1B">
        <w:rPr>
          <w:i/>
        </w:rPr>
        <w:t>n</w:t>
      </w:r>
      <w:r w:rsidRPr="001B1D2F">
        <w:t xml:space="preserve"> desde los puntos de conexión del OR </w:t>
      </w:r>
      <w:r w:rsidRPr="001B1D2F">
        <w:rPr>
          <w:i/>
        </w:rPr>
        <w:t>j</w:t>
      </w:r>
      <w:r w:rsidRPr="001B1D2F">
        <w:t xml:space="preserve"> al STN, </w:t>
      </w:r>
      <w:r>
        <w:t xml:space="preserve">durante el mes </w:t>
      </w:r>
      <w:r w:rsidRPr="008F3207">
        <w:rPr>
          <w:i/>
        </w:rPr>
        <w:t>m</w:t>
      </w:r>
      <w:r w:rsidRPr="001B1D2F">
        <w:t xml:space="preserve">, expresada en  kWh. Corresponde a la suma de las energías medidas </w:t>
      </w:r>
      <w:r>
        <w:t xml:space="preserve">en </w:t>
      </w:r>
      <w:r w:rsidRPr="001B1D2F">
        <w:t xml:space="preserve">las fronteras comerciales, sin referir al STN, registradas en el ASIC para los puntos de conexión del OR </w:t>
      </w:r>
      <w:r w:rsidRPr="001B1D2F">
        <w:rPr>
          <w:i/>
        </w:rPr>
        <w:t>j</w:t>
      </w:r>
      <w:r w:rsidRPr="001B1D2F">
        <w:t xml:space="preserve"> al STN.</w:t>
      </w:r>
    </w:p>
    <w:p w:rsidR="00A71B19" w:rsidRPr="001B1D2F" w:rsidRDefault="00A71B19" w:rsidP="00A71B19"/>
    <w:p w:rsidR="00A71B19" w:rsidRPr="001B1D2F" w:rsidRDefault="00A71B19" w:rsidP="00A71B19">
      <w:pPr>
        <w:ind w:left="1410" w:hanging="1410"/>
      </w:pPr>
      <w:r w:rsidRPr="00821D81">
        <w:rPr>
          <w:i/>
        </w:rPr>
        <w:t>Fs</w:t>
      </w:r>
      <w:r w:rsidRPr="00821D81">
        <w:rPr>
          <w:i/>
          <w:vertAlign w:val="subscript"/>
        </w:rPr>
        <w:t>OR,j,n,</w:t>
      </w:r>
      <w:r>
        <w:rPr>
          <w:i/>
          <w:vertAlign w:val="subscript"/>
        </w:rPr>
        <w:t>m</w:t>
      </w:r>
      <w:r>
        <w:t xml:space="preserve"> </w:t>
      </w:r>
      <w:r w:rsidRPr="001B1D2F">
        <w:t xml:space="preserve"> </w:t>
      </w:r>
      <w:r w:rsidRPr="001B1D2F">
        <w:tab/>
        <w:t xml:space="preserve">Flujo de energía de salida desde el sistema del OR </w:t>
      </w:r>
      <w:r w:rsidRPr="001B1D2F">
        <w:rPr>
          <w:i/>
        </w:rPr>
        <w:t>j</w:t>
      </w:r>
      <w:r w:rsidRPr="001B1D2F">
        <w:t xml:space="preserve"> en el Nivel de Tensión </w:t>
      </w:r>
      <w:r w:rsidRPr="001B1D2F">
        <w:rPr>
          <w:i/>
        </w:rPr>
        <w:t>n</w:t>
      </w:r>
      <w:r w:rsidRPr="001B1D2F">
        <w:t xml:space="preserve">, a otros STR y/o SDL, </w:t>
      </w:r>
      <w:r>
        <w:t xml:space="preserve">durante el mes </w:t>
      </w:r>
      <w:r w:rsidRPr="008F3207">
        <w:rPr>
          <w:i/>
        </w:rPr>
        <w:t>m</w:t>
      </w:r>
      <w:r w:rsidRPr="001B1D2F">
        <w:rPr>
          <w:i/>
        </w:rPr>
        <w:t>,</w:t>
      </w:r>
      <w:r w:rsidRPr="001B1D2F">
        <w:t xml:space="preserve"> expresada en kWh. Corresponde a la suma de las energías medidas en las fronteras comerciales entre OR, sin referir al STN, registradas en el ASIC.</w:t>
      </w:r>
    </w:p>
    <w:p w:rsidR="00A71B19" w:rsidRPr="001B1D2F" w:rsidRDefault="00A71B19" w:rsidP="00A71B19">
      <w:pPr>
        <w:rPr>
          <w:sz w:val="22"/>
          <w:szCs w:val="22"/>
        </w:rPr>
      </w:pPr>
    </w:p>
    <w:p w:rsidR="00A71B19" w:rsidRPr="001B1D2F" w:rsidRDefault="00A71B19" w:rsidP="00A71B19">
      <w:pPr>
        <w:ind w:left="1410" w:hanging="1410"/>
      </w:pPr>
      <w:r w:rsidRPr="00207A1B">
        <w:rPr>
          <w:i/>
        </w:rPr>
        <w:t>Es</w:t>
      </w:r>
      <w:r w:rsidRPr="00207A1B">
        <w:rPr>
          <w:i/>
          <w:vertAlign w:val="subscript"/>
        </w:rPr>
        <w:t>A,j,n,</w:t>
      </w:r>
      <w:r>
        <w:rPr>
          <w:i/>
          <w:vertAlign w:val="subscript"/>
        </w:rPr>
        <w:t>m</w:t>
      </w:r>
      <w:r w:rsidRPr="001B1D2F">
        <w:rPr>
          <w:i/>
        </w:rPr>
        <w:t xml:space="preserve"> </w:t>
      </w:r>
      <w:r w:rsidRPr="001B1D2F">
        <w:rPr>
          <w:i/>
        </w:rPr>
        <w:tab/>
      </w:r>
      <w:r w:rsidRPr="001B1D2F">
        <w:t xml:space="preserve">Energía de salida  desde el sistema del OR </w:t>
      </w:r>
      <w:r w:rsidRPr="001B1D2F">
        <w:rPr>
          <w:i/>
        </w:rPr>
        <w:t>j,</w:t>
      </w:r>
      <w:r w:rsidRPr="001B1D2F">
        <w:t xml:space="preserve"> en el Nivel de Tensión </w:t>
      </w:r>
      <w:r w:rsidRPr="001B1D2F">
        <w:rPr>
          <w:i/>
        </w:rPr>
        <w:t>n</w:t>
      </w:r>
      <w:r w:rsidRPr="001B1D2F">
        <w:t xml:space="preserve">, a los auxiliares de plantas de generación y/o subestaciones del SIN, </w:t>
      </w:r>
      <w:r>
        <w:t xml:space="preserve">durante el mes </w:t>
      </w:r>
      <w:r w:rsidRPr="008F3207">
        <w:rPr>
          <w:i/>
        </w:rPr>
        <w:t>m</w:t>
      </w:r>
      <w:r w:rsidRPr="001B1D2F">
        <w:rPr>
          <w:i/>
        </w:rPr>
        <w:t xml:space="preserve">, </w:t>
      </w:r>
      <w:r w:rsidRPr="001B1D2F">
        <w:t>expresada en kWh. Corresponde a la suma de las energías medidas las fronteras comerciales, sin referir al STN, registradas en el ASIC como auxiliares.</w:t>
      </w:r>
    </w:p>
    <w:p w:rsidR="00A71B19" w:rsidRPr="001B1D2F" w:rsidRDefault="00A71B19" w:rsidP="00A71B19"/>
    <w:p w:rsidR="00A71B19" w:rsidRDefault="00A71B19" w:rsidP="00A71B19">
      <w:pPr>
        <w:ind w:left="1410" w:hanging="1410"/>
      </w:pPr>
      <w:r w:rsidRPr="00207A1B">
        <w:rPr>
          <w:i/>
        </w:rPr>
        <w:t>n</w:t>
      </w:r>
      <w:r>
        <w:t xml:space="preserve"> </w:t>
      </w:r>
      <w:r w:rsidRPr="001B1D2F">
        <w:t xml:space="preserve"> </w:t>
      </w:r>
      <w:r w:rsidRPr="001B1D2F">
        <w:tab/>
      </w:r>
      <w:r w:rsidRPr="001B1D2F">
        <w:tab/>
        <w:t>Corresponde al Nivel de Tensión para el cual se determina la energía de salida. Toma los valores de 1, 2, 3 y 4.</w:t>
      </w:r>
    </w:p>
    <w:p w:rsidR="00A71B19" w:rsidRDefault="00A71B19" w:rsidP="00A71B19"/>
    <w:p w:rsidR="00A71B19" w:rsidRDefault="00A71B19" w:rsidP="00A71B19">
      <w:r>
        <w:t xml:space="preserve">En el cálculo de la variable </w:t>
      </w:r>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oMath>
      <w:r>
        <w:rPr>
          <w:sz w:val="22"/>
          <w:szCs w:val="22"/>
        </w:rPr>
        <w:t xml:space="preserve"> </w:t>
      </w:r>
      <w:r w:rsidRPr="00FD40E9">
        <w:t xml:space="preserve">no se debe tener en cuenta la </w:t>
      </w:r>
      <w:r>
        <w:t>energía recuperada que se haya dejado de factura</w:t>
      </w:r>
    </w:p>
    <w:p w:rsidR="00A71B19" w:rsidRPr="006A694C" w:rsidRDefault="00A71B19" w:rsidP="00A71B19">
      <w:pPr>
        <w:pStyle w:val="Ttulo3"/>
        <w:jc w:val="both"/>
      </w:pPr>
      <w:bookmarkStart w:id="89" w:name="_Ref277767321"/>
      <w:bookmarkStart w:id="90" w:name="_Toc280712168"/>
      <w:r w:rsidRPr="006A694C">
        <w:t>Pérdidas de energía reconocidas</w:t>
      </w:r>
      <w:bookmarkEnd w:id="89"/>
      <w:bookmarkEnd w:id="90"/>
    </w:p>
    <w:p w:rsidR="00A71B19" w:rsidRPr="006A694C" w:rsidRDefault="00A71B19" w:rsidP="00A71B19">
      <w:r w:rsidRPr="006A694C">
        <w:t xml:space="preserve">Las pérdidas de energía reconocidas en cada uno de los Niveles de Tensión del sistema del OR </w:t>
      </w:r>
      <w:r w:rsidRPr="006A694C">
        <w:rPr>
          <w:i/>
        </w:rPr>
        <w:t>j,</w:t>
      </w:r>
      <w:r w:rsidRPr="006A694C">
        <w:t xml:space="preserve"> se calculan como:</w:t>
      </w:r>
    </w:p>
    <w:p w:rsidR="00A71B19" w:rsidRPr="006A694C" w:rsidRDefault="00A71B19" w:rsidP="00A71B19">
      <w:pPr>
        <w:pStyle w:val="Continuarlista"/>
        <w:rPr>
          <w:sz w:val="22"/>
          <w:szCs w:val="22"/>
        </w:rPr>
      </w:pPr>
    </w:p>
    <w:p w:rsidR="00A71B19" w:rsidRPr="00CC1949" w:rsidRDefault="00822579" w:rsidP="00A71B19">
      <w:pPr>
        <w:pStyle w:val="Continuarlista"/>
        <w:rPr>
          <w:sz w:val="22"/>
          <w:szCs w:val="22"/>
        </w:rPr>
      </w:pPr>
      <m:oMathPara>
        <m:oMath>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j,n</m:t>
              </m:r>
            </m:sub>
          </m:sSub>
        </m:oMath>
      </m:oMathPara>
    </w:p>
    <w:p w:rsidR="00A71B19" w:rsidRDefault="00A71B19" w:rsidP="00A71B19">
      <w:r w:rsidRPr="006A694C">
        <w:t>Donde,</w:t>
      </w:r>
    </w:p>
    <w:p w:rsidR="00A71B19" w:rsidRPr="001B1D2F" w:rsidRDefault="00A71B19" w:rsidP="00A71B19">
      <w:pPr>
        <w:pStyle w:val="Continuarlista"/>
        <w:ind w:left="0"/>
        <w:rPr>
          <w:b/>
          <w:sz w:val="22"/>
          <w:szCs w:val="22"/>
        </w:rPr>
      </w:pPr>
    </w:p>
    <w:p w:rsidR="00A71B19" w:rsidRPr="001C7E2A" w:rsidRDefault="00A71B19" w:rsidP="00A71B19">
      <w:pPr>
        <w:ind w:left="1410" w:hanging="1410"/>
        <w:rPr>
          <w:sz w:val="22"/>
          <w:szCs w:val="22"/>
        </w:rPr>
      </w:pPr>
      <w:r w:rsidRPr="00207A1B">
        <w:rPr>
          <w:i/>
        </w:rPr>
        <w:t>PR</w:t>
      </w:r>
      <w:r w:rsidRPr="00207A1B">
        <w:rPr>
          <w:i/>
          <w:vertAlign w:val="subscript"/>
        </w:rPr>
        <w:t>j,n,</w:t>
      </w:r>
      <w:r>
        <w:rPr>
          <w:i/>
          <w:vertAlign w:val="subscript"/>
        </w:rPr>
        <w:t>m</w:t>
      </w:r>
      <w:r w:rsidRPr="001C7E2A">
        <w:t xml:space="preserve"> </w:t>
      </w:r>
      <w:r w:rsidRPr="001C7E2A">
        <w:tab/>
        <w:t xml:space="preserve">Pérdidas de energía reconocidas  en el sistema del OR </w:t>
      </w:r>
      <w:r w:rsidRPr="001C7E2A">
        <w:rPr>
          <w:i/>
        </w:rPr>
        <w:t>j,</w:t>
      </w:r>
      <w:r w:rsidRPr="001C7E2A">
        <w:t xml:space="preserve"> en el Nivel de Tensión </w:t>
      </w:r>
      <w:r w:rsidRPr="001C7E2A">
        <w:rPr>
          <w:i/>
        </w:rPr>
        <w:t>n,</w:t>
      </w:r>
      <w:r w:rsidRPr="001C7E2A">
        <w:t xml:space="preserve">  </w:t>
      </w:r>
      <w:r>
        <w:t xml:space="preserve">durante el mes </w:t>
      </w:r>
      <w:r w:rsidRPr="008F3207">
        <w:rPr>
          <w:i/>
        </w:rPr>
        <w:t>m</w:t>
      </w:r>
      <w:r w:rsidRPr="001C7E2A">
        <w:rPr>
          <w:i/>
        </w:rPr>
        <w:t>,</w:t>
      </w:r>
      <w:r w:rsidRPr="001C7E2A">
        <w:t xml:space="preserve"> expresadas en kWh.</w:t>
      </w:r>
    </w:p>
    <w:p w:rsidR="00A71B19" w:rsidRPr="001C7E2A" w:rsidRDefault="00A71B19" w:rsidP="00A71B19">
      <w:pPr>
        <w:rPr>
          <w:sz w:val="22"/>
          <w:szCs w:val="22"/>
        </w:rPr>
      </w:pPr>
    </w:p>
    <w:p w:rsidR="00A71B19" w:rsidRPr="001C7E2A" w:rsidRDefault="00A71B19" w:rsidP="00A71B19">
      <w:pPr>
        <w:spacing w:line="216" w:lineRule="auto"/>
        <w:ind w:left="1410" w:hanging="1410"/>
        <w:rPr>
          <w:sz w:val="22"/>
          <w:szCs w:val="22"/>
        </w:rPr>
      </w:pPr>
      <w:r w:rsidRPr="00207A1B">
        <w:rPr>
          <w:i/>
        </w:rPr>
        <w:t>Ee</w:t>
      </w:r>
      <w:r w:rsidRPr="00207A1B">
        <w:rPr>
          <w:i/>
          <w:vertAlign w:val="subscript"/>
        </w:rPr>
        <w:t>j,n,</w:t>
      </w:r>
      <w:r>
        <w:rPr>
          <w:i/>
          <w:vertAlign w:val="subscript"/>
        </w:rPr>
        <w:t>m</w:t>
      </w:r>
      <w:r>
        <w:t xml:space="preserve"> </w:t>
      </w:r>
      <w:r w:rsidRPr="001C7E2A">
        <w:t xml:space="preserve"> </w:t>
      </w:r>
      <w:r w:rsidRPr="001C7E2A">
        <w:tab/>
        <w:t xml:space="preserve">Energía de entrada al sistema del OR </w:t>
      </w:r>
      <w:r w:rsidRPr="001C7E2A">
        <w:rPr>
          <w:i/>
        </w:rPr>
        <w:t>j,</w:t>
      </w:r>
      <w:r w:rsidRPr="001C7E2A">
        <w:t xml:space="preserve"> en el Nivel de Tensión </w:t>
      </w:r>
      <w:r w:rsidRPr="001C7E2A">
        <w:rPr>
          <w:i/>
        </w:rPr>
        <w:t>n</w:t>
      </w:r>
      <w:r w:rsidRPr="001C7E2A">
        <w:t>,</w:t>
      </w:r>
      <w:r w:rsidRPr="001C7E2A">
        <w:rPr>
          <w:i/>
        </w:rPr>
        <w:t xml:space="preserve"> </w:t>
      </w:r>
      <w:r>
        <w:t xml:space="preserve">durante el mes </w:t>
      </w:r>
      <w:r w:rsidRPr="008F3207">
        <w:rPr>
          <w:i/>
        </w:rPr>
        <w:t>m</w:t>
      </w:r>
      <w:r w:rsidRPr="001C7E2A">
        <w:t>,</w:t>
      </w:r>
      <w:r w:rsidRPr="001C7E2A">
        <w:rPr>
          <w:i/>
        </w:rPr>
        <w:t xml:space="preserve"> </w:t>
      </w:r>
      <w:r w:rsidRPr="001C7E2A">
        <w:t>expresada en kWh.</w:t>
      </w:r>
    </w:p>
    <w:p w:rsidR="00A71B19" w:rsidRPr="001C7E2A" w:rsidRDefault="00A71B19" w:rsidP="00A71B19">
      <w:pPr>
        <w:spacing w:line="216" w:lineRule="auto"/>
        <w:rPr>
          <w:sz w:val="22"/>
          <w:szCs w:val="22"/>
        </w:rPr>
      </w:pPr>
      <w:r w:rsidRPr="001C7E2A">
        <w:rPr>
          <w:sz w:val="22"/>
          <w:szCs w:val="22"/>
        </w:rPr>
        <w:t xml:space="preserve"> </w:t>
      </w:r>
    </w:p>
    <w:p w:rsidR="00A71B19" w:rsidRPr="001C7E2A" w:rsidRDefault="00A71B19" w:rsidP="00A71B19">
      <w:pPr>
        <w:spacing w:line="216" w:lineRule="auto"/>
        <w:ind w:left="1410" w:hanging="1410"/>
      </w:pPr>
      <w:r w:rsidRPr="00207A1B">
        <w:rPr>
          <w:i/>
        </w:rPr>
        <w:t>P</w:t>
      </w:r>
      <w:r w:rsidRPr="00207A1B">
        <w:rPr>
          <w:i/>
          <w:vertAlign w:val="subscript"/>
        </w:rPr>
        <w:t>j,n</w:t>
      </w:r>
      <w:r w:rsidRPr="001C7E2A">
        <w:tab/>
      </w:r>
      <w:r w:rsidRPr="001C7E2A">
        <w:tab/>
        <w:t xml:space="preserve">Índice de pérdidas reconocidas en el Nivel de Tensión </w:t>
      </w:r>
      <w:r w:rsidRPr="00207A1B">
        <w:rPr>
          <w:i/>
        </w:rPr>
        <w:t>n</w:t>
      </w:r>
      <w:r>
        <w:rPr>
          <w:i/>
        </w:rPr>
        <w:t>,</w:t>
      </w:r>
      <w:r>
        <w:t xml:space="preserve"> </w:t>
      </w:r>
      <w:r w:rsidRPr="001C7E2A">
        <w:t xml:space="preserve">para el OR </w:t>
      </w:r>
      <w:r w:rsidRPr="001C7E2A">
        <w:rPr>
          <w:i/>
        </w:rPr>
        <w:t>j</w:t>
      </w:r>
      <w:r>
        <w:rPr>
          <w:i/>
        </w:rPr>
        <w:t>,</w:t>
      </w:r>
      <w:r w:rsidRPr="001C7E2A">
        <w:t xml:space="preserve"> aprobado en la Resolución de Cargos vigentes.</w:t>
      </w:r>
      <w:r>
        <w:t xml:space="preserve"> Para el nivel de tensión 1, corresponde al definido en el </w:t>
      </w:r>
      <w:r w:rsidR="00822579">
        <w:fldChar w:fldCharType="begin"/>
      </w:r>
      <w:r>
        <w:instrText xml:space="preserve"> REF _Ref266435164 \r \h </w:instrText>
      </w:r>
      <w:r w:rsidR="00822579">
        <w:fldChar w:fldCharType="separate"/>
      </w:r>
      <w:r w:rsidR="00322DB3">
        <w:t>ANEXO 5</w:t>
      </w:r>
      <w:r w:rsidR="00822579">
        <w:fldChar w:fldCharType="end"/>
      </w:r>
      <w:r>
        <w:t xml:space="preserve"> de esta resolución.</w:t>
      </w:r>
    </w:p>
    <w:p w:rsidR="00A71B19" w:rsidRDefault="00A71B19" w:rsidP="00A71B19">
      <w:pPr>
        <w:spacing w:line="216" w:lineRule="auto"/>
      </w:pPr>
    </w:p>
    <w:p w:rsidR="00CB2A18" w:rsidRDefault="00CB2A18" w:rsidP="00A71B19">
      <w:pPr>
        <w:spacing w:line="216" w:lineRule="auto"/>
      </w:pPr>
    </w:p>
    <w:p w:rsidR="00CB2A18" w:rsidRPr="001C7E2A" w:rsidRDefault="00CB2A18" w:rsidP="00A71B19">
      <w:pPr>
        <w:spacing w:line="216" w:lineRule="auto"/>
      </w:pPr>
    </w:p>
    <w:p w:rsidR="00A71B19" w:rsidRPr="001C7E2A" w:rsidRDefault="00A71B19" w:rsidP="00A71B19">
      <w:pPr>
        <w:spacing w:line="216" w:lineRule="auto"/>
        <w:ind w:left="1410" w:hanging="1407"/>
      </w:pPr>
      <w:r w:rsidRPr="00207A1B">
        <w:rPr>
          <w:i/>
        </w:rPr>
        <w:t>n</w:t>
      </w:r>
      <w:r>
        <w:t xml:space="preserve"> </w:t>
      </w:r>
      <w:r w:rsidRPr="001C7E2A">
        <w:t xml:space="preserve"> </w:t>
      </w:r>
      <w:r w:rsidRPr="001C7E2A">
        <w:tab/>
      </w:r>
      <w:r>
        <w:tab/>
      </w:r>
      <w:r w:rsidRPr="001C7E2A">
        <w:t xml:space="preserve">Corresponde al Nivel de Tensión para el cual se determinan las pérdidas de energía. Toma los valores de </w:t>
      </w:r>
      <w:r>
        <w:t xml:space="preserve">1, </w:t>
      </w:r>
      <w:r w:rsidRPr="001C7E2A">
        <w:t>2, 3 y 4</w:t>
      </w:r>
    </w:p>
    <w:p w:rsidR="00A71B19" w:rsidRPr="006A694C" w:rsidRDefault="00A71B19" w:rsidP="00A71B19">
      <w:pPr>
        <w:pStyle w:val="Ttulo3"/>
        <w:jc w:val="both"/>
      </w:pPr>
      <w:bookmarkStart w:id="91" w:name="_Ref277707634"/>
      <w:bookmarkStart w:id="92" w:name="_Toc280712169"/>
      <w:r w:rsidRPr="006A694C">
        <w:t>Energía de entrada desde Niveles de Tensión superiores</w:t>
      </w:r>
      <w:bookmarkEnd w:id="91"/>
      <w:bookmarkEnd w:id="92"/>
    </w:p>
    <w:p w:rsidR="00A71B19" w:rsidRPr="006A694C" w:rsidRDefault="00A71B19" w:rsidP="00A71B19">
      <w:r w:rsidRPr="006A694C">
        <w:t xml:space="preserve">La energía de entrada desde Niveles de Tensión superiores hacia cada uno de los Niveles de Tensión en el sistema del OR </w:t>
      </w:r>
      <w:r w:rsidRPr="006A694C">
        <w:rPr>
          <w:i/>
        </w:rPr>
        <w:t>j</w:t>
      </w:r>
      <w:r w:rsidRPr="006A694C">
        <w:t>, corresponde a:</w:t>
      </w:r>
    </w:p>
    <w:p w:rsidR="00A71B19" w:rsidRPr="006A694C" w:rsidRDefault="00A71B19" w:rsidP="00A71B19">
      <w:pPr>
        <w:pStyle w:val="Continuarlista"/>
        <w:rPr>
          <w:sz w:val="22"/>
          <w:szCs w:val="22"/>
        </w:rPr>
      </w:pPr>
    </w:p>
    <w:p w:rsidR="00A71B19" w:rsidRPr="00CC1949" w:rsidRDefault="00822579" w:rsidP="00A71B19">
      <w:pPr>
        <w:rPr>
          <w:i/>
        </w:rPr>
      </w:pPr>
      <m:oMathPara>
        <m:oMath>
          <m:sSub>
            <m:sSubPr>
              <m:ctrlPr>
                <w:rPr>
                  <w:rFonts w:ascii="Cambria Math" w:hAnsi="Cambria Math"/>
                  <w:i/>
                </w:rPr>
              </m:ctrlPr>
            </m:sSubPr>
            <m:e>
              <m:r>
                <w:rPr>
                  <w:rFonts w:ascii="Cambria Math" w:hAnsi="Cambria Math"/>
                </w:rPr>
                <m:t>Fe</m:t>
              </m:r>
            </m:e>
            <m:sub>
              <m:r>
                <w:rPr>
                  <w:rFonts w:ascii="Cambria Math" w:hAnsi="Cambria Math"/>
                </w:rPr>
                <m:t>NS,j,n,m</m:t>
              </m:r>
            </m:sub>
          </m:sSub>
          <m:r>
            <w:rPr>
              <w:rFonts w:ascii="Cambria Math" w:hAnsi="Cambria Math"/>
            </w:rPr>
            <m:t>=</m:t>
          </m:r>
          <m:nary>
            <m:naryPr>
              <m:chr m:val="∑"/>
              <m:limLoc m:val="undOvr"/>
              <m:ctrlPr>
                <w:rPr>
                  <w:rFonts w:ascii="Cambria Math" w:hAnsi="Cambria Math"/>
                  <w:i/>
                </w:rPr>
              </m:ctrlPr>
            </m:naryPr>
            <m:sub>
              <m:r>
                <w:rPr>
                  <w:rFonts w:ascii="Cambria Math" w:hAnsi="Cambria Math"/>
                </w:rPr>
                <m:t>k=n+1</m:t>
              </m:r>
            </m:sub>
            <m:sup>
              <m:r>
                <w:rPr>
                  <w:rFonts w:ascii="Cambria Math" w:hAnsi="Cambria Math"/>
                </w:rPr>
                <m:t>4</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Ee</m:t>
                          </m:r>
                        </m:e>
                        <m:sub>
                          <m:r>
                            <w:rPr>
                              <w:rFonts w:ascii="Cambria Math" w:hAnsi="Cambria Math"/>
                            </w:rPr>
                            <m:t>j,k,m</m:t>
                          </m:r>
                        </m:sub>
                      </m:sSub>
                      <m:r>
                        <w:rPr>
                          <w:rFonts w:ascii="Cambria Math" w:hAnsi="Cambria Math"/>
                        </w:rPr>
                        <m:t>-</m:t>
                      </m:r>
                      <m:sSub>
                        <m:sSubPr>
                          <m:ctrlPr>
                            <w:rPr>
                              <w:rFonts w:ascii="Cambria Math" w:hAnsi="Cambria Math"/>
                              <w:i/>
                            </w:rPr>
                          </m:ctrlPr>
                        </m:sSubPr>
                        <m:e>
                          <m:r>
                            <w:rPr>
                              <w:rFonts w:ascii="Cambria Math" w:hAnsi="Cambria Math"/>
                            </w:rPr>
                            <m:t>Es</m:t>
                          </m:r>
                        </m:e>
                        <m:sub>
                          <m:r>
                            <w:rPr>
                              <w:rFonts w:ascii="Cambria Math" w:hAnsi="Cambria Math"/>
                            </w:rPr>
                            <m:t>j,k,m</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j,k,m</m:t>
                          </m:r>
                        </m:sub>
                      </m:sSub>
                    </m:e>
                  </m:d>
                  <m:r>
                    <w:rPr>
                      <w:rFonts w:ascii="Cambria Math" w:hAnsi="Cambria Math"/>
                    </w:rPr>
                    <m:t>*</m:t>
                  </m:r>
                  <m:sSub>
                    <m:sSubPr>
                      <m:ctrlPr>
                        <w:rPr>
                          <w:rFonts w:ascii="Cambria Math" w:hAnsi="Cambria Math"/>
                          <w:i/>
                        </w:rPr>
                      </m:ctrlPr>
                    </m:sSubPr>
                    <m:e>
                      <m:r>
                        <w:rPr>
                          <w:rFonts w:ascii="Cambria Math" w:hAnsi="Cambria Math"/>
                        </w:rPr>
                        <m:t>FDF</m:t>
                      </m:r>
                    </m:e>
                    <m:sub>
                      <m:r>
                        <w:rPr>
                          <w:rFonts w:ascii="Cambria Math" w:hAnsi="Cambria Math"/>
                        </w:rPr>
                        <m:t>j,k→n,m</m:t>
                      </m:r>
                    </m:sub>
                  </m:sSub>
                </m:e>
              </m:d>
            </m:e>
          </m:nary>
        </m:oMath>
      </m:oMathPara>
    </w:p>
    <w:p w:rsidR="00A71B19" w:rsidRDefault="00A71B19" w:rsidP="00A71B19"/>
    <w:p w:rsidR="00A71B19" w:rsidRDefault="00A71B19" w:rsidP="00A71B19">
      <w:r w:rsidRPr="006A694C">
        <w:t>Donde,</w:t>
      </w:r>
    </w:p>
    <w:p w:rsidR="00A71B19" w:rsidRDefault="00A71B19" w:rsidP="00A71B19">
      <w:pPr>
        <w:pStyle w:val="Continuarlista"/>
        <w:ind w:left="0"/>
        <w:rPr>
          <w:sz w:val="22"/>
          <w:szCs w:val="22"/>
        </w:rPr>
      </w:pPr>
    </w:p>
    <w:p w:rsidR="00A71B19" w:rsidRPr="001C7E2A" w:rsidRDefault="00A71B19" w:rsidP="00A71B19">
      <w:pPr>
        <w:spacing w:line="216" w:lineRule="auto"/>
        <w:ind w:left="1410" w:hanging="1410"/>
      </w:pPr>
      <w:r>
        <w:rPr>
          <w:i/>
        </w:rPr>
        <w:t>F</w:t>
      </w:r>
      <w:r w:rsidRPr="005E5995">
        <w:rPr>
          <w:i/>
        </w:rPr>
        <w:t>e</w:t>
      </w:r>
      <w:r w:rsidRPr="005E5995">
        <w:rPr>
          <w:i/>
          <w:vertAlign w:val="subscript"/>
        </w:rPr>
        <w:t>NS,j,n,</w:t>
      </w:r>
      <w:r>
        <w:rPr>
          <w:i/>
          <w:vertAlign w:val="subscript"/>
        </w:rPr>
        <w:t>m</w:t>
      </w:r>
      <w:r>
        <w:t xml:space="preserve"> </w:t>
      </w:r>
      <w:r w:rsidRPr="001C7E2A">
        <w:t xml:space="preserve"> </w:t>
      </w:r>
      <w:r>
        <w:tab/>
      </w:r>
      <w:r w:rsidRPr="001C7E2A">
        <w:t xml:space="preserve">Energía de entrada desde Niveles de Tensión superiores al Nivel de Tensión </w:t>
      </w:r>
      <w:r w:rsidRPr="005E5995">
        <w:rPr>
          <w:i/>
        </w:rPr>
        <w:t>n</w:t>
      </w:r>
      <w:r w:rsidRPr="001C7E2A">
        <w:t xml:space="preserve">, en el sistema del OR </w:t>
      </w:r>
      <w:r w:rsidRPr="005E5995">
        <w:rPr>
          <w:i/>
        </w:rPr>
        <w:t>j</w:t>
      </w:r>
      <w:r w:rsidRPr="001C7E2A">
        <w:t xml:space="preserve">, </w:t>
      </w:r>
      <w:r>
        <w:t xml:space="preserve">durante el mes </w:t>
      </w:r>
      <w:r w:rsidRPr="008F3207">
        <w:rPr>
          <w:i/>
        </w:rPr>
        <w:t>m</w:t>
      </w:r>
      <w:r w:rsidRPr="001C7E2A">
        <w:t xml:space="preserve">,  expresada en kWh. Para el Nivel de Tensión 4, el valor de </w:t>
      </w:r>
      <w:r w:rsidRPr="00A23BD3">
        <w:rPr>
          <w:i/>
        </w:rPr>
        <w:t>Fe</w:t>
      </w:r>
      <w:r w:rsidRPr="005E5995">
        <w:rPr>
          <w:i/>
          <w:vertAlign w:val="subscript"/>
        </w:rPr>
        <w:t>NS,j,4,m</w:t>
      </w:r>
      <w:r>
        <w:t xml:space="preserve"> </w:t>
      </w:r>
      <w:r w:rsidRPr="001C7E2A">
        <w:t xml:space="preserve"> es cero.</w:t>
      </w:r>
    </w:p>
    <w:p w:rsidR="00A71B19" w:rsidRPr="001C7E2A" w:rsidRDefault="00A71B19" w:rsidP="00A71B19">
      <w:pPr>
        <w:spacing w:line="216" w:lineRule="auto"/>
      </w:pPr>
    </w:p>
    <w:p w:rsidR="00A71B19" w:rsidRPr="001C7E2A" w:rsidRDefault="00A71B19" w:rsidP="00A71B19">
      <w:pPr>
        <w:spacing w:line="216" w:lineRule="auto"/>
        <w:ind w:left="1410" w:hanging="1410"/>
      </w:pPr>
      <w:r w:rsidRPr="005E5995">
        <w:rPr>
          <w:i/>
        </w:rPr>
        <w:t>Ee</w:t>
      </w:r>
      <w:r w:rsidRPr="005E5995">
        <w:rPr>
          <w:i/>
          <w:vertAlign w:val="subscript"/>
        </w:rPr>
        <w:t>j,k,</w:t>
      </w:r>
      <w:r>
        <w:rPr>
          <w:i/>
          <w:vertAlign w:val="subscript"/>
        </w:rPr>
        <w:t>m</w:t>
      </w:r>
      <w:r>
        <w:tab/>
      </w:r>
      <w:r w:rsidRPr="001C7E2A">
        <w:t xml:space="preserve">Energía de entrada en el Nivel de Tensión superior </w:t>
      </w:r>
      <w:r w:rsidRPr="005E5995">
        <w:rPr>
          <w:i/>
        </w:rPr>
        <w:t>k</w:t>
      </w:r>
      <w:r w:rsidRPr="001C7E2A">
        <w:t xml:space="preserve"> del sistema del OR </w:t>
      </w:r>
      <w:r w:rsidRPr="005E5995">
        <w:rPr>
          <w:i/>
        </w:rPr>
        <w:t>j</w:t>
      </w:r>
      <w:r w:rsidRPr="001C7E2A">
        <w:t xml:space="preserve">, </w:t>
      </w:r>
      <w:r>
        <w:t xml:space="preserve">durante el mes </w:t>
      </w:r>
      <w:r w:rsidRPr="008F3207">
        <w:rPr>
          <w:i/>
        </w:rPr>
        <w:t>m</w:t>
      </w:r>
      <w:r w:rsidRPr="001C7E2A">
        <w:t>, expresada en kWh.</w:t>
      </w:r>
    </w:p>
    <w:p w:rsidR="00A71B19" w:rsidRPr="001C7E2A" w:rsidRDefault="00A71B19" w:rsidP="00A71B19">
      <w:pPr>
        <w:spacing w:line="216" w:lineRule="auto"/>
      </w:pPr>
    </w:p>
    <w:p w:rsidR="00A71B19" w:rsidRPr="001C7E2A" w:rsidRDefault="00A71B19" w:rsidP="00A71B19">
      <w:pPr>
        <w:spacing w:line="216" w:lineRule="auto"/>
        <w:ind w:left="1410" w:hanging="1410"/>
      </w:pPr>
      <w:r w:rsidRPr="005E5995">
        <w:rPr>
          <w:i/>
        </w:rPr>
        <w:t>Es</w:t>
      </w:r>
      <w:r w:rsidRPr="005E5995">
        <w:rPr>
          <w:i/>
          <w:vertAlign w:val="subscript"/>
        </w:rPr>
        <w:t>j,k,</w:t>
      </w:r>
      <w:r>
        <w:rPr>
          <w:i/>
          <w:vertAlign w:val="subscript"/>
        </w:rPr>
        <w:t>m</w:t>
      </w:r>
      <w:r>
        <w:tab/>
      </w:r>
      <w:r>
        <w:tab/>
      </w:r>
      <w:r w:rsidRPr="001C7E2A">
        <w:t xml:space="preserve">Energía de salida del sistema del OR </w:t>
      </w:r>
      <w:r w:rsidRPr="005E5995">
        <w:rPr>
          <w:i/>
        </w:rPr>
        <w:t>j</w:t>
      </w:r>
      <w:r w:rsidRPr="001C7E2A">
        <w:t xml:space="preserve">, en el Nivel de Tensión superior </w:t>
      </w:r>
      <w:r w:rsidRPr="005E5995">
        <w:rPr>
          <w:i/>
        </w:rPr>
        <w:t>k</w:t>
      </w:r>
      <w:r w:rsidRPr="001C7E2A">
        <w:t xml:space="preserve">, </w:t>
      </w:r>
      <w:r>
        <w:t xml:space="preserve">durante los períodos de evaluación </w:t>
      </w:r>
      <w:r w:rsidRPr="00714D8E">
        <w:rPr>
          <w:i/>
        </w:rPr>
        <w:t>s</w:t>
      </w:r>
      <w:r>
        <w:t xml:space="preserve"> y </w:t>
      </w:r>
      <w:r w:rsidRPr="00714D8E">
        <w:rPr>
          <w:i/>
        </w:rPr>
        <w:t>s-1</w:t>
      </w:r>
      <w:r w:rsidRPr="001C7E2A">
        <w:t>, expresada en kWh.</w:t>
      </w:r>
    </w:p>
    <w:p w:rsidR="00A71B19" w:rsidRPr="001C7E2A" w:rsidRDefault="00A71B19" w:rsidP="00A71B19"/>
    <w:p w:rsidR="00A71B19" w:rsidRPr="001C7E2A" w:rsidRDefault="00A71B19" w:rsidP="00A71B19">
      <w:pPr>
        <w:ind w:left="1410" w:hanging="1410"/>
      </w:pPr>
      <w:r w:rsidRPr="005E5995">
        <w:rPr>
          <w:i/>
        </w:rPr>
        <w:t>PR</w:t>
      </w:r>
      <w:r w:rsidRPr="005E5995">
        <w:rPr>
          <w:i/>
          <w:vertAlign w:val="subscript"/>
        </w:rPr>
        <w:t>k,j,</w:t>
      </w:r>
      <w:r>
        <w:rPr>
          <w:i/>
          <w:vertAlign w:val="subscript"/>
        </w:rPr>
        <w:t>m</w:t>
      </w:r>
      <w:r>
        <w:tab/>
      </w:r>
      <w:r w:rsidRPr="001C7E2A">
        <w:t xml:space="preserve">Pérdidas de energía reconocidas en el Nivel de Tensión superior </w:t>
      </w:r>
      <w:r w:rsidRPr="005E5995">
        <w:rPr>
          <w:i/>
        </w:rPr>
        <w:t>k</w:t>
      </w:r>
      <w:r w:rsidRPr="001C7E2A">
        <w:t xml:space="preserve">, en el sistema del OR </w:t>
      </w:r>
      <w:r w:rsidRPr="005E5995">
        <w:rPr>
          <w:i/>
        </w:rPr>
        <w:t>j</w:t>
      </w:r>
      <w:r w:rsidRPr="001C7E2A">
        <w:t xml:space="preserve">, </w:t>
      </w:r>
      <w:r>
        <w:t xml:space="preserve">durante el mes </w:t>
      </w:r>
      <w:r w:rsidRPr="008F3207">
        <w:rPr>
          <w:i/>
        </w:rPr>
        <w:t>m</w:t>
      </w:r>
      <w:r w:rsidRPr="001C7E2A">
        <w:t>, expresadas en kWh.</w:t>
      </w:r>
    </w:p>
    <w:p w:rsidR="00A71B19" w:rsidRPr="001C7E2A" w:rsidRDefault="00A71B19" w:rsidP="00A71B19"/>
    <w:p w:rsidR="00A71B19" w:rsidRPr="001C7E2A" w:rsidRDefault="00A71B19" w:rsidP="00A71B19">
      <w:pPr>
        <w:ind w:left="1410" w:hanging="1410"/>
      </w:pPr>
      <w:r w:rsidRPr="005E5995">
        <w:rPr>
          <w:i/>
        </w:rPr>
        <w:t>FDF</w:t>
      </w:r>
      <w:r w:rsidRPr="005E5995">
        <w:rPr>
          <w:i/>
          <w:vertAlign w:val="subscript"/>
        </w:rPr>
        <w:t>j,k</w:t>
      </w:r>
      <w:r w:rsidRPr="005E5995">
        <w:rPr>
          <w:i/>
          <w:vertAlign w:val="subscript"/>
        </w:rPr>
        <w:sym w:font="Symbol" w:char="F0AE"/>
      </w:r>
      <w:r w:rsidRPr="005E5995">
        <w:rPr>
          <w:i/>
          <w:vertAlign w:val="subscript"/>
        </w:rPr>
        <w:t>n,</w:t>
      </w:r>
      <w:r>
        <w:rPr>
          <w:i/>
          <w:vertAlign w:val="subscript"/>
        </w:rPr>
        <w:t>s</w:t>
      </w:r>
      <w:r>
        <w:t xml:space="preserve"> </w:t>
      </w:r>
      <w:r w:rsidRPr="001C7E2A">
        <w:t xml:space="preserve"> </w:t>
      </w:r>
      <w:r>
        <w:tab/>
      </w:r>
      <w:r w:rsidRPr="001C7E2A">
        <w:t xml:space="preserve">Factor de distribución del flujo de energía en el sistema del OR j, desde el Nivel de Tensión superior </w:t>
      </w:r>
      <w:r w:rsidRPr="001C7E2A">
        <w:rPr>
          <w:i/>
        </w:rPr>
        <w:t>k</w:t>
      </w:r>
      <w:r w:rsidRPr="001C7E2A">
        <w:t xml:space="preserve"> hacia el Nivel de Tensión </w:t>
      </w:r>
      <w:r w:rsidRPr="001C7E2A">
        <w:rPr>
          <w:i/>
        </w:rPr>
        <w:t>n</w:t>
      </w:r>
      <w:r w:rsidRPr="001C7E2A">
        <w:t xml:space="preserve">, </w:t>
      </w:r>
      <w:r>
        <w:t xml:space="preserve">durante el mes </w:t>
      </w:r>
      <w:r w:rsidRPr="008F3207">
        <w:rPr>
          <w:i/>
        </w:rPr>
        <w:t>m</w:t>
      </w:r>
      <w:r w:rsidRPr="001C7E2A">
        <w:t xml:space="preserve">. </w:t>
      </w:r>
      <w:r>
        <w:t>Para el primer mes de aplicación de la metodología contenida en esta Resolución, e</w:t>
      </w:r>
      <w:r w:rsidRPr="001C7E2A">
        <w:t xml:space="preserve">l factor debe ser calculado </w:t>
      </w:r>
      <w:r>
        <w:t xml:space="preserve">con base en los factores tenidos en cuenta en </w:t>
      </w:r>
      <w:r w:rsidRPr="001C7E2A">
        <w:t>la Resolución de aprobación de cargos de cada OR.</w:t>
      </w:r>
      <w:r>
        <w:t xml:space="preserve"> A partir del doceavo mes este factor deberá ser informado por el OR al LAC con base en las medidas entre niveles efectuadas.</w:t>
      </w:r>
    </w:p>
    <w:p w:rsidR="00A71B19" w:rsidRPr="001C7E2A" w:rsidRDefault="00A71B19" w:rsidP="00A71B19"/>
    <w:p w:rsidR="00A71B19" w:rsidRDefault="00A71B19" w:rsidP="00A71B19">
      <w:pPr>
        <w:ind w:left="1410" w:hanging="1410"/>
      </w:pPr>
      <w:r w:rsidRPr="005E5995">
        <w:rPr>
          <w:i/>
        </w:rPr>
        <w:t>n</w:t>
      </w:r>
      <w:r>
        <w:tab/>
      </w:r>
      <w:r>
        <w:tab/>
      </w:r>
      <w:r w:rsidRPr="001C7E2A">
        <w:t>Corresponde al Nivel de Tensión para el cual se determina la energía de salida. Toma los valores de 1, 2 y 3.</w:t>
      </w:r>
    </w:p>
    <w:p w:rsidR="00A71B19" w:rsidRPr="001C7E2A" w:rsidRDefault="00A71B19" w:rsidP="00A71B19">
      <w:pPr>
        <w:ind w:left="1410" w:hanging="1410"/>
      </w:pPr>
    </w:p>
    <w:p w:rsidR="00A71B19" w:rsidRDefault="00A71B19" w:rsidP="00A71B19">
      <w:pPr>
        <w:ind w:left="1410" w:hanging="1410"/>
        <w:jc w:val="left"/>
        <w:rPr>
          <w:b/>
        </w:rPr>
      </w:pPr>
      <w:r w:rsidRPr="005E5995">
        <w:rPr>
          <w:i/>
        </w:rPr>
        <w:t>k</w:t>
      </w:r>
      <w:r w:rsidRPr="001C7E2A">
        <w:t xml:space="preserve"> </w:t>
      </w:r>
      <w:r>
        <w:tab/>
      </w:r>
      <w:r>
        <w:tab/>
      </w:r>
      <w:r w:rsidRPr="001C7E2A">
        <w:t>Corresponde al Nivel de Tensión superior. Toma los valores de 2, 3</w:t>
      </w:r>
      <w:r>
        <w:t> </w:t>
      </w:r>
      <w:r w:rsidRPr="001C7E2A">
        <w:t>y 4.</w:t>
      </w:r>
    </w:p>
    <w:p w:rsidR="00A71B19" w:rsidRDefault="00A71B19" w:rsidP="00A71B19">
      <w:pPr>
        <w:jc w:val="left"/>
        <w:rPr>
          <w:b/>
        </w:rPr>
      </w:pPr>
    </w:p>
    <w:p w:rsidR="00080B91" w:rsidRPr="00555E6A" w:rsidRDefault="00080B91" w:rsidP="00080B91">
      <w:pPr>
        <w:rPr>
          <w:rFonts w:cs="Arial"/>
          <w:b/>
          <w:spacing w:val="-3"/>
        </w:rPr>
      </w:pPr>
      <w:r w:rsidRPr="00555E6A">
        <w:rPr>
          <w:b/>
        </w:rPr>
        <w:t>Firma del proyecto</w:t>
      </w:r>
    </w:p>
    <w:p w:rsidR="00A71B19" w:rsidRDefault="00A71B19" w:rsidP="00A71B19">
      <w:pPr>
        <w:jc w:val="left"/>
        <w:rPr>
          <w:b/>
        </w:rPr>
      </w:pPr>
      <w:r>
        <w:rPr>
          <w:b/>
        </w:rPr>
        <w:br w:type="page"/>
      </w:r>
    </w:p>
    <w:p w:rsidR="00CB2A18" w:rsidRPr="00402DAB" w:rsidRDefault="00CB2A18" w:rsidP="00A71B19">
      <w:pPr>
        <w:jc w:val="left"/>
        <w:rPr>
          <w:b/>
        </w:rPr>
      </w:pPr>
    </w:p>
    <w:p w:rsidR="00A71B19" w:rsidRDefault="00A71B19" w:rsidP="00CB2A18">
      <w:pPr>
        <w:pStyle w:val="Ttulo1"/>
        <w:spacing w:before="0" w:after="0"/>
      </w:pPr>
      <w:bookmarkStart w:id="93" w:name="_Ref266435164"/>
      <w:bookmarkStart w:id="94" w:name="_Toc280712170"/>
      <w:bookmarkStart w:id="95" w:name="_Ref261440736"/>
      <w:r w:rsidRPr="00402DAB">
        <w:rPr>
          <w:caps w:val="0"/>
        </w:rPr>
        <w:t>P</w:t>
      </w:r>
      <w:r>
        <w:rPr>
          <w:caps w:val="0"/>
        </w:rPr>
        <w:t>É</w:t>
      </w:r>
      <w:r w:rsidRPr="00402DAB">
        <w:rPr>
          <w:caps w:val="0"/>
        </w:rPr>
        <w:t xml:space="preserve">RDIDAS </w:t>
      </w:r>
      <w:r>
        <w:t>RECONOCIDAS</w:t>
      </w:r>
      <w:bookmarkEnd w:id="93"/>
      <w:bookmarkEnd w:id="94"/>
      <w:r w:rsidRPr="00402DAB">
        <w:t xml:space="preserve"> </w:t>
      </w:r>
      <w:bookmarkEnd w:id="95"/>
    </w:p>
    <w:p w:rsidR="00CB2A18" w:rsidRDefault="00CB2A18" w:rsidP="00A71B19"/>
    <w:p w:rsidR="00A71B19" w:rsidRPr="00DA1981" w:rsidRDefault="00A71B19" w:rsidP="00A71B19">
      <w:r>
        <w:t>Las pérdidas reconocidas en el nivel de tensión 1 se determinan según  lo expuesto a continuación:</w:t>
      </w:r>
    </w:p>
    <w:p w:rsidR="00A71B19" w:rsidRDefault="00A71B19" w:rsidP="00A71B19">
      <w:pPr>
        <w:pStyle w:val="Ttulo2"/>
      </w:pPr>
      <w:bookmarkStart w:id="96" w:name="_Ref280111123"/>
      <w:bookmarkStart w:id="97" w:name="_Toc280712171"/>
      <w:r w:rsidRPr="00402DAB">
        <w:t>OR con pérdidas de Nivel de Tensión 1 inferiores a las reconocidas</w:t>
      </w:r>
      <w:bookmarkEnd w:id="96"/>
      <w:bookmarkEnd w:id="97"/>
    </w:p>
    <w:p w:rsidR="00A71B19" w:rsidRPr="00402DAB" w:rsidRDefault="00A71B19" w:rsidP="00A71B19">
      <w:r w:rsidRPr="00402DAB">
        <w:t xml:space="preserve">Para los OR cuyo índice total de pérdidas de Nivel de Tensión 1, calculado al momento de la evaluación del plan, sea inferior al </w:t>
      </w:r>
      <w:r>
        <w:t xml:space="preserve"> vigente </w:t>
      </w:r>
      <w:r w:rsidRPr="00402DAB">
        <w:t xml:space="preserve">reconocido, el </w:t>
      </w:r>
      <w:r>
        <w:t>índice de pérdidas</w:t>
      </w:r>
      <w:r w:rsidRPr="00402DAB">
        <w:t xml:space="preserve"> a reconocer en </w:t>
      </w:r>
      <w:r>
        <w:t xml:space="preserve">un </w:t>
      </w:r>
      <w:r w:rsidRPr="00402DAB">
        <w:t>período</w:t>
      </w:r>
      <w:r>
        <w:t xml:space="preserve"> de evaluación</w:t>
      </w:r>
      <w:r w:rsidRPr="00402DAB">
        <w:t xml:space="preserve"> será determinado según las siguientes fórmulas:</w:t>
      </w:r>
    </w:p>
    <w:p w:rsidR="00A71B19" w:rsidRPr="00402DAB" w:rsidRDefault="00A71B19" w:rsidP="00A71B19">
      <w:pPr>
        <w:ind w:left="708" w:hanging="708"/>
      </w:pPr>
    </w:p>
    <w:p w:rsidR="00A71B19" w:rsidRPr="00402DAB" w:rsidRDefault="00A71B19" w:rsidP="00A71B19">
      <w:r w:rsidRPr="00402DAB">
        <w:t xml:space="preserve">Para </w:t>
      </w:r>
      <w:r>
        <w:t>los dos primeros periodos de evaluación</w:t>
      </w:r>
      <w:r w:rsidRPr="00402DAB">
        <w:t>, las pérdidas reconocidas en el Nivel de Tensión 1, serán iguales a las reconocidas al inicio del mismo:</w:t>
      </w:r>
    </w:p>
    <w:p w:rsidR="00A71B19" w:rsidRPr="00402DAB" w:rsidRDefault="00A71B19" w:rsidP="00A71B19"/>
    <w:p w:rsidR="00A71B19" w:rsidRPr="00402DAB" w:rsidRDefault="00822579" w:rsidP="00A71B19">
      <w:pPr>
        <w:jc w:val="center"/>
      </w:pPr>
      <m:oMath>
        <m:sSub>
          <m:sSubPr>
            <m:ctrlPr>
              <w:rPr>
                <w:rFonts w:ascii="Cambria Math" w:hAnsi="Cambria Math"/>
                <w:i/>
              </w:rPr>
            </m:ctrlPr>
          </m:sSubPr>
          <m:e>
            <m:r>
              <w:rPr>
                <w:rFonts w:ascii="Cambria Math" w:hAnsi="Cambria Math"/>
              </w:rPr>
              <m:t>P</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j,1,s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j,1,r</m:t>
            </m:r>
          </m:sub>
        </m:sSub>
        <m:r>
          <w:rPr>
            <w:rFonts w:ascii="Cambria Math" w:hAnsi="Cambria Math"/>
          </w:rPr>
          <m:t xml:space="preserve">    ;{s=1, 2</m:t>
        </m:r>
      </m:oMath>
      <w:r w:rsidR="00A71B19" w:rsidRPr="00402DAB">
        <w:t>}</w:t>
      </w:r>
    </w:p>
    <w:p w:rsidR="00A71B19" w:rsidRPr="00402DAB" w:rsidRDefault="00A71B19" w:rsidP="00A71B19"/>
    <w:p w:rsidR="00A71B19" w:rsidRPr="00402DAB" w:rsidRDefault="00A71B19" w:rsidP="00A71B19">
      <w:pPr>
        <w:ind w:left="1416" w:hanging="1416"/>
      </w:pPr>
      <w:r w:rsidRPr="00402DAB">
        <w:rPr>
          <w:i/>
        </w:rPr>
        <w:t>P</w:t>
      </w:r>
      <w:r w:rsidRPr="00402DAB">
        <w:rPr>
          <w:i/>
          <w:vertAlign w:val="subscript"/>
        </w:rPr>
        <w:t>j,1,</w:t>
      </w:r>
      <w:r>
        <w:rPr>
          <w:i/>
          <w:vertAlign w:val="subscript"/>
        </w:rPr>
        <w:t>s</w:t>
      </w:r>
      <w:r w:rsidRPr="00402DAB">
        <w:t>:</w:t>
      </w:r>
      <w:r w:rsidRPr="00402DAB">
        <w:tab/>
      </w:r>
      <w:r>
        <w:t>Índice de pérdidas</w:t>
      </w:r>
      <w:r w:rsidRPr="00402DAB">
        <w:t xml:space="preserve"> de Nivel de Tensión 1 reconocidas para el OR j, durante el </w:t>
      </w:r>
      <w:r>
        <w:t>período</w:t>
      </w:r>
      <w:r w:rsidRPr="00402DAB">
        <w:t xml:space="preserve"> </w:t>
      </w:r>
      <w:r>
        <w:t>de evaluación s</w:t>
      </w:r>
      <w:r w:rsidRPr="00402DAB">
        <w:t>.</w:t>
      </w:r>
    </w:p>
    <w:p w:rsidR="00A71B19" w:rsidRPr="00402DAB" w:rsidRDefault="00A71B19" w:rsidP="00A71B19">
      <w:pPr>
        <w:ind w:left="1416" w:hanging="1416"/>
      </w:pPr>
    </w:p>
    <w:p w:rsidR="00A71B19" w:rsidRPr="00402DAB" w:rsidRDefault="00A71B19" w:rsidP="00A71B19">
      <w:pPr>
        <w:ind w:left="1416" w:hanging="1416"/>
      </w:pPr>
      <w:r w:rsidRPr="00402DAB">
        <w:rPr>
          <w:i/>
        </w:rPr>
        <w:t>P</w:t>
      </w:r>
      <w:r w:rsidRPr="00402DAB">
        <w:rPr>
          <w:i/>
          <w:vertAlign w:val="subscript"/>
        </w:rPr>
        <w:t>j,1,r</w:t>
      </w:r>
      <w:r w:rsidRPr="00402DAB">
        <w:t xml:space="preserve">: </w:t>
      </w:r>
      <w:r w:rsidRPr="00402DAB">
        <w:tab/>
      </w:r>
      <w:r>
        <w:t>Índice de pérdidas</w:t>
      </w:r>
      <w:r w:rsidRPr="00402DAB">
        <w:t xml:space="preserve"> del Nivel de Tensión 1 reconocidas para cada OR. Valor </w:t>
      </w:r>
      <w:r w:rsidRPr="00402DAB">
        <w:tab/>
        <w:t>incluido en el documento de soporte de la Resolución de aprobación de cargos, aplicando la metodología de la Resolución CREG 097 de 2008.</w:t>
      </w:r>
    </w:p>
    <w:p w:rsidR="00A71B19" w:rsidRPr="00402DAB" w:rsidRDefault="00A71B19" w:rsidP="00A71B19"/>
    <w:p w:rsidR="00A71B19" w:rsidRPr="00402DAB" w:rsidRDefault="00A71B19" w:rsidP="00A71B19">
      <w:r w:rsidRPr="00402DAB">
        <w:t xml:space="preserve">Para el tercer y cuarto </w:t>
      </w:r>
      <w:r>
        <w:t>periodo de evaluación</w:t>
      </w:r>
      <w:r w:rsidRPr="00402DAB">
        <w:t>, las pérdidas reconocidas de nivel de tensión 1, se calcularan de la siguiente manera:</w:t>
      </w:r>
    </w:p>
    <w:p w:rsidR="00A71B19" w:rsidRPr="00402DAB" w:rsidRDefault="00A71B19" w:rsidP="00A71B19"/>
    <w:p w:rsidR="00A71B19" w:rsidRPr="0078199B" w:rsidRDefault="00822579" w:rsidP="00A71B19">
      <w:pPr>
        <w:jc w:val="center"/>
        <w:rPr>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j,1</m:t>
            </m:r>
          </m:sub>
        </m:sSub>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j,1,s</m:t>
            </m:r>
          </m:sub>
        </m:sSub>
        <m:r>
          <w:rPr>
            <w:rFonts w:ascii="Cambria Math" w:hAnsi="Cambria Math"/>
            <w:sz w:val="28"/>
          </w:rPr>
          <m:t>=</m:t>
        </m:r>
        <m:f>
          <m:fPr>
            <m:ctrlPr>
              <w:rPr>
                <w:rFonts w:ascii="Cambria Math" w:hAnsi="Cambria Math"/>
                <w:i/>
                <w:sz w:val="28"/>
              </w:rPr>
            </m:ctrlPr>
          </m:fPr>
          <m:num>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P</m:t>
                    </m:r>
                  </m:e>
                  <m:sub>
                    <m:r>
                      <w:rPr>
                        <w:rFonts w:ascii="Cambria Math" w:hAnsi="Cambria Math"/>
                        <w:sz w:val="28"/>
                      </w:rPr>
                      <m:t>j,1,r</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j,1,0</m:t>
                    </m:r>
                  </m:sub>
                </m:sSub>
              </m:e>
            </m:d>
          </m:num>
          <m:den>
            <m:r>
              <w:rPr>
                <w:rFonts w:ascii="Cambria Math" w:hAnsi="Cambria Math"/>
                <w:sz w:val="28"/>
              </w:rPr>
              <m:t>2</m:t>
            </m:r>
          </m:den>
        </m:f>
        <m:r>
          <w:rPr>
            <w:rFonts w:ascii="Cambria Math" w:hAnsi="Cambria Math"/>
            <w:sz w:val="28"/>
          </w:rPr>
          <m:t>;{s=3,4</m:t>
        </m:r>
      </m:oMath>
      <w:r w:rsidR="00A71B19" w:rsidRPr="0078199B">
        <w:rPr>
          <w:sz w:val="28"/>
        </w:rPr>
        <w:t xml:space="preserve">} </w:t>
      </w:r>
      <w:r w:rsidR="00A71B19" w:rsidRPr="0078199B">
        <w:rPr>
          <w:b/>
          <w:sz w:val="28"/>
        </w:rPr>
        <w:t xml:space="preserve"> </w:t>
      </w:r>
    </w:p>
    <w:p w:rsidR="00A71B19" w:rsidRPr="0078199B" w:rsidRDefault="00A71B19" w:rsidP="00A71B19">
      <w:pPr>
        <w:ind w:left="1416" w:hanging="1416"/>
        <w:rPr>
          <w:i/>
          <w:sz w:val="28"/>
        </w:rPr>
      </w:pPr>
    </w:p>
    <w:p w:rsidR="00A71B19" w:rsidRPr="00402DAB" w:rsidRDefault="00A71B19" w:rsidP="00A71B19">
      <w:pPr>
        <w:ind w:left="1416" w:hanging="1416"/>
      </w:pPr>
      <w:r w:rsidRPr="00402DAB">
        <w:rPr>
          <w:i/>
        </w:rPr>
        <w:t>P</w:t>
      </w:r>
      <w:r w:rsidRPr="00402DAB">
        <w:rPr>
          <w:i/>
          <w:vertAlign w:val="subscript"/>
        </w:rPr>
        <w:t>j,1,0</w:t>
      </w:r>
      <w:r w:rsidRPr="00402DAB">
        <w:t>:</w:t>
      </w:r>
      <w:r w:rsidRPr="00402DAB">
        <w:tab/>
      </w:r>
      <w:r>
        <w:t>Índice de pérdidas</w:t>
      </w:r>
      <w:r w:rsidRPr="00402DAB">
        <w:t xml:space="preserve"> de Nivel de Tensión 1 para el OR j calculadas al momento de evaluación del plan. </w:t>
      </w:r>
    </w:p>
    <w:p w:rsidR="00A71B19" w:rsidRPr="00402DAB" w:rsidRDefault="00A71B19" w:rsidP="00A71B19">
      <w:pPr>
        <w:ind w:left="1416" w:hanging="1416"/>
      </w:pPr>
    </w:p>
    <w:p w:rsidR="00A71B19" w:rsidRPr="00402DAB" w:rsidRDefault="00A71B19" w:rsidP="00A71B19">
      <w:pPr>
        <w:ind w:left="1410" w:hanging="1410"/>
      </w:pPr>
      <w:r>
        <w:rPr>
          <w:i/>
        </w:rPr>
        <w:t>s</w:t>
      </w:r>
      <w:r w:rsidRPr="00402DAB">
        <w:t xml:space="preserve">: </w:t>
      </w:r>
      <w:r w:rsidRPr="00402DAB">
        <w:tab/>
      </w:r>
      <w:r w:rsidRPr="00402DAB">
        <w:tab/>
      </w:r>
      <w:r>
        <w:t xml:space="preserve">Período de evaluación </w:t>
      </w:r>
      <w:r w:rsidRPr="00402DAB">
        <w:t>del plan de reducción de pérdidas</w:t>
      </w:r>
      <w:r w:rsidRPr="00E8683E">
        <w:t xml:space="preserve"> no técnicas</w:t>
      </w:r>
      <w:r w:rsidRPr="00402DAB">
        <w:t>.</w:t>
      </w:r>
    </w:p>
    <w:p w:rsidR="00A71B19" w:rsidRPr="00402DAB" w:rsidRDefault="00A71B19" w:rsidP="00A71B19">
      <w:pPr>
        <w:ind w:left="1410" w:hanging="1410"/>
      </w:pPr>
    </w:p>
    <w:p w:rsidR="00A71B19" w:rsidRDefault="00A71B19" w:rsidP="00A71B19">
      <w:pPr>
        <w:rPr>
          <w:i/>
          <w:vertAlign w:val="subscript"/>
        </w:rPr>
      </w:pPr>
      <w:r w:rsidRPr="00402DAB">
        <w:t>A partir del quinto período</w:t>
      </w:r>
      <w:r>
        <w:t xml:space="preserve"> de evaluación</w:t>
      </w:r>
      <w:r w:rsidRPr="00402DAB">
        <w:t xml:space="preserve"> las pérdidas reconocidas de nivel de tensión 1 serán iguales a </w:t>
      </w:r>
      <w:r w:rsidRPr="00402DAB">
        <w:rPr>
          <w:i/>
        </w:rPr>
        <w:t>P</w:t>
      </w:r>
      <w:r w:rsidRPr="00402DAB">
        <w:rPr>
          <w:i/>
          <w:vertAlign w:val="subscript"/>
        </w:rPr>
        <w:t>j,1,0</w:t>
      </w:r>
    </w:p>
    <w:p w:rsidR="002D6E5C" w:rsidRPr="001A2E92" w:rsidRDefault="002D6E5C" w:rsidP="00A71B19">
      <w:pPr>
        <w:rPr>
          <w:i/>
          <w:vertAlign w:val="subscript"/>
        </w:rPr>
      </w:pPr>
    </w:p>
    <w:p w:rsidR="00A71B19" w:rsidRDefault="00A71B19" w:rsidP="00CB2A18">
      <w:pPr>
        <w:pStyle w:val="Ttulo2"/>
        <w:spacing w:before="0" w:after="0"/>
      </w:pPr>
      <w:bookmarkStart w:id="98" w:name="_Toc280712172"/>
      <w:r w:rsidRPr="00402DAB">
        <w:t>OR con pérdidas de nivel de tensión 1 superiores a las reconocidas</w:t>
      </w:r>
      <w:bookmarkEnd w:id="98"/>
    </w:p>
    <w:p w:rsidR="00CB2A18" w:rsidRPr="00CB2A18" w:rsidRDefault="00CB2A18" w:rsidP="00CB2A18"/>
    <w:p w:rsidR="00A71B19" w:rsidRPr="00402DAB" w:rsidRDefault="00A71B19" w:rsidP="00A71B19">
      <w:r w:rsidRPr="00402DAB">
        <w:t xml:space="preserve">Para los OR cuyo índice total de pérdidas de nivel de tensión 1, calculado al momento de la evaluación del plan, sea superior al reconocido, el </w:t>
      </w:r>
      <w:r>
        <w:t>índice de pérdidas</w:t>
      </w:r>
      <w:r w:rsidRPr="00402DAB">
        <w:t xml:space="preserve"> a reconocer será determinado según l</w:t>
      </w:r>
      <w:r>
        <w:t>o</w:t>
      </w:r>
      <w:r w:rsidRPr="00402DAB">
        <w:t xml:space="preserve">s siguientes </w:t>
      </w:r>
      <w:r>
        <w:t>criterios</w:t>
      </w:r>
      <w:r w:rsidRPr="00402DAB">
        <w:t>:</w:t>
      </w:r>
    </w:p>
    <w:p w:rsidR="00A71B19" w:rsidRPr="00402DAB" w:rsidRDefault="00A71B19" w:rsidP="00A71B19"/>
    <w:p w:rsidR="00A71B19" w:rsidRPr="00402DAB" w:rsidRDefault="00A71B19" w:rsidP="00A71B19">
      <w:r w:rsidRPr="00402DAB">
        <w:t xml:space="preserve">Mientras las pérdidas del nivel de tensión 1 definidas en el plan de reducción de pérdidas </w:t>
      </w:r>
      <w:r w:rsidRPr="00E8683E">
        <w:t>no técnicas</w:t>
      </w:r>
      <w:r w:rsidRPr="00402DAB">
        <w:t xml:space="preserve"> sean superiores a las reconocidas al momento de evaluación del mismo, las pérdidas reconocidas serán iguales a las pérdidas reconocidas </w:t>
      </w:r>
      <w:r>
        <w:t xml:space="preserve">según la resolución CREG 097 de 2008 </w:t>
      </w:r>
      <w:r w:rsidRPr="00402DAB">
        <w:t>al momento de evaluación del plan, así:</w:t>
      </w:r>
    </w:p>
    <w:p w:rsidR="00A71B19" w:rsidRPr="00402DAB" w:rsidRDefault="00A71B19" w:rsidP="00A71B19"/>
    <w:p w:rsidR="00A71B19" w:rsidRPr="00402DAB" w:rsidRDefault="00822579" w:rsidP="00A71B19">
      <w:pPr>
        <w:jc w:val="center"/>
      </w:pPr>
      <m:oMath>
        <m:sSub>
          <m:sSubPr>
            <m:ctrlPr>
              <w:rPr>
                <w:rFonts w:ascii="Cambria Math" w:hAnsi="Cambria Math"/>
                <w:i/>
              </w:rPr>
            </m:ctrlPr>
          </m:sSubPr>
          <m:e>
            <m:r>
              <w:rPr>
                <w:rFonts w:ascii="Cambria Math" w:hAnsi="Cambria Math"/>
              </w:rPr>
              <m:t>P</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j,1,s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j,1,r</m:t>
            </m:r>
          </m:sub>
        </m:sSub>
        <m:r>
          <w:rPr>
            <w:rFonts w:ascii="Cambria Math" w:hAnsi="Cambria Math"/>
          </w:rPr>
          <m:t xml:space="preserve">    ;{s=n</m:t>
        </m:r>
      </m:oMath>
      <w:r w:rsidR="00A71B19" w:rsidRPr="00402DAB">
        <w:t>}</w:t>
      </w:r>
    </w:p>
    <w:p w:rsidR="00A71B19" w:rsidRPr="00402DAB" w:rsidRDefault="00A71B19" w:rsidP="00A71B19"/>
    <w:p w:rsidR="00A71B19" w:rsidRPr="00402DAB" w:rsidRDefault="00A71B19" w:rsidP="00A71B19">
      <w:pPr>
        <w:ind w:left="1416" w:hanging="1416"/>
      </w:pPr>
      <w:r w:rsidRPr="00402DAB">
        <w:rPr>
          <w:i/>
        </w:rPr>
        <w:t>P</w:t>
      </w:r>
      <w:r w:rsidRPr="00402DAB">
        <w:rPr>
          <w:i/>
          <w:vertAlign w:val="subscript"/>
        </w:rPr>
        <w:t>j,1,t</w:t>
      </w:r>
      <w:r w:rsidRPr="00402DAB">
        <w:t>:</w:t>
      </w:r>
      <w:r w:rsidRPr="00402DAB">
        <w:tab/>
      </w:r>
      <w:r>
        <w:t>Índice de pérdidas</w:t>
      </w:r>
      <w:r w:rsidRPr="00402DAB">
        <w:t xml:space="preserve"> de nivel de tensión 1 reconocidas para el OR j, durante el </w:t>
      </w:r>
      <w:r>
        <w:t>período</w:t>
      </w:r>
      <w:r w:rsidRPr="00402DAB">
        <w:t xml:space="preserve"> t.  (t desde 0 hasta n)</w:t>
      </w:r>
    </w:p>
    <w:p w:rsidR="00A71B19" w:rsidRPr="00402DAB" w:rsidRDefault="00A71B19" w:rsidP="00A71B19">
      <w:pPr>
        <w:ind w:left="1416" w:hanging="1416"/>
      </w:pPr>
    </w:p>
    <w:p w:rsidR="00A71B19" w:rsidRPr="00402DAB" w:rsidRDefault="00A71B19" w:rsidP="00A71B19">
      <w:pPr>
        <w:ind w:left="1416" w:hanging="1416"/>
      </w:pPr>
      <w:r w:rsidRPr="00402DAB">
        <w:t xml:space="preserve">n:  </w:t>
      </w:r>
      <w:r w:rsidRPr="00402DAB">
        <w:tab/>
        <w:t xml:space="preserve">Período hasta el cual el índice de pérdidas de nivel de tensión 1 reconocido es inferior al calculado con base en el </w:t>
      </w:r>
      <w:r>
        <w:t xml:space="preserve">numeral </w:t>
      </w:r>
      <w:r w:rsidR="00822579">
        <w:fldChar w:fldCharType="begin"/>
      </w:r>
      <w:r>
        <w:instrText xml:space="preserve"> REF _Ref266433168 \r \h </w:instrText>
      </w:r>
      <w:r w:rsidR="00822579">
        <w:fldChar w:fldCharType="separate"/>
      </w:r>
      <w:r w:rsidR="00322DB3">
        <w:t>4.1.2</w:t>
      </w:r>
      <w:r w:rsidR="00822579">
        <w:fldChar w:fldCharType="end"/>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 xml:space="preserve"> de la presente resolución</w:t>
      </w:r>
      <w:r w:rsidRPr="00402DAB">
        <w:t xml:space="preserve">.  (con </w:t>
      </w:r>
      <w:r w:rsidRPr="00402DAB">
        <w:rPr>
          <w:i/>
        </w:rPr>
        <w:t>n</w:t>
      </w:r>
      <w:r w:rsidRPr="00402DAB">
        <w:t xml:space="preserve"> entre 0 y 10) </w:t>
      </w:r>
    </w:p>
    <w:p w:rsidR="00A71B19" w:rsidRPr="00402DAB" w:rsidRDefault="00A71B19" w:rsidP="00A71B19">
      <w:pPr>
        <w:ind w:left="1416" w:hanging="1416"/>
      </w:pPr>
    </w:p>
    <w:p w:rsidR="00A71B19" w:rsidRPr="00402DAB" w:rsidRDefault="00A71B19" w:rsidP="00A71B19">
      <w:pPr>
        <w:ind w:left="1416" w:hanging="1416"/>
      </w:pPr>
      <w:r w:rsidRPr="00402DAB">
        <w:rPr>
          <w:i/>
        </w:rPr>
        <w:t>P</w:t>
      </w:r>
      <w:r w:rsidRPr="00402DAB">
        <w:rPr>
          <w:i/>
          <w:vertAlign w:val="subscript"/>
        </w:rPr>
        <w:t>j,1,r</w:t>
      </w:r>
      <w:r w:rsidRPr="00402DAB">
        <w:t xml:space="preserve">: </w:t>
      </w:r>
      <w:r w:rsidRPr="00402DAB">
        <w:tab/>
      </w:r>
      <w:r>
        <w:t>Índice de pérdidas</w:t>
      </w:r>
      <w:r w:rsidRPr="00402DAB">
        <w:t xml:space="preserve"> del Nivel de Tensión 1 reconocidas para cada OR. Valor </w:t>
      </w:r>
      <w:r w:rsidRPr="00402DAB">
        <w:tab/>
        <w:t xml:space="preserve">incluido en el documento de soporte de la </w:t>
      </w:r>
      <w:r>
        <w:t>r</w:t>
      </w:r>
      <w:r w:rsidRPr="00402DAB">
        <w:t>esolución de aprobación de cargos, aplicando la metodología de la Resolución CREG 097 de 2008.</w:t>
      </w:r>
    </w:p>
    <w:p w:rsidR="00A71B19" w:rsidRPr="00402DAB" w:rsidRDefault="00A71B19" w:rsidP="00A71B19"/>
    <w:p w:rsidR="00A71B19" w:rsidRDefault="00A71B19" w:rsidP="00A71B19">
      <w:r w:rsidRPr="00402DAB">
        <w:t xml:space="preserve">A partir del período siguiente a </w:t>
      </w:r>
      <w:r w:rsidRPr="00402DAB">
        <w:rPr>
          <w:i/>
        </w:rPr>
        <w:t>n</w:t>
      </w:r>
      <w:r w:rsidRPr="00402DAB">
        <w:t xml:space="preserve"> </w:t>
      </w:r>
      <w:r>
        <w:t xml:space="preserve">y hasta la finalización del plan </w:t>
      </w:r>
      <w:r w:rsidRPr="00402DAB">
        <w:t xml:space="preserve">el índice de pérdidas reconocidas </w:t>
      </w:r>
      <w:r>
        <w:t>corresponderá al valor de la meta establecida por el OR.</w:t>
      </w:r>
    </w:p>
    <w:p w:rsidR="00A71B19" w:rsidRDefault="00A71B19" w:rsidP="00A71B19"/>
    <w:p w:rsidR="00A71B19" w:rsidRDefault="00A71B19" w:rsidP="00A71B19">
      <w:pPr>
        <w:rPr>
          <w:i/>
        </w:rPr>
      </w:pPr>
      <w:r w:rsidRPr="00402DAB">
        <w:t xml:space="preserve">A partir de la finalización del plan, las pérdidas reconocidas de nivel de tensión 1 serán iguales </w:t>
      </w:r>
      <w:r w:rsidRPr="00DB4D7D">
        <w:t xml:space="preserve">al menor valor entre el índice de pérdidas reconocidas del nivel de tensión 1 (Pj,1) vigente para el OR al momento de presentación del plan de reducción de pérdidas </w:t>
      </w:r>
      <w:r w:rsidRPr="00E8683E">
        <w:t>no técnicas</w:t>
      </w:r>
      <w:r w:rsidRPr="00DB4D7D">
        <w:t xml:space="preserve"> y el </w:t>
      </w:r>
      <w:r w:rsidR="00B03460">
        <w:t xml:space="preserve">mayor valor de </w:t>
      </w:r>
      <w:r>
        <w:t xml:space="preserve">los valores </w:t>
      </w:r>
      <w:r w:rsidRPr="00402DAB">
        <w:rPr>
          <w:i/>
        </w:rPr>
        <w:t>P</w:t>
      </w:r>
      <w:r w:rsidRPr="00402DAB">
        <w:rPr>
          <w:i/>
          <w:vertAlign w:val="subscript"/>
        </w:rPr>
        <w:t>j,1,0</w:t>
      </w:r>
      <w:r>
        <w:rPr>
          <w:i/>
          <w:vertAlign w:val="subscript"/>
        </w:rPr>
        <w:t xml:space="preserve"> </w:t>
      </w:r>
      <w:r w:rsidRPr="00402DAB">
        <w:t>calculado</w:t>
      </w:r>
      <w:r>
        <w:t>s</w:t>
      </w:r>
      <w:r w:rsidRPr="00402DAB">
        <w:t xml:space="preserve"> para los OR </w:t>
      </w:r>
      <w:r>
        <w:t xml:space="preserve">que cumplan la condición del numeral </w:t>
      </w:r>
      <w:r w:rsidR="00822579">
        <w:fldChar w:fldCharType="begin"/>
      </w:r>
      <w:r>
        <w:instrText xml:space="preserve"> REF _Ref280111123 \r \h </w:instrText>
      </w:r>
      <w:r w:rsidR="00822579">
        <w:fldChar w:fldCharType="separate"/>
      </w:r>
      <w:r w:rsidR="00322DB3">
        <w:t>5.1</w:t>
      </w:r>
      <w:r w:rsidR="00822579">
        <w:fldChar w:fldCharType="end"/>
      </w:r>
      <w:r>
        <w:t xml:space="preserve"> del presente anexo, calculados </w:t>
      </w:r>
      <w:r w:rsidRPr="00402DAB">
        <w:t>al momento de la evaluación de los planes</w:t>
      </w:r>
      <w:r w:rsidRPr="00C93ABB">
        <w:rPr>
          <w:i/>
        </w:rPr>
        <w:t>.</w:t>
      </w:r>
    </w:p>
    <w:p w:rsidR="00A71B19" w:rsidRDefault="00A71B19" w:rsidP="00A71B19"/>
    <w:p w:rsidR="00080B91" w:rsidRDefault="00080B91" w:rsidP="00080B91">
      <w:pPr>
        <w:rPr>
          <w:b/>
        </w:rPr>
      </w:pPr>
    </w:p>
    <w:p w:rsidR="00080B91" w:rsidRPr="00555E6A" w:rsidRDefault="00080B91" w:rsidP="00080B91">
      <w:pPr>
        <w:rPr>
          <w:rFonts w:cs="Arial"/>
          <w:b/>
          <w:spacing w:val="-3"/>
        </w:rPr>
      </w:pPr>
      <w:r w:rsidRPr="00555E6A">
        <w:rPr>
          <w:b/>
        </w:rPr>
        <w:t>Firma del proyecto</w:t>
      </w:r>
    </w:p>
    <w:p w:rsidR="00A71B19" w:rsidRDefault="00A71B19" w:rsidP="00A71B19">
      <w:pPr>
        <w:jc w:val="left"/>
      </w:pPr>
      <w:r>
        <w:br w:type="page"/>
      </w:r>
    </w:p>
    <w:p w:rsidR="00A71B19" w:rsidRDefault="00A71B19" w:rsidP="00A71B19">
      <w:pPr>
        <w:jc w:val="left"/>
        <w:rPr>
          <w:rFonts w:cs="Arial"/>
          <w:b/>
          <w:bCs/>
          <w:spacing w:val="-4"/>
        </w:rPr>
      </w:pPr>
    </w:p>
    <w:p w:rsidR="00A71B19" w:rsidRPr="00402DAB" w:rsidRDefault="00A71B19" w:rsidP="00A71B19">
      <w:pPr>
        <w:pStyle w:val="Ttulo1"/>
      </w:pPr>
      <w:bookmarkStart w:id="99" w:name="_Toc259626856"/>
      <w:bookmarkStart w:id="100" w:name="_Ref259802685"/>
      <w:bookmarkStart w:id="101" w:name="_Ref276128312"/>
      <w:bookmarkStart w:id="102" w:name="_Toc280712173"/>
      <w:r w:rsidRPr="00402DAB">
        <w:t>EVALUACIÓN DE</w:t>
      </w:r>
      <w:r>
        <w:t>L</w:t>
      </w:r>
      <w:r w:rsidRPr="00402DAB">
        <w:t xml:space="preserve"> CUMPLIMIENTO DEL PLAN</w:t>
      </w:r>
      <w:bookmarkEnd w:id="99"/>
      <w:bookmarkEnd w:id="100"/>
      <w:bookmarkEnd w:id="101"/>
      <w:bookmarkEnd w:id="102"/>
      <w:r w:rsidRPr="00402DAB">
        <w:t xml:space="preserve"> </w:t>
      </w:r>
    </w:p>
    <w:p w:rsidR="00A71B19" w:rsidRDefault="00A71B19" w:rsidP="00A71B19">
      <w:pPr>
        <w:pStyle w:val="Ttulo2"/>
      </w:pPr>
      <w:bookmarkStart w:id="103" w:name="_Toc280712174"/>
      <w:r>
        <w:t>Procedimiento de evaluación.</w:t>
      </w:r>
      <w:bookmarkEnd w:id="103"/>
    </w:p>
    <w:p w:rsidR="00A71B19" w:rsidRPr="00402DAB" w:rsidRDefault="00A71B19" w:rsidP="00A71B19">
      <w:r w:rsidRPr="00402DAB">
        <w:t>La evaluación de cumplimiento del plan consiste en el cálculo de los índices de pérdidas, su divulgación y la aplicación de</w:t>
      </w:r>
      <w:r>
        <w:t xml:space="preserve"> </w:t>
      </w:r>
      <w:r w:rsidRPr="00402DAB">
        <w:t>l</w:t>
      </w:r>
      <w:r>
        <w:t xml:space="preserve">a </w:t>
      </w:r>
      <w:r w:rsidRPr="00402DAB">
        <w:t xml:space="preserve">siguiente </w:t>
      </w:r>
      <w:r>
        <w:t>metodología</w:t>
      </w:r>
      <w:r w:rsidRPr="00402DAB">
        <w:t>:</w:t>
      </w:r>
    </w:p>
    <w:p w:rsidR="00A71B19" w:rsidRPr="00402DAB" w:rsidRDefault="00A71B19" w:rsidP="00A71B19"/>
    <w:p w:rsidR="00A71B19" w:rsidRPr="00402DAB" w:rsidRDefault="00A71B19" w:rsidP="00A71B19">
      <w:pPr>
        <w:pStyle w:val="Prrafodelista"/>
        <w:numPr>
          <w:ilvl w:val="0"/>
          <w:numId w:val="3"/>
        </w:numPr>
        <w:spacing w:before="120"/>
        <w:ind w:left="426" w:hanging="426"/>
      </w:pPr>
      <w:r w:rsidRPr="00402DAB">
        <w:t xml:space="preserve">El LAC calculará, para cada OR, </w:t>
      </w:r>
      <w:r>
        <w:t xml:space="preserve">los </w:t>
      </w:r>
      <w:r w:rsidRPr="00402DAB">
        <w:t>índice</w:t>
      </w:r>
      <w:r>
        <w:t>s</w:t>
      </w:r>
      <w:r w:rsidRPr="00402DAB">
        <w:t xml:space="preserve"> de pérdidas </w:t>
      </w:r>
      <w:r>
        <w:t xml:space="preserve">totales, </w:t>
      </w:r>
      <w:r w:rsidRPr="00593939">
        <w:rPr>
          <w:i/>
        </w:rPr>
        <w:t>IPT</w:t>
      </w:r>
      <w:r w:rsidRPr="00593939">
        <w:rPr>
          <w:i/>
          <w:vertAlign w:val="subscript"/>
        </w:rPr>
        <w:t>j,</w:t>
      </w:r>
      <w:r>
        <w:rPr>
          <w:i/>
          <w:vertAlign w:val="subscript"/>
        </w:rPr>
        <w:t>s</w:t>
      </w:r>
      <w:r w:rsidRPr="00903A8B">
        <w:rPr>
          <w:i/>
        </w:rPr>
        <w:t>,</w:t>
      </w:r>
      <w:r>
        <w:t xml:space="preserve"> </w:t>
      </w:r>
      <w:r w:rsidRPr="00402DAB">
        <w:t xml:space="preserve">conforme a lo establecido en el </w:t>
      </w:r>
      <w:fldSimple w:instr=" REF _Ref263330202 \r \h  \* MERGEFORMAT ">
        <w:r w:rsidR="00322DB3">
          <w:t>ANEXO 4</w:t>
        </w:r>
      </w:fldSimple>
      <w:r w:rsidRPr="00260039">
        <w:t xml:space="preserve"> de la presente resolución, dentro de los primeros cinco (5) días hábiles </w:t>
      </w:r>
      <w:r>
        <w:t xml:space="preserve">posteriores a la finalización del </w:t>
      </w:r>
      <w:r w:rsidRPr="00260039">
        <w:t>período de evaluación. Los resultados serán publicados por el LAC, junto con las metas aprobadas para cada OR, en su</w:t>
      </w:r>
      <w:r w:rsidRPr="00402DAB">
        <w:t xml:space="preserve"> página web al siguiente día de su cálculo.</w:t>
      </w:r>
    </w:p>
    <w:p w:rsidR="00A71B19" w:rsidRPr="00402DAB" w:rsidRDefault="00A71B19" w:rsidP="00A71B19">
      <w:pPr>
        <w:ind w:left="426" w:hanging="426"/>
      </w:pPr>
    </w:p>
    <w:p w:rsidR="00A71B19" w:rsidRPr="00402DAB" w:rsidRDefault="00A71B19" w:rsidP="00A71B19">
      <w:pPr>
        <w:pStyle w:val="Prrafodelista"/>
        <w:numPr>
          <w:ilvl w:val="0"/>
          <w:numId w:val="3"/>
        </w:numPr>
        <w:spacing w:before="120"/>
        <w:ind w:left="426" w:hanging="426"/>
      </w:pPr>
      <w:r w:rsidRPr="00402DAB">
        <w:t xml:space="preserve">Los OR tendrán un plazo de tres (3) días hábiles a partir de la publicación de los resultados para presentar sus observaciones sobre éstos. En este caso el OR deberá enviar al LAC y a la Superintendencia de Servicios Públicos Domiciliarios las pruebas que demuestren los posibles errores de cálculo o que la información utilizada no corresponda con la realidad. </w:t>
      </w:r>
    </w:p>
    <w:p w:rsidR="00A71B19" w:rsidRPr="00402DAB" w:rsidRDefault="00A71B19" w:rsidP="00A71B19">
      <w:pPr>
        <w:ind w:left="426" w:hanging="426"/>
      </w:pPr>
    </w:p>
    <w:p w:rsidR="00A71B19" w:rsidRPr="00402DAB" w:rsidRDefault="00A71B19" w:rsidP="00A71B19">
      <w:pPr>
        <w:ind w:left="426"/>
      </w:pPr>
      <w:r w:rsidRPr="00402DAB">
        <w:t>Cuando un OR presente objeciones al cálculo, el LAC resolverá la solicitud en el término de tres (3) días hábiles siguientes al de su presentación.</w:t>
      </w:r>
    </w:p>
    <w:p w:rsidR="00A71B19" w:rsidRPr="00402DAB" w:rsidRDefault="00A71B19" w:rsidP="00A71B19">
      <w:pPr>
        <w:ind w:left="426"/>
      </w:pPr>
    </w:p>
    <w:p w:rsidR="00A71B19" w:rsidRPr="00402DAB" w:rsidRDefault="00A71B19" w:rsidP="00A71B19">
      <w:pPr>
        <w:ind w:left="426"/>
      </w:pPr>
      <w:r>
        <w:t>El duodécimo (12)</w:t>
      </w:r>
      <w:r w:rsidRPr="00402DAB">
        <w:t xml:space="preserve"> día hábil del mismo mes, el LAC publicar</w:t>
      </w:r>
      <w:r>
        <w:t>á</w:t>
      </w:r>
      <w:r w:rsidRPr="00402DAB">
        <w:t xml:space="preserve"> los resultados finales de cálculo teniendo en cuenta todas las aclaraciones que se presenten. </w:t>
      </w:r>
    </w:p>
    <w:p w:rsidR="00A71B19" w:rsidRPr="00402DAB" w:rsidRDefault="00A71B19" w:rsidP="00A71B19">
      <w:pPr>
        <w:ind w:left="426" w:hanging="426"/>
      </w:pPr>
    </w:p>
    <w:p w:rsidR="00A71B19" w:rsidRPr="00402DAB" w:rsidRDefault="00A71B19" w:rsidP="00A71B19">
      <w:pPr>
        <w:pStyle w:val="Prrafodelista"/>
        <w:numPr>
          <w:ilvl w:val="0"/>
          <w:numId w:val="3"/>
        </w:numPr>
        <w:spacing w:before="120"/>
        <w:ind w:left="426" w:hanging="426"/>
      </w:pPr>
      <w:r w:rsidRPr="00402DAB">
        <w:t xml:space="preserve">Si un OR cumple con las metas, se mantendrá la remuneración aprobada para el siguiente período de evaluación.  </w:t>
      </w:r>
    </w:p>
    <w:p w:rsidR="00A71B19" w:rsidRPr="00402DAB" w:rsidRDefault="00A71B19" w:rsidP="00A71B19">
      <w:pPr>
        <w:ind w:left="426" w:hanging="426"/>
      </w:pPr>
    </w:p>
    <w:p w:rsidR="00A71B19" w:rsidRPr="00402DAB" w:rsidRDefault="00A71B19" w:rsidP="00A71B19">
      <w:pPr>
        <w:pStyle w:val="Prrafodelista"/>
        <w:numPr>
          <w:ilvl w:val="0"/>
          <w:numId w:val="3"/>
        </w:numPr>
        <w:spacing w:before="120"/>
        <w:ind w:left="426" w:hanging="426"/>
      </w:pPr>
      <w:bookmarkStart w:id="104" w:name="_Ref276128273"/>
      <w:r w:rsidRPr="00402DAB">
        <w:t xml:space="preserve">Un OR incumple la ejecución del plan cuando </w:t>
      </w:r>
      <w:r>
        <w:t xml:space="preserve">la variable </w:t>
      </w:r>
      <w:r w:rsidRPr="00593939">
        <w:rPr>
          <w:i/>
        </w:rPr>
        <w:t>IPT</w:t>
      </w:r>
      <w:r w:rsidRPr="00593939">
        <w:rPr>
          <w:i/>
          <w:vertAlign w:val="subscript"/>
        </w:rPr>
        <w:t>j,</w:t>
      </w:r>
      <w:r>
        <w:rPr>
          <w:i/>
          <w:vertAlign w:val="subscript"/>
        </w:rPr>
        <w:t>s</w:t>
      </w:r>
      <w:r w:rsidRPr="00402DAB">
        <w:t xml:space="preserve"> </w:t>
      </w:r>
      <w:r>
        <w:t xml:space="preserve">se encuentra por encima </w:t>
      </w:r>
      <w:r w:rsidRPr="00EA4DAC">
        <w:rPr>
          <w:i/>
        </w:rPr>
        <w:t>IPTS</w:t>
      </w:r>
      <w:r w:rsidRPr="00EA4DAC">
        <w:rPr>
          <w:i/>
          <w:vertAlign w:val="subscript"/>
        </w:rPr>
        <w:t>j,s</w:t>
      </w:r>
      <w:r>
        <w:t xml:space="preserve"> mas el factor de tolerancia </w:t>
      </w:r>
      <w:bookmarkEnd w:id="104"/>
      <w:r>
        <w:t>aprobado al OR j, con base en lo establecido en la siguiente tabla:</w:t>
      </w:r>
    </w:p>
    <w:p w:rsidR="00A71B19" w:rsidRPr="00E569F0" w:rsidRDefault="00A71B19" w:rsidP="00A71B19">
      <w:pPr>
        <w:ind w:left="426" w:hanging="426"/>
        <w:rPr>
          <w:lang w:val="es-CO"/>
        </w:rPr>
      </w:pPr>
    </w:p>
    <w:tbl>
      <w:tblPr>
        <w:tblStyle w:val="Tablaconcuadrcula"/>
        <w:tblW w:w="0" w:type="auto"/>
        <w:tblInd w:w="1101" w:type="dxa"/>
        <w:tblLook w:val="04A0"/>
      </w:tblPr>
      <w:tblGrid>
        <w:gridCol w:w="3898"/>
        <w:gridCol w:w="2764"/>
      </w:tblGrid>
      <w:tr w:rsidR="00A71B19" w:rsidTr="00FA1C52">
        <w:trPr>
          <w:trHeight w:val="451"/>
        </w:trPr>
        <w:tc>
          <w:tcPr>
            <w:tcW w:w="3898" w:type="dxa"/>
            <w:vAlign w:val="center"/>
          </w:tcPr>
          <w:p w:rsidR="00A71B19" w:rsidRPr="00850308" w:rsidRDefault="00A71B19" w:rsidP="00FA1C52">
            <w:pPr>
              <w:jc w:val="center"/>
              <w:rPr>
                <w:b/>
              </w:rPr>
            </w:pPr>
            <w:r w:rsidRPr="00850308">
              <w:rPr>
                <w:b/>
              </w:rPr>
              <w:t>Factor de costo</w:t>
            </w:r>
          </w:p>
        </w:tc>
        <w:tc>
          <w:tcPr>
            <w:tcW w:w="2764" w:type="dxa"/>
            <w:vAlign w:val="center"/>
          </w:tcPr>
          <w:p w:rsidR="00A71B19" w:rsidRPr="00850308" w:rsidRDefault="00A71B19" w:rsidP="00FA1C52">
            <w:pPr>
              <w:jc w:val="center"/>
              <w:rPr>
                <w:b/>
              </w:rPr>
            </w:pPr>
            <w:r w:rsidRPr="00850308">
              <w:rPr>
                <w:b/>
              </w:rPr>
              <w:t>Factor de tolerancia</w:t>
            </w:r>
          </w:p>
        </w:tc>
      </w:tr>
      <w:tr w:rsidR="00A71B19" w:rsidTr="00FA1C52">
        <w:tc>
          <w:tcPr>
            <w:tcW w:w="3898" w:type="dxa"/>
          </w:tcPr>
          <w:p w:rsidR="00A71B19" w:rsidRDefault="00A71B19" w:rsidP="00FA1C52">
            <w:r>
              <w:t xml:space="preserve">0,9*CPCE &lt; CPOR </w:t>
            </w:r>
          </w:p>
        </w:tc>
        <w:tc>
          <w:tcPr>
            <w:tcW w:w="2764" w:type="dxa"/>
          </w:tcPr>
          <w:p w:rsidR="00A71B19" w:rsidRDefault="00A71B19" w:rsidP="00FA1C52">
            <w:pPr>
              <w:jc w:val="center"/>
            </w:pPr>
            <w:r>
              <w:t>0,2</w:t>
            </w:r>
          </w:p>
        </w:tc>
      </w:tr>
      <w:tr w:rsidR="00A71B19" w:rsidTr="00FA1C52">
        <w:tc>
          <w:tcPr>
            <w:tcW w:w="3898" w:type="dxa"/>
          </w:tcPr>
          <w:p w:rsidR="00A71B19" w:rsidRDefault="00A71B19" w:rsidP="00FA1C52">
            <w:r>
              <w:t>0,8*CPCE &lt; CPOR ≤ 0,9*CPCE</w:t>
            </w:r>
          </w:p>
        </w:tc>
        <w:tc>
          <w:tcPr>
            <w:tcW w:w="2764" w:type="dxa"/>
          </w:tcPr>
          <w:p w:rsidR="00A71B19" w:rsidRDefault="00A71B19" w:rsidP="00FA1C52">
            <w:pPr>
              <w:jc w:val="center"/>
            </w:pPr>
            <w:r>
              <w:t>0,4</w:t>
            </w:r>
          </w:p>
        </w:tc>
      </w:tr>
      <w:tr w:rsidR="00A71B19" w:rsidTr="00FA1C52">
        <w:tc>
          <w:tcPr>
            <w:tcW w:w="3898" w:type="dxa"/>
          </w:tcPr>
          <w:p w:rsidR="00A71B19" w:rsidRDefault="00A71B19" w:rsidP="00FA1C52">
            <w:r>
              <w:t>0,6*CPCE &lt; CPOR ≤ 0,8*CPCE</w:t>
            </w:r>
          </w:p>
        </w:tc>
        <w:tc>
          <w:tcPr>
            <w:tcW w:w="2764" w:type="dxa"/>
          </w:tcPr>
          <w:p w:rsidR="00A71B19" w:rsidRDefault="00A71B19" w:rsidP="00FA1C52">
            <w:pPr>
              <w:jc w:val="center"/>
            </w:pPr>
            <w:r>
              <w:t>0,6</w:t>
            </w:r>
          </w:p>
        </w:tc>
      </w:tr>
      <w:tr w:rsidR="00A71B19" w:rsidTr="00FA1C52">
        <w:tc>
          <w:tcPr>
            <w:tcW w:w="3898" w:type="dxa"/>
          </w:tcPr>
          <w:p w:rsidR="00A71B19" w:rsidRDefault="00A71B19" w:rsidP="00FA1C52">
            <w:r>
              <w:t>CPOR &lt; 0,6*CPCE</w:t>
            </w:r>
          </w:p>
        </w:tc>
        <w:tc>
          <w:tcPr>
            <w:tcW w:w="2764" w:type="dxa"/>
          </w:tcPr>
          <w:p w:rsidR="00A71B19" w:rsidRDefault="00A71B19" w:rsidP="00FA1C52">
            <w:pPr>
              <w:jc w:val="center"/>
            </w:pPr>
            <w:r>
              <w:t>0,8</w:t>
            </w:r>
          </w:p>
        </w:tc>
      </w:tr>
    </w:tbl>
    <w:p w:rsidR="00A71B19" w:rsidRDefault="00A71B19" w:rsidP="00A71B19">
      <w:pPr>
        <w:ind w:left="426"/>
      </w:pPr>
    </w:p>
    <w:p w:rsidR="00A71B19" w:rsidRDefault="00A71B19" w:rsidP="00A71B19">
      <w:pPr>
        <w:ind w:left="426"/>
      </w:pPr>
      <w:r w:rsidRPr="00402DAB">
        <w:t xml:space="preserve">Cuando un OR haya incumplido la ejecución del plan durante dos </w:t>
      </w:r>
      <w:r>
        <w:t>período</w:t>
      </w:r>
      <w:r w:rsidRPr="00402DAB">
        <w:t xml:space="preserve">s de evaluación consecutivos, </w:t>
      </w:r>
      <w:r>
        <w:t>se suspenderá la remuneración del plan al OR.</w:t>
      </w:r>
    </w:p>
    <w:p w:rsidR="00A71B19" w:rsidRDefault="00A71B19" w:rsidP="00A71B19">
      <w:pPr>
        <w:ind w:left="426"/>
      </w:pPr>
    </w:p>
    <w:p w:rsidR="00A71B19" w:rsidRPr="00402DAB" w:rsidRDefault="00A71B19" w:rsidP="00A71B19">
      <w:pPr>
        <w:ind w:left="426"/>
      </w:pPr>
      <w:r w:rsidRPr="00402DAB">
        <w:t xml:space="preserve">La suspensión de la remuneración del plan de reducción de pérdidas </w:t>
      </w:r>
      <w:r w:rsidRPr="00E8683E">
        <w:t>no técnicas</w:t>
      </w:r>
      <w:r w:rsidRPr="00402DAB">
        <w:t xml:space="preserve"> a un OR no implica la suspensión de la ejecución del Plan y el LAC continuará calculando los índices que le correspondan.</w:t>
      </w:r>
    </w:p>
    <w:p w:rsidR="00A71B19" w:rsidRPr="00402DAB" w:rsidRDefault="00A71B19" w:rsidP="00A71B19">
      <w:pPr>
        <w:ind w:left="426" w:hanging="426"/>
      </w:pPr>
    </w:p>
    <w:p w:rsidR="00A71B19" w:rsidRPr="00402DAB" w:rsidRDefault="00A71B19" w:rsidP="00A71B19">
      <w:pPr>
        <w:ind w:left="426"/>
      </w:pPr>
      <w:r w:rsidRPr="007E6DA4">
        <w:t xml:space="preserve">Cuando el incumplimiento ocurra en el décimo período de evaluación, el LAC calculará el </w:t>
      </w:r>
      <w:r w:rsidRPr="007E6DA4">
        <w:rPr>
          <w:i/>
        </w:rPr>
        <w:t>IPT</w:t>
      </w:r>
      <w:r w:rsidRPr="007E6DA4">
        <w:rPr>
          <w:i/>
          <w:vertAlign w:val="subscript"/>
        </w:rPr>
        <w:t>j,s</w:t>
      </w:r>
      <w:r w:rsidRPr="007E6DA4">
        <w:t xml:space="preserve"> para el siguiente período de evaluación. Si el índice </w:t>
      </w:r>
      <w:r w:rsidRPr="007E6DA4">
        <w:rPr>
          <w:i/>
        </w:rPr>
        <w:t>IPT</w:t>
      </w:r>
      <w:r w:rsidRPr="007E6DA4">
        <w:rPr>
          <w:i/>
          <w:vertAlign w:val="subscript"/>
        </w:rPr>
        <w:t>j,s</w:t>
      </w:r>
      <w:r w:rsidRPr="007E6DA4">
        <w:t xml:space="preserve"> del undécimo período de evaluación no cumple con la meta establecida para el décimo período de evaluación, el OR devolverá los recursos recibidos durante los períodos de evaluación 9 y 10, acorde con lo establecido en el </w:t>
      </w:r>
      <w:r w:rsidR="00822579">
        <w:fldChar w:fldCharType="begin"/>
      </w:r>
      <w:r w:rsidR="00BE232F">
        <w:instrText xml:space="preserve"> REF _Ref280342893 \r \h </w:instrText>
      </w:r>
      <w:r w:rsidR="00822579">
        <w:fldChar w:fldCharType="separate"/>
      </w:r>
      <w:r w:rsidR="00322DB3">
        <w:t>Artículo 13</w:t>
      </w:r>
      <w:r w:rsidR="00822579">
        <w:fldChar w:fldCharType="end"/>
      </w:r>
      <w:r w:rsidRPr="007E6DA4">
        <w:t xml:space="preserve"> de la presente resolución.</w:t>
      </w:r>
    </w:p>
    <w:p w:rsidR="00A71B19" w:rsidRPr="00402DAB" w:rsidRDefault="00A71B19" w:rsidP="00A71B19">
      <w:pPr>
        <w:ind w:left="426"/>
      </w:pPr>
    </w:p>
    <w:p w:rsidR="00A71B19" w:rsidRPr="00F03868" w:rsidRDefault="00A71B19" w:rsidP="00A71B19">
      <w:pPr>
        <w:spacing w:before="120"/>
        <w:ind w:left="426"/>
      </w:pPr>
      <w:r w:rsidRPr="00402DAB">
        <w:t xml:space="preserve">En caso de que un mismo OR infrinja nuevamente el cumplimiento de las metas será sujeto de </w:t>
      </w:r>
      <w:r>
        <w:t xml:space="preserve">cancelación </w:t>
      </w:r>
      <w:r w:rsidRPr="00402DAB">
        <w:t>del Plan</w:t>
      </w:r>
      <w:r w:rsidRPr="008A5756">
        <w:t xml:space="preserve"> </w:t>
      </w:r>
      <w:r w:rsidRPr="00F03868">
        <w:t xml:space="preserve">y el OR deberá devolver los ingresos recibidos, conforme a lo establecido en el </w:t>
      </w:r>
      <w:r w:rsidR="00822579">
        <w:fldChar w:fldCharType="begin"/>
      </w:r>
      <w:r w:rsidR="005038F0">
        <w:instrText xml:space="preserve"> REF _Ref280342893 \r \h </w:instrText>
      </w:r>
      <w:r w:rsidR="00822579">
        <w:fldChar w:fldCharType="separate"/>
      </w:r>
      <w:r w:rsidR="00322DB3">
        <w:t>Artículo 13</w:t>
      </w:r>
      <w:r w:rsidR="00822579">
        <w:fldChar w:fldCharType="end"/>
      </w:r>
      <w:r w:rsidR="005038F0">
        <w:t xml:space="preserve"> y el </w:t>
      </w:r>
      <w:r w:rsidR="00822579">
        <w:fldChar w:fldCharType="begin"/>
      </w:r>
      <w:r w:rsidR="005038F0">
        <w:instrText xml:space="preserve"> REF _Ref280704303 \r \h </w:instrText>
      </w:r>
      <w:r w:rsidR="00822579">
        <w:fldChar w:fldCharType="separate"/>
      </w:r>
      <w:r w:rsidR="00322DB3">
        <w:t>Artículo 14</w:t>
      </w:r>
      <w:r w:rsidR="00822579">
        <w:fldChar w:fldCharType="end"/>
      </w:r>
      <w:r w:rsidRPr="00F03868">
        <w:t xml:space="preserve"> de la presente resolución</w:t>
      </w:r>
      <w:r w:rsidR="005038F0">
        <w:t xml:space="preserve"> según corresponda</w:t>
      </w:r>
      <w:r w:rsidRPr="00F03868">
        <w:t>.</w:t>
      </w:r>
    </w:p>
    <w:p w:rsidR="00A71B19" w:rsidRPr="00402DAB" w:rsidRDefault="00A71B19" w:rsidP="00A71B19">
      <w:pPr>
        <w:ind w:left="426" w:hanging="426"/>
      </w:pPr>
      <w:r w:rsidRPr="00402DAB">
        <w:t xml:space="preserve">  </w:t>
      </w:r>
    </w:p>
    <w:p w:rsidR="00A71B19" w:rsidRDefault="00A71B19" w:rsidP="00A71B19">
      <w:pPr>
        <w:pStyle w:val="Prrafodelista"/>
        <w:numPr>
          <w:ilvl w:val="0"/>
          <w:numId w:val="3"/>
        </w:numPr>
        <w:spacing w:before="120"/>
        <w:ind w:left="426" w:hanging="426"/>
      </w:pPr>
      <w:r w:rsidRPr="00F03868">
        <w:t xml:space="preserve">Si al finalizar el período de evaluación siguiente al de la suspensión de la remuneración se encuentra que el OR no cumple con la meta aprobada para ese período, se cancelará la ejecución del plan y el OR deberá devolver los ingresos recibidos, conforme a lo establecido en el </w:t>
      </w:r>
      <w:r w:rsidR="00822579">
        <w:fldChar w:fldCharType="begin"/>
      </w:r>
      <w:r w:rsidR="005038F0">
        <w:instrText xml:space="preserve"> REF _Ref280342893 \r \h </w:instrText>
      </w:r>
      <w:r w:rsidR="00822579">
        <w:fldChar w:fldCharType="separate"/>
      </w:r>
      <w:r w:rsidR="00322DB3">
        <w:t>Artículo 13</w:t>
      </w:r>
      <w:r w:rsidR="00822579">
        <w:fldChar w:fldCharType="end"/>
      </w:r>
      <w:r w:rsidR="005038F0">
        <w:t xml:space="preserve"> y el </w:t>
      </w:r>
      <w:r w:rsidR="00822579">
        <w:fldChar w:fldCharType="begin"/>
      </w:r>
      <w:r w:rsidR="005038F0">
        <w:instrText xml:space="preserve"> REF _Ref280704303 \r \h </w:instrText>
      </w:r>
      <w:r w:rsidR="00822579">
        <w:fldChar w:fldCharType="separate"/>
      </w:r>
      <w:r w:rsidR="00322DB3">
        <w:t>Artículo 14</w:t>
      </w:r>
      <w:r w:rsidR="00822579">
        <w:fldChar w:fldCharType="end"/>
      </w:r>
      <w:r w:rsidRPr="00F03868">
        <w:t xml:space="preserve"> de la presente resolución</w:t>
      </w:r>
      <w:r w:rsidR="005038F0">
        <w:t xml:space="preserve"> según corresponda</w:t>
      </w:r>
      <w:r w:rsidRPr="00F03868">
        <w:t>.</w:t>
      </w:r>
    </w:p>
    <w:p w:rsidR="00A71B19" w:rsidRDefault="00A71B19" w:rsidP="00A71B19">
      <w:pPr>
        <w:ind w:left="426"/>
      </w:pPr>
    </w:p>
    <w:p w:rsidR="00A71B19" w:rsidRDefault="00A71B19" w:rsidP="00A71B19">
      <w:pPr>
        <w:ind w:left="426"/>
      </w:pPr>
      <w:r>
        <w:t>La metodología</w:t>
      </w:r>
      <w:r w:rsidRPr="00402DAB">
        <w:t xml:space="preserve"> de </w:t>
      </w:r>
      <w:r>
        <w:t xml:space="preserve">suspensión </w:t>
      </w:r>
      <w:r w:rsidRPr="00402DAB">
        <w:t xml:space="preserve">será aplicable </w:t>
      </w:r>
      <w:r>
        <w:t>por una sola vez</w:t>
      </w:r>
      <w:r w:rsidRPr="00402DAB">
        <w:t xml:space="preserve">.  </w:t>
      </w:r>
    </w:p>
    <w:p w:rsidR="00A71B19" w:rsidRDefault="00A71B19" w:rsidP="00A71B19">
      <w:pPr>
        <w:pStyle w:val="Ttulo2"/>
      </w:pPr>
      <w:bookmarkStart w:id="105" w:name="_Toc280712175"/>
      <w:r>
        <w:t>Modificación de metas</w:t>
      </w:r>
      <w:bookmarkEnd w:id="105"/>
    </w:p>
    <w:p w:rsidR="00A71B19" w:rsidRDefault="00A71B19" w:rsidP="00A71B19">
      <w:r>
        <w:t>El OR podrá solicitar el ajuste de las metas aprobadas, bajo las siguientes condiciones:</w:t>
      </w:r>
    </w:p>
    <w:p w:rsidR="00A71B19" w:rsidRDefault="00A71B19" w:rsidP="00A71B19"/>
    <w:p w:rsidR="00A71B19" w:rsidRDefault="00A71B19" w:rsidP="00A71B19">
      <w:pPr>
        <w:pStyle w:val="Prrafodelista"/>
        <w:numPr>
          <w:ilvl w:val="0"/>
          <w:numId w:val="11"/>
        </w:numPr>
        <w:ind w:left="851" w:hanging="426"/>
      </w:pPr>
      <w:r>
        <w:t>El ajuste se realizará una sola vez durante el periodo de ejecución del plan.</w:t>
      </w:r>
    </w:p>
    <w:p w:rsidR="00A71B19" w:rsidRDefault="00A71B19" w:rsidP="00A71B19">
      <w:pPr>
        <w:pStyle w:val="Prrafodelista"/>
        <w:numPr>
          <w:ilvl w:val="0"/>
          <w:numId w:val="0"/>
        </w:numPr>
        <w:ind w:left="851"/>
      </w:pPr>
    </w:p>
    <w:p w:rsidR="00A71B19" w:rsidRDefault="00A71B19" w:rsidP="00A71B19">
      <w:pPr>
        <w:pStyle w:val="Prrafodelista"/>
        <w:numPr>
          <w:ilvl w:val="0"/>
          <w:numId w:val="11"/>
        </w:numPr>
        <w:ind w:left="851" w:hanging="426"/>
      </w:pPr>
      <w:r>
        <w:t>La solicitud de ajuste deberá presentarse a la CREG a más tardar (3) tres meses antes de la finalización del segundo periodo de evaluación.</w:t>
      </w:r>
    </w:p>
    <w:p w:rsidR="00A71B19" w:rsidRDefault="00A71B19" w:rsidP="00A71B19">
      <w:pPr>
        <w:pStyle w:val="Prrafodelista"/>
        <w:numPr>
          <w:ilvl w:val="0"/>
          <w:numId w:val="0"/>
        </w:numPr>
        <w:ind w:left="851"/>
      </w:pPr>
    </w:p>
    <w:p w:rsidR="00A71B19" w:rsidRDefault="00A71B19" w:rsidP="00A71B19">
      <w:pPr>
        <w:pStyle w:val="Prrafodelista"/>
        <w:numPr>
          <w:ilvl w:val="0"/>
          <w:numId w:val="11"/>
        </w:numPr>
        <w:ind w:left="851" w:hanging="426"/>
      </w:pPr>
      <w:r>
        <w:t>Para solicitar el ajuste en las metas, el OR debe haber cumplido con la meta correspondiente al primer periodo de evaluación.</w:t>
      </w:r>
    </w:p>
    <w:p w:rsidR="00A71B19" w:rsidRDefault="00A71B19" w:rsidP="00A71B19">
      <w:pPr>
        <w:pStyle w:val="Prrafodelista"/>
        <w:numPr>
          <w:ilvl w:val="0"/>
          <w:numId w:val="0"/>
        </w:numPr>
        <w:ind w:left="851"/>
      </w:pPr>
    </w:p>
    <w:p w:rsidR="00A71B19" w:rsidRDefault="00A71B19" w:rsidP="00A71B19">
      <w:pPr>
        <w:pStyle w:val="Prrafodelista"/>
        <w:numPr>
          <w:ilvl w:val="0"/>
          <w:numId w:val="11"/>
        </w:numPr>
        <w:ind w:left="851" w:hanging="426"/>
      </w:pPr>
      <w:r>
        <w:t>El OR deberá sustentar en su solicitud los motivos de ajuste de las metas.</w:t>
      </w:r>
    </w:p>
    <w:p w:rsidR="00A71B19" w:rsidRDefault="00A71B19" w:rsidP="00A71B19">
      <w:pPr>
        <w:pStyle w:val="Prrafodelista"/>
        <w:numPr>
          <w:ilvl w:val="0"/>
          <w:numId w:val="0"/>
        </w:numPr>
        <w:ind w:left="851"/>
      </w:pPr>
    </w:p>
    <w:p w:rsidR="00A71B19" w:rsidRDefault="00A71B19" w:rsidP="00A71B19">
      <w:pPr>
        <w:pStyle w:val="Prrafodelista"/>
        <w:numPr>
          <w:ilvl w:val="0"/>
          <w:numId w:val="11"/>
        </w:numPr>
        <w:ind w:left="851" w:hanging="426"/>
      </w:pPr>
      <w:r>
        <w:t xml:space="preserve">La CREG revisará la sustentación de ajuste de las metas presentada por el OR y realizará el procedimiento de evaluación y aprobación de las nuevas metas de acuerdo con lo establecido en el </w:t>
      </w:r>
      <w:r w:rsidR="00822579">
        <w:fldChar w:fldCharType="begin"/>
      </w:r>
      <w:r>
        <w:instrText xml:space="preserve"> REF _Ref280256815 \r \h </w:instrText>
      </w:r>
      <w:r w:rsidR="00822579">
        <w:fldChar w:fldCharType="separate"/>
      </w:r>
      <w:r w:rsidR="00322DB3">
        <w:t>Artículo 7</w:t>
      </w:r>
      <w:r w:rsidR="00822579">
        <w:fldChar w:fldCharType="end"/>
      </w:r>
      <w:r>
        <w:t xml:space="preserve"> de esta Resolución.</w:t>
      </w:r>
    </w:p>
    <w:p w:rsidR="00080B91" w:rsidRDefault="00080B91" w:rsidP="00A71B19">
      <w:pPr>
        <w:jc w:val="left"/>
      </w:pPr>
    </w:p>
    <w:p w:rsidR="00080B91" w:rsidRPr="00555E6A" w:rsidRDefault="00080B91" w:rsidP="00080B91">
      <w:pPr>
        <w:rPr>
          <w:rFonts w:cs="Arial"/>
          <w:b/>
          <w:spacing w:val="-3"/>
        </w:rPr>
      </w:pPr>
      <w:r w:rsidRPr="00555E6A">
        <w:rPr>
          <w:b/>
        </w:rPr>
        <w:t>Firma del proyecto</w:t>
      </w:r>
    </w:p>
    <w:p w:rsidR="00A71B19" w:rsidRDefault="00A71B19" w:rsidP="00A71B19">
      <w:pPr>
        <w:jc w:val="left"/>
      </w:pPr>
      <w:r>
        <w:br w:type="page"/>
      </w:r>
    </w:p>
    <w:p w:rsidR="00A71B19" w:rsidRDefault="00A71B19" w:rsidP="00A71B19"/>
    <w:p w:rsidR="00A71B19" w:rsidRDefault="00A71B19" w:rsidP="00A71B19">
      <w:pPr>
        <w:pStyle w:val="Ttulo1"/>
      </w:pPr>
      <w:bookmarkStart w:id="106" w:name="_Ref259799803"/>
      <w:bookmarkStart w:id="107" w:name="_Ref261441680"/>
      <w:bookmarkStart w:id="108" w:name="_Toc280712176"/>
      <w:r w:rsidRPr="00402DAB">
        <w:rPr>
          <w:caps w:val="0"/>
        </w:rPr>
        <w:t xml:space="preserve">MECANISMO DE VERIFICACIÓN DE LA </w:t>
      </w:r>
      <w:bookmarkEnd w:id="106"/>
      <w:r w:rsidRPr="00402DAB">
        <w:rPr>
          <w:caps w:val="0"/>
        </w:rPr>
        <w:t>INFORMACIÓN</w:t>
      </w:r>
      <w:bookmarkEnd w:id="107"/>
      <w:bookmarkEnd w:id="108"/>
    </w:p>
    <w:p w:rsidR="00A71B19" w:rsidRPr="000535AD" w:rsidRDefault="00A71B19" w:rsidP="00A71B19">
      <w:r>
        <w:t xml:space="preserve">Toda la información entregada por el Operador de Red, tanto en la solicitud como en la reportada periódicamente, podrá ser verificada por la CREG de acuerdo con lo definido en este ANEXO.  </w:t>
      </w:r>
    </w:p>
    <w:p w:rsidR="00A71B19" w:rsidRPr="00402DAB" w:rsidRDefault="00A71B19" w:rsidP="00A71B19">
      <w:pPr>
        <w:pStyle w:val="Ttulo2"/>
      </w:pPr>
      <w:bookmarkStart w:id="109" w:name="_Toc280712177"/>
      <w:r w:rsidRPr="00402DAB">
        <w:t>Verificación de información de vínculos de usuarios a la red</w:t>
      </w:r>
      <w:bookmarkEnd w:id="109"/>
    </w:p>
    <w:p w:rsidR="00A71B19" w:rsidRPr="00402DAB" w:rsidRDefault="00A71B19" w:rsidP="00A71B19">
      <w:r w:rsidRPr="00402DAB">
        <w:t xml:space="preserve">La verificación consiste en la comparación de la información de </w:t>
      </w:r>
      <w:r>
        <w:t xml:space="preserve">vinculación de </w:t>
      </w:r>
      <w:r w:rsidRPr="00402DAB">
        <w:t xml:space="preserve">usuarios atendidos desde un mismo transformador existente en el formato </w:t>
      </w:r>
      <w:r>
        <w:t xml:space="preserve">1 de la Resolución SSPD 20102400008055 </w:t>
      </w:r>
      <w:r w:rsidRPr="00402DAB">
        <w:t>del SUI</w:t>
      </w:r>
      <w:r>
        <w:t xml:space="preserve"> o aquella que la complemente, </w:t>
      </w:r>
      <w:r w:rsidRPr="002F48D2">
        <w:t>modifique o sustituya</w:t>
      </w:r>
      <w:r w:rsidRPr="00402DAB">
        <w:t xml:space="preserve">, respecto de la encontrada en la visita de campo.  El tamaño de la muestra </w:t>
      </w:r>
      <w:r>
        <w:t>se determinará con base en los transformadores donde sean instalados equipos que sean objeto de remuneración a través del Plan</w:t>
      </w:r>
      <w:r w:rsidRPr="00402DAB">
        <w:t>.</w:t>
      </w:r>
    </w:p>
    <w:p w:rsidR="00A71B19" w:rsidRPr="00402DAB" w:rsidRDefault="00A71B19" w:rsidP="00A71B19"/>
    <w:p w:rsidR="00A71B19" w:rsidRPr="00402DAB" w:rsidRDefault="00A71B19" w:rsidP="00A71B19">
      <w:r w:rsidRPr="00402DAB">
        <w:t xml:space="preserve">Se considera incumplimiento cuando </w:t>
      </w:r>
      <w:r>
        <w:t>alguno</w:t>
      </w:r>
      <w:r w:rsidRPr="00402DAB">
        <w:t xml:space="preserve"> de los usuarios encontrados en la visita </w:t>
      </w:r>
      <w:r>
        <w:t xml:space="preserve">no se encuentre registrado </w:t>
      </w:r>
      <w:r w:rsidRPr="00402DAB">
        <w:t>en la base de datos del SUI</w:t>
      </w:r>
      <w:r>
        <w:t xml:space="preserve"> o </w:t>
      </w:r>
      <w:r w:rsidRPr="00402DAB">
        <w:t>presente información distinta a la registrada.</w:t>
      </w:r>
    </w:p>
    <w:p w:rsidR="00A71B19" w:rsidRPr="00402DAB" w:rsidRDefault="00A71B19" w:rsidP="00A71B19">
      <w:pPr>
        <w:ind w:firstLine="348"/>
      </w:pPr>
    </w:p>
    <w:p w:rsidR="00A71B19" w:rsidRPr="00402DAB" w:rsidRDefault="00A71B19" w:rsidP="00A71B19">
      <w:r w:rsidRPr="00402DAB">
        <w:t xml:space="preserve">La suspensión de la remuneración se deberá cumplir de manera inmediata a la fecha de detección de incumplimiento del parámetro.  </w:t>
      </w:r>
    </w:p>
    <w:p w:rsidR="00A71B19" w:rsidRPr="00402DAB" w:rsidRDefault="00A71B19" w:rsidP="00A71B19"/>
    <w:p w:rsidR="00AA4C02" w:rsidRDefault="00A71B19" w:rsidP="00A71B19">
      <w:r w:rsidRPr="00402DAB">
        <w:t xml:space="preserve">En este caso, el OR tendrá un plazo de seis </w:t>
      </w:r>
      <w:r w:rsidR="00817264">
        <w:t xml:space="preserve">(6) </w:t>
      </w:r>
      <w:r w:rsidRPr="00402DAB">
        <w:t>meses contados a partir de la fecha de detección del incumplimiento para actualizar su siste</w:t>
      </w:r>
      <w:r>
        <w:t xml:space="preserve">ma y cumplir con el parámetro. </w:t>
      </w:r>
      <w:r w:rsidRPr="00402DAB">
        <w:t xml:space="preserve">Cuando haya transcurrido dicho período y el OR no haya </w:t>
      </w:r>
      <w:r w:rsidR="00C37254">
        <w:t>corregido la situación</w:t>
      </w:r>
      <w:r w:rsidRPr="00402DAB">
        <w:t xml:space="preserve">, se considera un incumplimiento del plan y se procederá a la devolución de los ingresos según lo establecido en el </w:t>
      </w:r>
      <w:r w:rsidR="00822579">
        <w:fldChar w:fldCharType="begin"/>
      </w:r>
      <w:r w:rsidR="00817264">
        <w:instrText xml:space="preserve"> REF _Ref280342893 \r \h </w:instrText>
      </w:r>
      <w:r w:rsidR="00822579">
        <w:fldChar w:fldCharType="separate"/>
      </w:r>
      <w:r w:rsidR="00322DB3">
        <w:t>Artículo 13</w:t>
      </w:r>
      <w:r w:rsidR="00822579">
        <w:fldChar w:fldCharType="end"/>
      </w:r>
      <w:r w:rsidR="00817264">
        <w:t xml:space="preserve"> y el </w:t>
      </w:r>
      <w:r w:rsidR="00822579">
        <w:fldChar w:fldCharType="begin"/>
      </w:r>
      <w:r w:rsidR="00817264">
        <w:instrText xml:space="preserve"> REF _Ref280704303 \r \h </w:instrText>
      </w:r>
      <w:r w:rsidR="00822579">
        <w:fldChar w:fldCharType="separate"/>
      </w:r>
      <w:r w:rsidR="00322DB3">
        <w:t>Artículo 14</w:t>
      </w:r>
      <w:r w:rsidR="00822579">
        <w:fldChar w:fldCharType="end"/>
      </w:r>
      <w:r w:rsidRPr="00402DAB">
        <w:t xml:space="preserve"> de la presente resolución</w:t>
      </w:r>
      <w:r w:rsidR="00817264">
        <w:t xml:space="preserve"> según corresponda</w:t>
      </w:r>
      <w:r w:rsidRPr="00402DAB">
        <w:t>.</w:t>
      </w:r>
      <w:r w:rsidR="00394334">
        <w:t xml:space="preserve">  </w:t>
      </w:r>
    </w:p>
    <w:p w:rsidR="00394334" w:rsidRPr="00402DAB" w:rsidRDefault="00394334" w:rsidP="00A71B19"/>
    <w:p w:rsidR="00A71B19" w:rsidRPr="00402DAB" w:rsidRDefault="00A71B19" w:rsidP="00A71B19">
      <w:pPr>
        <w:pStyle w:val="Ttulo2"/>
      </w:pPr>
      <w:bookmarkStart w:id="110" w:name="_Toc280712178"/>
      <w:r w:rsidRPr="00402DAB">
        <w:t>Verificación de información de costos y gastos</w:t>
      </w:r>
      <w:bookmarkEnd w:id="110"/>
    </w:p>
    <w:p w:rsidR="00A71B19" w:rsidRPr="00402DAB" w:rsidRDefault="00A71B19" w:rsidP="00A71B19">
      <w:r w:rsidRPr="00402DAB">
        <w:t xml:space="preserve">En el caso de que </w:t>
      </w:r>
      <w:r w:rsidR="00943CD3">
        <w:t>la CREG</w:t>
      </w:r>
      <w:r w:rsidRPr="00402DAB">
        <w:t xml:space="preserve"> encuentre que los ingresos </w:t>
      </w:r>
      <w:r>
        <w:t xml:space="preserve">obtenidos por la ejecución del plan </w:t>
      </w:r>
      <w:r w:rsidRPr="00402DAB">
        <w:t>sean superiores a la suma de los gastos más los excedentes, se considerará que los ingresos por este concepto son utilizados con otros fines</w:t>
      </w:r>
      <w:r w:rsidR="00AA4C02">
        <w:t xml:space="preserve"> y se procederá a la cancelación del plan</w:t>
      </w:r>
      <w:r w:rsidRPr="00402DAB">
        <w:t>.</w:t>
      </w:r>
    </w:p>
    <w:p w:rsidR="00A71B19" w:rsidRPr="00402DAB" w:rsidRDefault="00A71B19" w:rsidP="00A71B19"/>
    <w:p w:rsidR="00A71B19" w:rsidRPr="00402DAB" w:rsidRDefault="00A71B19" w:rsidP="00A71B19">
      <w:r w:rsidRPr="00F160D9">
        <w:t>Para tal efecto, el OR debe crear en su contabilidad cuentas que permitan el registro independiente de todas las actividades relacionadas con los ingresos y los costos y gastos del plan y se deberá informar al SUI los códigos de cuentas bajo las cuales serán registrados los valores respectivos.</w:t>
      </w:r>
      <w:r w:rsidRPr="00402DAB">
        <w:t xml:space="preserve">  </w:t>
      </w:r>
    </w:p>
    <w:p w:rsidR="00A71B19" w:rsidRPr="00402DAB" w:rsidRDefault="00A71B19" w:rsidP="00A71B19"/>
    <w:p w:rsidR="00A71B19" w:rsidRDefault="00A71B19" w:rsidP="00A71B19">
      <w:r w:rsidRPr="00F160D9">
        <w:t>En el informe del auditor,</w:t>
      </w:r>
      <w:r w:rsidRPr="00402DAB">
        <w:t xml:space="preserve"> sobre la información anual de AOM de que trata la Resolución CREG 051 de 2010, se deberán consignar los costos y gastos en que se incurrió en la ejecución del plan de reducción de pérdidas </w:t>
      </w:r>
      <w:r w:rsidRPr="00E8683E">
        <w:t>no técnicas</w:t>
      </w:r>
      <w:r w:rsidRPr="00402DAB">
        <w:t xml:space="preserve"> asociándolos con las respectivas cuentas del Sistema de Costos y Gastos y del PUC de la SSPD donde se reportaron.  El Auditor deberá certificar que los anteriores valores no están incluidos en el valor de gastos de AOM reportado por los OR en cumplimiento de la citada resolución.</w:t>
      </w:r>
    </w:p>
    <w:p w:rsidR="00AA4C02" w:rsidRPr="00402DAB" w:rsidRDefault="00AA4C02" w:rsidP="00A71B19"/>
    <w:p w:rsidR="00A71B19" w:rsidRPr="00402DAB" w:rsidRDefault="00A71B19" w:rsidP="00A71B19">
      <w:pPr>
        <w:pStyle w:val="Ttulo2"/>
      </w:pPr>
      <w:bookmarkStart w:id="111" w:name="_Toc280712179"/>
      <w:r w:rsidRPr="00402DAB">
        <w:t>Verificación de infraestructura</w:t>
      </w:r>
      <w:bookmarkEnd w:id="111"/>
      <w:r w:rsidRPr="00402DAB">
        <w:t xml:space="preserve"> </w:t>
      </w:r>
    </w:p>
    <w:p w:rsidR="00A71B19" w:rsidRDefault="00A71B19" w:rsidP="00A71B19">
      <w:r w:rsidRPr="00F160D9">
        <w:t>El OR deberá indicar anualmente la ubicación y georeferenciación de los transformadores con redes de baja tensión construidas en ejecución del plan de reducción de pérdidas</w:t>
      </w:r>
      <w:r w:rsidRPr="00E8683E">
        <w:t xml:space="preserve"> no técnicas</w:t>
      </w:r>
      <w:r w:rsidRPr="00F160D9">
        <w:t>. Esta información será comparada con el inventario de transformadores que cuenten con redes de baja tensión aisladas, semiaisladas, trenzadas o tipo antifraude, existentes al momento de la presentación del plan de reducción de pérdidas</w:t>
      </w:r>
      <w:r w:rsidRPr="00E8683E">
        <w:t xml:space="preserve"> no técnicas</w:t>
      </w:r>
      <w:r w:rsidRPr="00F160D9">
        <w:t xml:space="preserve">.  </w:t>
      </w:r>
    </w:p>
    <w:p w:rsidR="00A71B19" w:rsidRDefault="00A71B19" w:rsidP="00A71B19"/>
    <w:p w:rsidR="00A71B19" w:rsidRDefault="00A71B19" w:rsidP="00A71B19">
      <w:r w:rsidRPr="00F160D9">
        <w:t>En caso de que el OR reporte, como parte de la ejecución del plan de reducción de pérdidas</w:t>
      </w:r>
      <w:r w:rsidRPr="00E8683E">
        <w:t xml:space="preserve"> no técnicas</w:t>
      </w:r>
      <w:r w:rsidRPr="00F160D9">
        <w:t>, redes existentes a la fecha de solicitud del plan, se considerará causal de cancelación de la remuneración del plan.</w:t>
      </w:r>
    </w:p>
    <w:p w:rsidR="00934DE6" w:rsidRDefault="00934DE6" w:rsidP="00A71B19"/>
    <w:p w:rsidR="00CB2A18" w:rsidRDefault="00CB2A18" w:rsidP="00A71B19">
      <w:pPr>
        <w:jc w:val="left"/>
      </w:pPr>
    </w:p>
    <w:p w:rsidR="00CB2A18" w:rsidRDefault="00CB2A18" w:rsidP="00A71B19">
      <w:pPr>
        <w:jc w:val="left"/>
      </w:pPr>
    </w:p>
    <w:p w:rsidR="00080B91" w:rsidRPr="00555E6A" w:rsidRDefault="00080B91" w:rsidP="00080B91">
      <w:pPr>
        <w:rPr>
          <w:rFonts w:cs="Arial"/>
          <w:b/>
          <w:spacing w:val="-3"/>
        </w:rPr>
      </w:pPr>
      <w:r w:rsidRPr="00555E6A">
        <w:rPr>
          <w:b/>
        </w:rPr>
        <w:t>Firma del proyecto</w:t>
      </w: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CB2A18" w:rsidRDefault="00CB2A18" w:rsidP="00A71B19">
      <w:pPr>
        <w:jc w:val="left"/>
      </w:pPr>
    </w:p>
    <w:p w:rsidR="00A71B19" w:rsidRPr="00402DAB" w:rsidRDefault="00A71B19" w:rsidP="00A71B19">
      <w:pPr>
        <w:pStyle w:val="Ttulo1"/>
      </w:pPr>
      <w:bookmarkStart w:id="112" w:name="_Ref261501852"/>
      <w:bookmarkStart w:id="113" w:name="_Toc280712180"/>
      <w:r>
        <w:t>METODOLOGÍA</w:t>
      </w:r>
      <w:r w:rsidRPr="00402DAB">
        <w:t xml:space="preserve"> PARA DEVOLUCI</w:t>
      </w:r>
      <w:r>
        <w:t>Ó</w:t>
      </w:r>
      <w:r w:rsidRPr="00402DAB">
        <w:t>N DE INGRESOS</w:t>
      </w:r>
      <w:bookmarkEnd w:id="112"/>
      <w:bookmarkEnd w:id="113"/>
    </w:p>
    <w:p w:rsidR="00A71B19" w:rsidRDefault="00A71B19" w:rsidP="00A71B19">
      <w:r w:rsidRPr="00402DAB">
        <w:t xml:space="preserve">En caso </w:t>
      </w:r>
      <w:r>
        <w:t xml:space="preserve">de cancelación de la ejecución del plan el LAC calculará </w:t>
      </w:r>
      <w:r w:rsidRPr="00402DAB">
        <w:t xml:space="preserve">los ingresos recibidos </w:t>
      </w:r>
      <w:r>
        <w:t>durante los períodos de incumplimiento previos a la suspensión de la remuneración del plan para que, junto con los ingresos recibidos por parte de la fiducia durante la suspensión del plan, sean tenidos en cuenta como un menor valor en el Costo Unitario de Prestación del Servicio a los usuarios del mercado de comercialización respectivo.</w:t>
      </w:r>
    </w:p>
    <w:p w:rsidR="00A71B19" w:rsidRDefault="00A71B19" w:rsidP="00A71B19">
      <w:pPr>
        <w:pStyle w:val="Ttulo2"/>
      </w:pPr>
      <w:bookmarkStart w:id="114" w:name="_Toc280712181"/>
      <w:r>
        <w:t>Cálculo de los ingresos a devolver por parte del OR</w:t>
      </w:r>
      <w:bookmarkEnd w:id="114"/>
      <w:r>
        <w:t xml:space="preserve"> </w:t>
      </w:r>
    </w:p>
    <w:p w:rsidR="00A71B19" w:rsidRPr="00402DAB" w:rsidRDefault="00A71B19" w:rsidP="00A71B19">
      <w:r>
        <w:t>L</w:t>
      </w:r>
      <w:r w:rsidRPr="00402DAB">
        <w:t xml:space="preserve">os </w:t>
      </w:r>
      <w:r>
        <w:t>i</w:t>
      </w:r>
      <w:r w:rsidRPr="00402DAB">
        <w:t xml:space="preserve">ngresos </w:t>
      </w:r>
      <w:r>
        <w:t xml:space="preserve">a devolver </w:t>
      </w:r>
      <w:r w:rsidRPr="00402DAB">
        <w:t>se calculará</w:t>
      </w:r>
      <w:r>
        <w:t>n</w:t>
      </w:r>
      <w:r w:rsidRPr="00402DAB">
        <w:t xml:space="preserve"> </w:t>
      </w:r>
      <w:r>
        <w:t>de la siguiente manera</w:t>
      </w:r>
      <w:r w:rsidRPr="00402DAB">
        <w:t>:</w:t>
      </w:r>
    </w:p>
    <w:p w:rsidR="00A71B19" w:rsidRPr="00402DAB" w:rsidRDefault="00A71B19" w:rsidP="00A71B19"/>
    <w:p w:rsidR="00A71B19" w:rsidRPr="00402DAB" w:rsidRDefault="00822579" w:rsidP="00A71B19">
      <m:oMathPara>
        <m:oMath>
          <m:sSub>
            <m:sSubPr>
              <m:ctrlPr>
                <w:rPr>
                  <w:rFonts w:ascii="Cambria Math" w:hAnsi="Cambria Math"/>
                  <w:i/>
                </w:rPr>
              </m:ctrlPr>
            </m:sSubPr>
            <m:e>
              <m:r>
                <w:rPr>
                  <w:rFonts w:ascii="Cambria Math" w:hAnsi="Cambria Math"/>
                </w:rPr>
                <m:t>ITD</m:t>
              </m:r>
            </m:e>
            <m:sub>
              <m:r>
                <w:rPr>
                  <w:rFonts w:ascii="Cambria Math" w:hAnsi="Cambria Math"/>
                </w:rPr>
                <m:t>j</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m=1</m:t>
                  </m:r>
                </m:sub>
                <m:sup>
                  <m:r>
                    <w:rPr>
                      <w:rFonts w:ascii="Cambria Math" w:hAnsi="Cambria Math"/>
                    </w:rPr>
                    <m:t>t</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I</m:t>
                      </m:r>
                    </m:sup>
                    <m:e>
                      <m:sSub>
                        <m:sSubPr>
                          <m:ctrlPr>
                            <w:rPr>
                              <w:rFonts w:ascii="Cambria Math" w:hAnsi="Cambria Math"/>
                              <w:i/>
                              <w:iCs/>
                            </w:rPr>
                          </m:ctrlPr>
                        </m:sSubPr>
                        <m:e>
                          <m:r>
                            <w:rPr>
                              <w:rFonts w:ascii="Cambria Math" w:hAnsi="Cambria Math"/>
                            </w:rPr>
                            <m:t>LCPROG</m:t>
                          </m:r>
                        </m:e>
                        <m:sub>
                          <m:r>
                            <w:rPr>
                              <w:rFonts w:ascii="Cambria Math" w:hAnsi="Cambria Math"/>
                              <w:vertAlign w:val="subscript"/>
                            </w:rPr>
                            <m:t>i,j,m</m:t>
                          </m:r>
                        </m:sub>
                      </m:sSub>
                    </m:e>
                  </m:nary>
                </m:e>
              </m:nary>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n/12</m:t>
              </m:r>
            </m:sup>
          </m:sSup>
        </m:oMath>
      </m:oMathPara>
    </w:p>
    <w:p w:rsidR="00A71B19" w:rsidRPr="00402DAB" w:rsidRDefault="00A71B19" w:rsidP="00A71B19"/>
    <w:p w:rsidR="00A71B19" w:rsidRPr="00402DAB" w:rsidRDefault="00A71B19" w:rsidP="00A71B19">
      <w:pPr>
        <w:ind w:left="1416" w:hanging="1416"/>
      </w:pPr>
      <w:r w:rsidRPr="00402DAB">
        <w:rPr>
          <w:i/>
        </w:rPr>
        <w:t>IT</w:t>
      </w:r>
      <w:r>
        <w:rPr>
          <w:i/>
        </w:rPr>
        <w:t>D</w:t>
      </w:r>
      <w:r w:rsidRPr="00BA2BEA">
        <w:rPr>
          <w:i/>
          <w:vertAlign w:val="subscript"/>
        </w:rPr>
        <w:t>j</w:t>
      </w:r>
      <w:r w:rsidRPr="00402DAB">
        <w:t xml:space="preserve">: </w:t>
      </w:r>
      <w:r w:rsidRPr="00402DAB">
        <w:tab/>
        <w:t xml:space="preserve">Ingreso </w:t>
      </w:r>
      <w:r>
        <w:t>total a devolver por el OR j, en pesos colombianos a la fecha de cálculo</w:t>
      </w:r>
      <w:r w:rsidRPr="00402DAB">
        <w:t>.</w:t>
      </w:r>
    </w:p>
    <w:p w:rsidR="00A71B19" w:rsidRDefault="00A71B19" w:rsidP="00A71B19">
      <w:pPr>
        <w:ind w:left="1410" w:hanging="1410"/>
        <w:rPr>
          <w:i/>
        </w:rPr>
      </w:pPr>
    </w:p>
    <w:p w:rsidR="00A71B19" w:rsidRPr="00402DAB" w:rsidRDefault="00A71B19" w:rsidP="00A71B19">
      <w:pPr>
        <w:ind w:left="1410" w:hanging="1410"/>
      </w:pPr>
      <w:r w:rsidRPr="00402DAB">
        <w:rPr>
          <w:i/>
        </w:rPr>
        <w:t>t</w:t>
      </w:r>
      <w:r w:rsidRPr="00402DAB">
        <w:t xml:space="preserve">: </w:t>
      </w:r>
      <w:r w:rsidRPr="00402DAB">
        <w:tab/>
      </w:r>
      <w:r w:rsidRPr="00402DAB">
        <w:tab/>
        <w:t xml:space="preserve">Total de meses </w:t>
      </w:r>
      <w:r>
        <w:t xml:space="preserve">de los períodos de incumplimiento del plan previos a la suspensión del mismo y </w:t>
      </w:r>
      <w:r w:rsidRPr="00402DAB">
        <w:t>durante los cuales el OR recibió remuneración del plan de reducción de pérdidas</w:t>
      </w:r>
      <w:r w:rsidRPr="00E8683E">
        <w:t xml:space="preserve"> no técnicas</w:t>
      </w:r>
      <w:r w:rsidRPr="00402DAB">
        <w:t xml:space="preserve">. </w:t>
      </w:r>
    </w:p>
    <w:p w:rsidR="00A71B19" w:rsidRDefault="00A71B19" w:rsidP="00A71B19"/>
    <w:p w:rsidR="00A71B19" w:rsidRPr="00AC0547" w:rsidRDefault="00A71B19" w:rsidP="00A71B19">
      <w:pPr>
        <w:ind w:left="1410" w:hanging="1410"/>
        <w:rPr>
          <w:iCs/>
        </w:rPr>
      </w:pPr>
      <w:r>
        <w:rPr>
          <w:i/>
          <w:iCs/>
        </w:rPr>
        <w:t>I:</w:t>
      </w:r>
      <w:r>
        <w:rPr>
          <w:i/>
          <w:iCs/>
        </w:rPr>
        <w:tab/>
      </w:r>
      <w:r>
        <w:rPr>
          <w:i/>
          <w:iCs/>
        </w:rPr>
        <w:tab/>
      </w:r>
      <w:r w:rsidRPr="00AC0547">
        <w:rPr>
          <w:iCs/>
        </w:rPr>
        <w:t xml:space="preserve">Número total de Comercializadores en el mercado de comercialización del OR j durante </w:t>
      </w:r>
      <w:r w:rsidRPr="00AC0547">
        <w:t>los períodos de incumplimiento del plan previos a la suspensión del mismo</w:t>
      </w:r>
      <w:r w:rsidRPr="00AC0547">
        <w:rPr>
          <w:iCs/>
        </w:rPr>
        <w:t xml:space="preserve"> </w:t>
      </w:r>
    </w:p>
    <w:p w:rsidR="00A71B19" w:rsidRDefault="00A71B19" w:rsidP="00A71B19">
      <w:pPr>
        <w:ind w:left="1410" w:hanging="1410"/>
        <w:rPr>
          <w:i/>
          <w:iCs/>
        </w:rPr>
      </w:pPr>
    </w:p>
    <w:p w:rsidR="00A71B19" w:rsidRPr="005D3252" w:rsidRDefault="00A71B19" w:rsidP="00A71B19">
      <w:pPr>
        <w:ind w:left="1410" w:hanging="1410"/>
      </w:pPr>
      <w:r w:rsidRPr="00402DAB">
        <w:rPr>
          <w:i/>
          <w:iCs/>
        </w:rPr>
        <w:t>LCPROG</w:t>
      </w:r>
      <w:r w:rsidRPr="00402DAB">
        <w:rPr>
          <w:i/>
          <w:iCs/>
          <w:vertAlign w:val="subscript"/>
        </w:rPr>
        <w:t>i,j,m</w:t>
      </w:r>
      <w:r w:rsidRPr="00402DAB">
        <w:t>:</w:t>
      </w:r>
      <w:r w:rsidRPr="00402DAB">
        <w:tab/>
        <w:t xml:space="preserve">Liquidación por concepto de CPROG, en el mercado de comercialización </w:t>
      </w:r>
      <w:r w:rsidRPr="00402DAB">
        <w:rPr>
          <w:i/>
        </w:rPr>
        <w:t>j</w:t>
      </w:r>
      <w:r w:rsidRPr="00402DAB">
        <w:t xml:space="preserve">, por las ventas en el mes </w:t>
      </w:r>
      <w:r w:rsidRPr="00402DAB">
        <w:rPr>
          <w:i/>
          <w:iCs/>
        </w:rPr>
        <w:t>m</w:t>
      </w:r>
      <w:r w:rsidRPr="00402DAB">
        <w:rPr>
          <w:iCs/>
        </w:rPr>
        <w:t>, que facturará el OR</w:t>
      </w:r>
      <w:r w:rsidRPr="00402DAB">
        <w:rPr>
          <w:i/>
          <w:iCs/>
        </w:rPr>
        <w:t xml:space="preserve"> j </w:t>
      </w:r>
      <w:r w:rsidRPr="00402DAB">
        <w:t xml:space="preserve">al comercializador </w:t>
      </w:r>
      <w:r w:rsidRPr="00402DAB">
        <w:rPr>
          <w:i/>
          <w:iCs/>
        </w:rPr>
        <w:t>i</w:t>
      </w:r>
      <w:r>
        <w:rPr>
          <w:i/>
          <w:iCs/>
        </w:rPr>
        <w:t xml:space="preserve"> </w:t>
      </w:r>
      <w:r w:rsidRPr="005D3252">
        <w:rPr>
          <w:iCs/>
        </w:rPr>
        <w:t xml:space="preserve">calculado según </w:t>
      </w:r>
      <w:r>
        <w:rPr>
          <w:iCs/>
        </w:rPr>
        <w:t xml:space="preserve">lo establecido en </w:t>
      </w:r>
      <w:r w:rsidRPr="005D3252">
        <w:rPr>
          <w:iCs/>
        </w:rPr>
        <w:t xml:space="preserve">el numeral </w:t>
      </w:r>
      <w:fldSimple w:instr=" REF _Ref269375580 \r \h  \* MERGEFORMAT ">
        <w:r w:rsidR="00322DB3" w:rsidRPr="00322DB3">
          <w:rPr>
            <w:iCs/>
          </w:rPr>
          <w:t>3.2</w:t>
        </w:r>
      </w:fldSimple>
      <w:r w:rsidRPr="005D3252">
        <w:t xml:space="preserve"> del </w:t>
      </w:r>
      <w:fldSimple w:instr=" REF _Ref269375596 \r \h  \* MERGEFORMAT ">
        <w:r w:rsidR="00322DB3">
          <w:t>ANEXO 3</w:t>
        </w:r>
      </w:fldSimple>
      <w:r>
        <w:t xml:space="preserve"> de esta Resolución.</w:t>
      </w:r>
    </w:p>
    <w:p w:rsidR="00A71B19" w:rsidRDefault="00A71B19" w:rsidP="00A71B19"/>
    <w:p w:rsidR="00A71B19" w:rsidRPr="00402DAB" w:rsidRDefault="00A71B19" w:rsidP="00A71B19">
      <w:pPr>
        <w:ind w:left="1410" w:hanging="1410"/>
      </w:pPr>
      <w:r w:rsidRPr="00402DAB">
        <w:rPr>
          <w:i/>
        </w:rPr>
        <w:t>r</w:t>
      </w:r>
      <w:r w:rsidRPr="00402DAB">
        <w:t xml:space="preserve">: </w:t>
      </w:r>
      <w:r w:rsidRPr="00402DAB">
        <w:tab/>
      </w:r>
      <w:r w:rsidRPr="00402DAB">
        <w:tab/>
        <w:t>Corresponde a 1,5 veces el interés bancario corriente para la modalidad de crédito de consumo y ordinario, certificado por la Superintendencia Financiera, vigente en la fecha de cancelación del plan de reducción de pérdidas</w:t>
      </w:r>
      <w:r w:rsidRPr="00E8683E">
        <w:t xml:space="preserve"> no técnicas</w:t>
      </w:r>
      <w:r w:rsidRPr="00402DAB">
        <w:t>.</w:t>
      </w:r>
    </w:p>
    <w:p w:rsidR="00A71B19" w:rsidRPr="00402DAB" w:rsidRDefault="00A71B19" w:rsidP="00A71B19">
      <w:pPr>
        <w:ind w:left="1410" w:hanging="1410"/>
      </w:pPr>
    </w:p>
    <w:p w:rsidR="00A71B19" w:rsidRPr="00402DAB" w:rsidRDefault="00A71B19" w:rsidP="00A71B19">
      <w:pPr>
        <w:ind w:left="1410" w:hanging="1410"/>
      </w:pPr>
      <w:r w:rsidRPr="00402DAB">
        <w:rPr>
          <w:i/>
        </w:rPr>
        <w:t>n</w:t>
      </w:r>
      <w:r w:rsidRPr="00402DAB">
        <w:t xml:space="preserve">: </w:t>
      </w:r>
      <w:r w:rsidRPr="00402DAB">
        <w:tab/>
      </w:r>
      <w:r w:rsidRPr="00402DAB">
        <w:tab/>
        <w:t>Exponente que se calcula de la siguiente manera:</w:t>
      </w:r>
    </w:p>
    <w:p w:rsidR="00A71B19" w:rsidRPr="00402DAB" w:rsidRDefault="00A71B19" w:rsidP="00A71B19">
      <w:pPr>
        <w:ind w:left="1410" w:hanging="1410"/>
      </w:pPr>
    </w:p>
    <w:p w:rsidR="00A71B19" w:rsidRPr="00402DAB" w:rsidRDefault="00A71B19" w:rsidP="00A71B19">
      <m:oMathPara>
        <m:oMath>
          <m:r>
            <w:rPr>
              <w:rFonts w:ascii="Cambria Math" w:hAnsi="Cambria Math"/>
            </w:rPr>
            <m:t>n=</m:t>
          </m:r>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m:t>
                  </m:r>
                </m:sub>
              </m:sSub>
            </m:num>
            <m:den>
              <m:r>
                <w:rPr>
                  <w:rFonts w:ascii="Cambria Math" w:hAnsi="Cambria Math"/>
                </w:rPr>
                <m:t>2</m:t>
              </m:r>
            </m:den>
          </m:f>
        </m:oMath>
      </m:oMathPara>
    </w:p>
    <w:p w:rsidR="00A71B19" w:rsidRPr="00402DAB" w:rsidRDefault="00A71B19" w:rsidP="00A71B19"/>
    <w:p w:rsidR="00A71B19" w:rsidRPr="00402DAB" w:rsidRDefault="00A71B19" w:rsidP="00A71B19">
      <w:pPr>
        <w:ind w:left="1410" w:hanging="1410"/>
      </w:pPr>
      <w:r w:rsidRPr="00402DAB">
        <w:rPr>
          <w:i/>
        </w:rPr>
        <w:t>P</w:t>
      </w:r>
      <w:r w:rsidRPr="00402DAB">
        <w:rPr>
          <w:i/>
          <w:vertAlign w:val="subscript"/>
        </w:rPr>
        <w:t>s</w:t>
      </w:r>
      <w:r w:rsidRPr="00402DAB">
        <w:t xml:space="preserve">: </w:t>
      </w:r>
      <w:r w:rsidRPr="00402DAB">
        <w:tab/>
        <w:t>N</w:t>
      </w:r>
      <w:r>
        <w:t>ú</w:t>
      </w:r>
      <w:r w:rsidRPr="00402DAB">
        <w:t>mero de meses entre la suspensión de la remuneración del plan de reducción de pérdidas</w:t>
      </w:r>
      <w:r w:rsidRPr="00E8683E">
        <w:t xml:space="preserve"> no técnicas</w:t>
      </w:r>
      <w:r w:rsidRPr="00402DAB">
        <w:t xml:space="preserve"> y la cancelación del plan.</w:t>
      </w:r>
    </w:p>
    <w:p w:rsidR="00A71B19" w:rsidRPr="00402DAB" w:rsidRDefault="00A71B19" w:rsidP="00A71B19">
      <w:pPr>
        <w:ind w:left="1410" w:hanging="1410"/>
      </w:pPr>
    </w:p>
    <w:p w:rsidR="00A71B19" w:rsidRPr="00402DAB" w:rsidRDefault="00A71B19" w:rsidP="00A71B19">
      <w:pPr>
        <w:ind w:left="1410" w:hanging="1410"/>
      </w:pPr>
      <w:r w:rsidRPr="00402DAB">
        <w:rPr>
          <w:i/>
        </w:rPr>
        <w:t>P</w:t>
      </w:r>
      <w:r w:rsidRPr="00402DAB">
        <w:rPr>
          <w:i/>
          <w:vertAlign w:val="subscript"/>
        </w:rPr>
        <w:t>d</w:t>
      </w:r>
      <w:r w:rsidRPr="00402DAB">
        <w:t xml:space="preserve">: </w:t>
      </w:r>
      <w:r w:rsidRPr="00402DAB">
        <w:tab/>
        <w:t>N</w:t>
      </w:r>
      <w:r>
        <w:t>ú</w:t>
      </w:r>
      <w:r w:rsidRPr="00402DAB">
        <w:t>mero de meses durante los cuales el OR debe devolver los recursos recibidos. Su duración no podrá ser superior a seis meses.</w:t>
      </w:r>
    </w:p>
    <w:p w:rsidR="00A71B19" w:rsidRDefault="00A71B19" w:rsidP="00A71B19">
      <w:pPr>
        <w:pStyle w:val="Anexo"/>
        <w:ind w:left="720"/>
      </w:pPr>
    </w:p>
    <w:p w:rsidR="00A71B19" w:rsidRPr="00402DAB" w:rsidRDefault="00A71B19" w:rsidP="00A71B19">
      <w:pPr>
        <w:pStyle w:val="Ttulo2"/>
      </w:pPr>
      <w:bookmarkStart w:id="115" w:name="_Ref280343582"/>
      <w:bookmarkStart w:id="116" w:name="_Ref280344187"/>
      <w:bookmarkStart w:id="117" w:name="_Toc280712182"/>
      <w:r>
        <w:t xml:space="preserve">Determinación del cargo mensual </w:t>
      </w:r>
      <w:r w:rsidRPr="00387CA8">
        <w:rPr>
          <w:i/>
        </w:rPr>
        <w:t>CPROG</w:t>
      </w:r>
      <w:r w:rsidRPr="00387CA8">
        <w:rPr>
          <w:i/>
          <w:vertAlign w:val="subscript"/>
        </w:rPr>
        <w:t>j,m</w:t>
      </w:r>
      <w:r>
        <w:t xml:space="preserve"> con recursos a devolver por parte del OR cuando se </w:t>
      </w:r>
      <w:r w:rsidRPr="0065215F">
        <w:t>cancela</w:t>
      </w:r>
      <w:r>
        <w:t xml:space="preserve"> la ejecución del Plan</w:t>
      </w:r>
      <w:bookmarkEnd w:id="115"/>
      <w:bookmarkEnd w:id="116"/>
      <w:bookmarkEnd w:id="117"/>
    </w:p>
    <w:p w:rsidR="00A71B19" w:rsidRDefault="00A71B19" w:rsidP="00A71B19">
      <w:r>
        <w:t xml:space="preserve">Al siguiente mes de la suspensión de la ejecución del plan en un mercado de comercialización, la variable </w:t>
      </w:r>
      <w:r w:rsidRPr="00387CA8">
        <w:rPr>
          <w:i/>
        </w:rPr>
        <w:t>CPROG</w:t>
      </w:r>
      <w:r w:rsidRPr="00387CA8">
        <w:rPr>
          <w:i/>
          <w:vertAlign w:val="subscript"/>
        </w:rPr>
        <w:t>j,m</w:t>
      </w:r>
      <w:r w:rsidR="00051727">
        <w:t xml:space="preserve"> tomará</w:t>
      </w:r>
      <w:r>
        <w:t xml:space="preserve"> un valor negativo que será incluido en el Costo Unitario de Prestación del Servicio a la totalidad de usuarios del mercado de comercialización. </w:t>
      </w:r>
    </w:p>
    <w:p w:rsidR="00A71B19" w:rsidRDefault="00A71B19" w:rsidP="00A71B19">
      <w:pPr>
        <w:jc w:val="left"/>
      </w:pPr>
    </w:p>
    <w:p w:rsidR="00A71B19" w:rsidRDefault="00A71B19" w:rsidP="00A71B19">
      <w:r>
        <w:t>Este valor será calculado y publicado por el LAC los primeros cinco (5) días de cada mes de la siguiente manera:</w:t>
      </w:r>
    </w:p>
    <w:p w:rsidR="00A71B19" w:rsidRDefault="00A71B19" w:rsidP="00A71B19">
      <w:pPr>
        <w:pStyle w:val="articulo"/>
      </w:pPr>
    </w:p>
    <w:p w:rsidR="00A71B19" w:rsidRPr="00D6055D" w:rsidRDefault="00822579" w:rsidP="00A71B19">
      <w:pPr>
        <w:rPr>
          <w:sz w:val="22"/>
          <w:szCs w:val="22"/>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sSub>
                <m:sSubPr>
                  <m:ctrlPr>
                    <w:rPr>
                      <w:rFonts w:ascii="Cambria Math" w:hAnsi="Cambria Math"/>
                      <w:sz w:val="22"/>
                      <w:szCs w:val="22"/>
                    </w:rPr>
                  </m:ctrlPr>
                </m:sSubPr>
                <m:e>
                  <m:r>
                    <w:rPr>
                      <w:rFonts w:ascii="Cambria Math" w:hAnsi="Cambria Math"/>
                      <w:sz w:val="22"/>
                      <w:szCs w:val="22"/>
                    </w:rPr>
                    <m:t>ITD</m:t>
                  </m:r>
                </m:e>
                <m:sub>
                  <m:r>
                    <w:rPr>
                      <w:rFonts w:ascii="Cambria Math" w:hAnsi="Cambria Math"/>
                      <w:sz w:val="22"/>
                      <w:szCs w:val="22"/>
                    </w:rPr>
                    <m:t>j</m:t>
                  </m:r>
                </m:sub>
              </m:sSub>
            </m:num>
            <m:den>
              <m:sSub>
                <m:sSubPr>
                  <m:ctrlPr>
                    <w:rPr>
                      <w:rFonts w:ascii="Cambria Math" w:hAnsi="Cambria Math"/>
                      <w:sz w:val="22"/>
                      <w:szCs w:val="22"/>
                    </w:rPr>
                  </m:ctrlPr>
                </m:sSubPr>
                <m:e>
                  <m:nary>
                    <m:naryPr>
                      <m:chr m:val="∑"/>
                      <m:limLoc m:val="undOvr"/>
                      <m:ctrlPr>
                        <w:rPr>
                          <w:rFonts w:ascii="Cambria Math" w:hAnsi="Cambria Math"/>
                          <w:sz w:val="22"/>
                          <w:szCs w:val="22"/>
                        </w:rPr>
                      </m:ctrlPr>
                    </m:naryPr>
                    <m:sub>
                      <m:r>
                        <m:rPr>
                          <m:sty m:val="p"/>
                        </m:rPr>
                        <w:rPr>
                          <w:rFonts w:ascii="Cambria Math" w:hAnsi="Cambria Math"/>
                          <w:sz w:val="22"/>
                          <w:szCs w:val="22"/>
                        </w:rPr>
                        <m:t>m=-12</m:t>
                      </m:r>
                    </m:sub>
                    <m:sup>
                      <m:r>
                        <m:rPr>
                          <m:sty m:val="p"/>
                        </m:rPr>
                        <w:rPr>
                          <w:rFonts w:ascii="Cambria Math" w:hAnsi="Cambria Math"/>
                          <w:sz w:val="22"/>
                          <w:szCs w:val="22"/>
                        </w:rPr>
                        <m:t>m-1</m:t>
                      </m:r>
                    </m:sup>
                    <m:e>
                      <m:r>
                        <m:rPr>
                          <m:sty m:val="p"/>
                        </m:rPr>
                        <w:rPr>
                          <w:rFonts w:ascii="Cambria Math" w:hAnsi="Cambria Math"/>
                          <w:sz w:val="22"/>
                          <w:szCs w:val="22"/>
                        </w:rPr>
                        <m:t>VSTN</m:t>
                      </m:r>
                    </m:e>
                  </m:nary>
                </m:e>
                <m:sub>
                  <m:r>
                    <m:rPr>
                      <m:sty m:val="p"/>
                    </m:rPr>
                    <w:rPr>
                      <w:rFonts w:ascii="Cambria Math" w:hAnsi="Cambria Math"/>
                      <w:sz w:val="22"/>
                      <w:szCs w:val="22"/>
                    </w:rPr>
                    <m:t>j,m</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s=-2</m:t>
                  </m:r>
                </m:sub>
                <m:sup>
                  <m:r>
                    <m:rPr>
                      <m:sty m:val="p"/>
                    </m:rPr>
                    <w:rPr>
                      <w:rFonts w:ascii="Cambria Math" w:hAnsi="Cambria Math"/>
                      <w:sz w:val="22"/>
                      <w:szCs w:val="22"/>
                    </w:rPr>
                    <m:t>s=-1</m:t>
                  </m:r>
                </m:sup>
                <m:e>
                  <m:nary>
                    <m:naryPr>
                      <m:chr m:val="∑"/>
                      <m:limLoc m:val="undOvr"/>
                      <m:ctrlPr>
                        <w:rPr>
                          <w:rFonts w:ascii="Cambria Math" w:hAnsi="Cambria Math"/>
                          <w:i/>
                          <w:sz w:val="22"/>
                          <w:szCs w:val="22"/>
                        </w:rPr>
                      </m:ctrlPr>
                    </m:naryPr>
                    <m:sub>
                      <m:sSup>
                        <m:sSupPr>
                          <m:ctrlPr>
                            <w:rPr>
                              <w:rFonts w:ascii="Cambria Math" w:hAnsi="Cambria Math"/>
                              <w:i/>
                              <w:sz w:val="22"/>
                              <w:szCs w:val="22"/>
                            </w:rPr>
                          </m:ctrlPr>
                        </m:sSupPr>
                        <m:e>
                          <m:r>
                            <w:rPr>
                              <w:rFonts w:ascii="Cambria Math" w:hAnsi="Cambria Math"/>
                              <w:sz w:val="22"/>
                              <w:szCs w:val="22"/>
                            </w:rPr>
                            <m:t>n=1</m:t>
                          </m:r>
                        </m:e>
                        <m:sup/>
                      </m:sSup>
                    </m:sub>
                    <m:sup>
                      <m:sSub>
                        <m:sSubPr>
                          <m:ctrlPr>
                            <w:rPr>
                              <w:rFonts w:ascii="Cambria Math" w:hAnsi="Cambria Math"/>
                              <w:i/>
                              <w:sz w:val="22"/>
                              <w:szCs w:val="22"/>
                            </w:rPr>
                          </m:ctrlPr>
                        </m:sSubPr>
                        <m:e>
                          <m:r>
                            <w:rPr>
                              <w:rFonts w:ascii="Cambria Math" w:hAnsi="Cambria Math"/>
                              <w:sz w:val="22"/>
                              <w:szCs w:val="22"/>
                            </w:rPr>
                            <m:t>4</m:t>
                          </m:r>
                        </m:e>
                        <m:sub>
                          <m:sSub>
                            <m:sSubPr>
                              <m:ctrlPr>
                                <w:rPr>
                                  <w:rFonts w:ascii="Cambria Math" w:hAnsi="Cambria Math"/>
                                  <w:i/>
                                  <w:sz w:val="22"/>
                                  <w:szCs w:val="22"/>
                                </w:rPr>
                              </m:ctrlPr>
                            </m:sSubPr>
                            <m:e/>
                            <m:sub/>
                          </m:sSub>
                        </m:sub>
                      </m:sSub>
                    </m:sup>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e>
                  </m:nary>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js</m:t>
                          </m:r>
                        </m:sub>
                      </m:sSub>
                    </m:e>
                  </m:d>
                </m:e>
              </m:nary>
            </m:den>
          </m:f>
        </m:oMath>
      </m:oMathPara>
    </w:p>
    <w:p w:rsidR="00A71B19" w:rsidRDefault="00A71B19" w:rsidP="00A71B19">
      <w:pPr>
        <w:spacing w:before="120"/>
        <w:ind w:left="1701" w:hanging="1701"/>
        <w:rPr>
          <w:i/>
          <w:iCs/>
        </w:rPr>
      </w:pPr>
    </w:p>
    <w:p w:rsidR="00A71B19" w:rsidRDefault="00A71B19" w:rsidP="00A71B19">
      <w:pPr>
        <w:spacing w:before="120"/>
        <w:ind w:left="1701" w:hanging="1701"/>
        <w:rPr>
          <w:i/>
          <w:iCs/>
        </w:rPr>
      </w:pPr>
      <w:r>
        <w:rPr>
          <w:i/>
          <w:iCs/>
        </w:rPr>
        <w:t>Donde:</w:t>
      </w:r>
    </w:p>
    <w:p w:rsidR="00A71B19" w:rsidRPr="00402DAB" w:rsidRDefault="00A71B19" w:rsidP="00A71B19">
      <w:pPr>
        <w:spacing w:before="120"/>
        <w:ind w:left="1418" w:hanging="1418"/>
      </w:pPr>
      <w:r w:rsidRPr="00402DAB">
        <w:rPr>
          <w:i/>
          <w:iCs/>
        </w:rPr>
        <w:t>CPROG</w:t>
      </w:r>
      <w:r w:rsidRPr="00402DAB">
        <w:rPr>
          <w:i/>
          <w:iCs/>
          <w:vertAlign w:val="subscript"/>
        </w:rPr>
        <w:t>j,m</w:t>
      </w:r>
      <w:r w:rsidRPr="00402DAB">
        <w:t>:</w:t>
      </w:r>
      <w:r w:rsidRPr="00402DAB">
        <w:tab/>
      </w:r>
      <w:r>
        <w:t xml:space="preserve">Cargo en </w:t>
      </w:r>
      <w:r w:rsidRPr="00402DAB">
        <w:t>$/kWh</w:t>
      </w:r>
      <w:r>
        <w:t xml:space="preserve"> por concepto </w:t>
      </w:r>
      <w:r w:rsidRPr="00402DAB">
        <w:t xml:space="preserve">del </w:t>
      </w:r>
      <w:r>
        <w:t>Plan</w:t>
      </w:r>
      <w:r w:rsidRPr="00402DAB">
        <w:t xml:space="preserve"> de Reducción de Pérdidas</w:t>
      </w:r>
      <w:r w:rsidRPr="00E8683E">
        <w:t xml:space="preserve"> no técnicas</w:t>
      </w:r>
      <w:r w:rsidRPr="00402DAB">
        <w:t xml:space="preserve">, del mercado de comercialización j, en el mes </w:t>
      </w:r>
      <w:r w:rsidRPr="00402DAB">
        <w:rPr>
          <w:i/>
        </w:rPr>
        <w:t>m</w:t>
      </w:r>
      <w:r w:rsidRPr="00402DAB">
        <w:t>.</w:t>
      </w:r>
    </w:p>
    <w:p w:rsidR="00A71B19" w:rsidRPr="00BA2BEA" w:rsidRDefault="00A71B19" w:rsidP="00A71B19">
      <w:pPr>
        <w:pStyle w:val="articulo"/>
        <w:ind w:left="1418" w:hanging="1418"/>
      </w:pPr>
      <w:r w:rsidRPr="00BA2BEA">
        <w:t>ITD</w:t>
      </w:r>
      <w:r w:rsidRPr="00BA2BEA">
        <w:rPr>
          <w:vertAlign w:val="subscript"/>
        </w:rPr>
        <w:t>j</w:t>
      </w:r>
      <w:r w:rsidRPr="00BA2BEA">
        <w:t xml:space="preserve">: </w:t>
      </w:r>
      <w:r w:rsidRPr="00BA2BEA">
        <w:tab/>
      </w:r>
      <w:r>
        <w:tab/>
      </w:r>
      <w:r w:rsidRPr="00BA2BEA">
        <w:t>Ingreso total a devolver por el OR j, en pesos colombianos a la fecha de cálculo.</w:t>
      </w:r>
    </w:p>
    <w:p w:rsidR="00A71B19" w:rsidRDefault="00A71B19" w:rsidP="00A71B19">
      <w:pPr>
        <w:pStyle w:val="articulo"/>
        <w:ind w:left="1418" w:hanging="1418"/>
      </w:pPr>
      <w:r>
        <w:t>VSTN</w:t>
      </w:r>
      <w:r>
        <w:rPr>
          <w:vertAlign w:val="subscript"/>
        </w:rPr>
        <w:t>j,m</w:t>
      </w:r>
      <w:r>
        <w:t>:</w:t>
      </w:r>
      <w:r>
        <w:tab/>
      </w:r>
      <w:r>
        <w:tab/>
      </w:r>
      <w:r w:rsidRPr="004933D4">
        <w:t>Ventas en kWh a usuarios conectados directamente al STN que corresponden al mercado de comercialización j en el mes m.  Corresponde a las lecturas tomadas directamente de los medidores de los usuarios conectados directamente al STN.</w:t>
      </w:r>
    </w:p>
    <w:p w:rsidR="00A71B19" w:rsidRPr="00FD7CFE" w:rsidRDefault="00A71B19" w:rsidP="00A71B19">
      <w:pPr>
        <w:ind w:left="1418" w:hanging="1418"/>
      </w:pPr>
    </w:p>
    <w:p w:rsidR="00A71B19" w:rsidRDefault="00A71B19" w:rsidP="00A71B19">
      <w:pPr>
        <w:ind w:left="1418" w:hanging="1418"/>
      </w:pPr>
      <w:r w:rsidRPr="00FD7CFE">
        <w:rPr>
          <w:i/>
        </w:rPr>
        <w:t>Ee</w:t>
      </w:r>
      <w:r w:rsidRPr="00FD7CFE">
        <w:rPr>
          <w:i/>
          <w:vertAlign w:val="subscript"/>
        </w:rPr>
        <w:t>j,n,s</w:t>
      </w:r>
      <w:r w:rsidRPr="00FD7CFE">
        <w:rPr>
          <w:i/>
        </w:rPr>
        <w:t>:</w:t>
      </w:r>
      <w:r w:rsidRPr="00FD7CFE">
        <w:t xml:space="preserve"> </w:t>
      </w:r>
      <w:r>
        <w:tab/>
      </w:r>
      <w:r w:rsidRPr="00FD7CFE">
        <w:t xml:space="preserve">Energía de entrada al sistema del OR </w:t>
      </w:r>
      <w:r w:rsidRPr="00FD7CFE">
        <w:rPr>
          <w:i/>
        </w:rPr>
        <w:t>j</w:t>
      </w:r>
      <w:r w:rsidRPr="00FD7CFE">
        <w:t xml:space="preserve"> en el Nivel de Tensión </w:t>
      </w:r>
      <w:r w:rsidRPr="00FD7CFE">
        <w:rPr>
          <w:i/>
        </w:rPr>
        <w:t>n</w:t>
      </w:r>
      <w:r w:rsidRPr="00FD7CFE">
        <w:t xml:space="preserve">, en el </w:t>
      </w:r>
      <w:r>
        <w:t>período</w:t>
      </w:r>
      <w:r w:rsidRPr="001B1D2F">
        <w:t xml:space="preserve"> de evaluación </w:t>
      </w:r>
      <w:r>
        <w:rPr>
          <w:i/>
        </w:rPr>
        <w:t>s</w:t>
      </w:r>
      <w:r w:rsidRPr="001B1D2F">
        <w:t>, expresada en kWh</w:t>
      </w:r>
      <w:r>
        <w:t>, c</w:t>
      </w:r>
      <w:r w:rsidRPr="001B1D2F">
        <w:t xml:space="preserve">alculada como se establece en el numeral </w:t>
      </w:r>
      <w:fldSimple w:instr=" REF _Ref260127504 \r \h  \* MERGEFORMAT ">
        <w:r w:rsidR="00322DB3">
          <w:t>4.1.3</w:t>
        </w:r>
      </w:fldSimple>
      <w:r w:rsidRPr="001B1D2F">
        <w:t>.</w:t>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1B1D2F" w:rsidRDefault="00A71B19" w:rsidP="00A71B19">
      <w:pPr>
        <w:ind w:left="1418" w:hanging="1418"/>
      </w:pPr>
    </w:p>
    <w:p w:rsidR="00A71B19" w:rsidRPr="001B1D2F" w:rsidRDefault="00A71B19" w:rsidP="00A71B19">
      <w:pPr>
        <w:ind w:left="1418" w:hanging="1418"/>
      </w:pPr>
      <w:r w:rsidRPr="00593939">
        <w:rPr>
          <w:i/>
        </w:rPr>
        <w:t>IPT</w:t>
      </w:r>
      <w:r w:rsidRPr="00593939">
        <w:rPr>
          <w:i/>
          <w:vertAlign w:val="subscript"/>
        </w:rPr>
        <w:t>j,</w:t>
      </w:r>
      <w:r>
        <w:rPr>
          <w:i/>
          <w:vertAlign w:val="subscript"/>
        </w:rPr>
        <w:t>s</w:t>
      </w:r>
      <w:r w:rsidRPr="003B0CDB">
        <w:rPr>
          <w:i/>
        </w:rPr>
        <w:t>:</w:t>
      </w:r>
      <w:r w:rsidRPr="001B1D2F">
        <w:tab/>
        <w:t xml:space="preserve">Índice de pérdidas totales de energía en el mercado de comercialización servido por el OR </w:t>
      </w:r>
      <w:r w:rsidRPr="00593939">
        <w:rPr>
          <w:i/>
        </w:rPr>
        <w:t>j</w:t>
      </w:r>
      <w:r w:rsidRPr="001B1D2F">
        <w:t xml:space="preserve">, en el </w:t>
      </w:r>
      <w:r>
        <w:t>período</w:t>
      </w:r>
      <w:r w:rsidRPr="001B1D2F">
        <w:t xml:space="preserve"> de evaluación </w:t>
      </w:r>
      <w:r>
        <w:rPr>
          <w:i/>
        </w:rPr>
        <w:t>s</w:t>
      </w:r>
      <w:r>
        <w:t>, calculado</w:t>
      </w:r>
      <w:r w:rsidRPr="001B1D2F">
        <w:t xml:space="preserve"> como se establece en el numeral </w:t>
      </w:r>
      <w:r w:rsidR="00822579">
        <w:fldChar w:fldCharType="begin"/>
      </w:r>
      <w:r>
        <w:instrText xml:space="preserve"> REF _Ref263338674 \r \h </w:instrText>
      </w:r>
      <w:r w:rsidR="00822579">
        <w:fldChar w:fldCharType="separate"/>
      </w:r>
      <w:r w:rsidR="00322DB3">
        <w:t>4.1</w:t>
      </w:r>
      <w:r w:rsidR="00822579">
        <w:fldChar w:fldCharType="end"/>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402DAB" w:rsidRDefault="00A71B19" w:rsidP="00A71B19">
      <w:pPr>
        <w:pStyle w:val="Ttulo2"/>
      </w:pPr>
      <w:bookmarkStart w:id="118" w:name="_Ref280344163"/>
      <w:bookmarkStart w:id="119" w:name="_Toc280712183"/>
      <w:r>
        <w:t xml:space="preserve">Determinación del cargo mensual </w:t>
      </w:r>
      <w:r w:rsidRPr="00387CA8">
        <w:rPr>
          <w:i/>
        </w:rPr>
        <w:t>CPROG</w:t>
      </w:r>
      <w:r w:rsidRPr="00387CA8">
        <w:rPr>
          <w:i/>
          <w:vertAlign w:val="subscript"/>
        </w:rPr>
        <w:t>j,m</w:t>
      </w:r>
      <w:r>
        <w:t xml:space="preserve"> con los recursos depositados en la Fiducia cuando se </w:t>
      </w:r>
      <w:r w:rsidRPr="0065215F">
        <w:t>cancela</w:t>
      </w:r>
      <w:r>
        <w:t xml:space="preserve"> la ejecución del Plan</w:t>
      </w:r>
      <w:bookmarkEnd w:id="118"/>
      <w:bookmarkEnd w:id="119"/>
    </w:p>
    <w:p w:rsidR="00A71B19" w:rsidRDefault="00A71B19" w:rsidP="00A71B19">
      <w:r>
        <w:t xml:space="preserve">Al siguiente mes de terminación de la devolución de ingresos por parte del OR, según lo establecido en el numeral </w:t>
      </w:r>
      <w:r w:rsidR="00822579">
        <w:fldChar w:fldCharType="begin"/>
      </w:r>
      <w:r>
        <w:instrText xml:space="preserve"> REF _Ref280343582 \r \h </w:instrText>
      </w:r>
      <w:r w:rsidR="00822579">
        <w:fldChar w:fldCharType="separate"/>
      </w:r>
      <w:r w:rsidR="00322DB3">
        <w:t>8.2</w:t>
      </w:r>
      <w:r w:rsidR="00822579">
        <w:fldChar w:fldCharType="end"/>
      </w:r>
      <w:r>
        <w:t xml:space="preserve"> de este Anexo, se iniciará la devolución a los usuarios de los recursos depositados en la Fiducia. Para esto la variable </w:t>
      </w:r>
      <w:r w:rsidRPr="00387CA8">
        <w:rPr>
          <w:i/>
        </w:rPr>
        <w:t>CPROG</w:t>
      </w:r>
      <w:r w:rsidRPr="00387CA8">
        <w:rPr>
          <w:i/>
          <w:vertAlign w:val="subscript"/>
        </w:rPr>
        <w:t>j,m</w:t>
      </w:r>
      <w:r>
        <w:t xml:space="preserve"> tomara un valor negativo que será incluido en el Costo Unitario de Prestación del Servicio a la totalidad de usuarios del mercado de comercialización durante un periodo de seis (6) meses. </w:t>
      </w:r>
    </w:p>
    <w:p w:rsidR="00A71B19" w:rsidRDefault="00A71B19" w:rsidP="00A71B19">
      <w:pPr>
        <w:jc w:val="left"/>
      </w:pPr>
    </w:p>
    <w:p w:rsidR="00A71B19" w:rsidRDefault="00A71B19" w:rsidP="00A71B19">
      <w:r>
        <w:t>Este valor será calculado y publicado por el LAC los primeros cinco (5) días de cada mes de la siguiente manera:</w:t>
      </w:r>
    </w:p>
    <w:p w:rsidR="00A71B19" w:rsidRDefault="00A71B19" w:rsidP="00A71B19">
      <w:pPr>
        <w:pStyle w:val="articulo"/>
      </w:pPr>
    </w:p>
    <w:p w:rsidR="00A71B19" w:rsidRPr="00D6055D" w:rsidRDefault="00822579" w:rsidP="00A71B19">
      <w:pPr>
        <w:rPr>
          <w:sz w:val="22"/>
          <w:szCs w:val="22"/>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sSub>
                <m:sSubPr>
                  <m:ctrlPr>
                    <w:rPr>
                      <w:rFonts w:ascii="Cambria Math" w:hAnsi="Cambria Math"/>
                      <w:sz w:val="22"/>
                      <w:szCs w:val="22"/>
                    </w:rPr>
                  </m:ctrlPr>
                </m:sSubPr>
                <m:e>
                  <m:r>
                    <w:rPr>
                      <w:rFonts w:ascii="Cambria Math" w:hAnsi="Cambria Math"/>
                      <w:sz w:val="22"/>
                      <w:szCs w:val="22"/>
                    </w:rPr>
                    <m:t>ITF</m:t>
                  </m:r>
                </m:e>
                <m:sub>
                  <m:r>
                    <w:rPr>
                      <w:rFonts w:ascii="Cambria Math" w:hAnsi="Cambria Math"/>
                      <w:sz w:val="22"/>
                      <w:szCs w:val="22"/>
                    </w:rPr>
                    <m:t>j</m:t>
                  </m:r>
                </m:sub>
              </m:sSub>
            </m:num>
            <m:den>
              <m:sSub>
                <m:sSubPr>
                  <m:ctrlPr>
                    <w:rPr>
                      <w:rFonts w:ascii="Cambria Math" w:hAnsi="Cambria Math"/>
                      <w:sz w:val="22"/>
                      <w:szCs w:val="22"/>
                    </w:rPr>
                  </m:ctrlPr>
                </m:sSubPr>
                <m:e>
                  <m:nary>
                    <m:naryPr>
                      <m:chr m:val="∑"/>
                      <m:limLoc m:val="undOvr"/>
                      <m:ctrlPr>
                        <w:rPr>
                          <w:rFonts w:ascii="Cambria Math" w:hAnsi="Cambria Math"/>
                          <w:sz w:val="22"/>
                          <w:szCs w:val="22"/>
                        </w:rPr>
                      </m:ctrlPr>
                    </m:naryPr>
                    <m:sub>
                      <m:r>
                        <m:rPr>
                          <m:sty m:val="p"/>
                        </m:rPr>
                        <w:rPr>
                          <w:rFonts w:ascii="Cambria Math" w:hAnsi="Cambria Math"/>
                          <w:sz w:val="22"/>
                          <w:szCs w:val="22"/>
                        </w:rPr>
                        <m:t>m=-12</m:t>
                      </m:r>
                    </m:sub>
                    <m:sup>
                      <m:r>
                        <m:rPr>
                          <m:sty m:val="p"/>
                        </m:rPr>
                        <w:rPr>
                          <w:rFonts w:ascii="Cambria Math" w:hAnsi="Cambria Math"/>
                          <w:sz w:val="22"/>
                          <w:szCs w:val="22"/>
                        </w:rPr>
                        <m:t>m-1</m:t>
                      </m:r>
                    </m:sup>
                    <m:e>
                      <m:r>
                        <m:rPr>
                          <m:sty m:val="p"/>
                        </m:rPr>
                        <w:rPr>
                          <w:rFonts w:ascii="Cambria Math" w:hAnsi="Cambria Math"/>
                          <w:sz w:val="22"/>
                          <w:szCs w:val="22"/>
                        </w:rPr>
                        <m:t>VSTN</m:t>
                      </m:r>
                    </m:e>
                  </m:nary>
                </m:e>
                <m:sub>
                  <m:r>
                    <m:rPr>
                      <m:sty m:val="p"/>
                    </m:rPr>
                    <w:rPr>
                      <w:rFonts w:ascii="Cambria Math" w:hAnsi="Cambria Math"/>
                      <w:sz w:val="22"/>
                      <w:szCs w:val="22"/>
                    </w:rPr>
                    <m:t>j,m</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m:rPr>
                      <m:sty m:val="p"/>
                    </m:rPr>
                    <w:rPr>
                      <w:rFonts w:ascii="Cambria Math" w:hAnsi="Cambria Math"/>
                      <w:sz w:val="22"/>
                      <w:szCs w:val="22"/>
                    </w:rPr>
                    <m:t>s=-2</m:t>
                  </m:r>
                </m:sub>
                <m:sup>
                  <m:r>
                    <m:rPr>
                      <m:sty m:val="p"/>
                    </m:rPr>
                    <w:rPr>
                      <w:rFonts w:ascii="Cambria Math" w:hAnsi="Cambria Math"/>
                      <w:sz w:val="22"/>
                      <w:szCs w:val="22"/>
                    </w:rPr>
                    <m:t>s=-1</m:t>
                  </m:r>
                </m:sup>
                <m:e>
                  <m:nary>
                    <m:naryPr>
                      <m:chr m:val="∑"/>
                      <m:limLoc m:val="undOvr"/>
                      <m:ctrlPr>
                        <w:rPr>
                          <w:rFonts w:ascii="Cambria Math" w:hAnsi="Cambria Math"/>
                          <w:i/>
                          <w:sz w:val="22"/>
                          <w:szCs w:val="22"/>
                        </w:rPr>
                      </m:ctrlPr>
                    </m:naryPr>
                    <m:sub>
                      <m:sSup>
                        <m:sSupPr>
                          <m:ctrlPr>
                            <w:rPr>
                              <w:rFonts w:ascii="Cambria Math" w:hAnsi="Cambria Math"/>
                              <w:i/>
                              <w:sz w:val="22"/>
                              <w:szCs w:val="22"/>
                            </w:rPr>
                          </m:ctrlPr>
                        </m:sSupPr>
                        <m:e>
                          <m:r>
                            <w:rPr>
                              <w:rFonts w:ascii="Cambria Math" w:hAnsi="Cambria Math"/>
                              <w:sz w:val="22"/>
                              <w:szCs w:val="22"/>
                            </w:rPr>
                            <m:t>n=1</m:t>
                          </m:r>
                        </m:e>
                        <m:sup/>
                      </m:sSup>
                    </m:sub>
                    <m:sup>
                      <m:sSub>
                        <m:sSubPr>
                          <m:ctrlPr>
                            <w:rPr>
                              <w:rFonts w:ascii="Cambria Math" w:hAnsi="Cambria Math"/>
                              <w:i/>
                              <w:sz w:val="22"/>
                              <w:szCs w:val="22"/>
                            </w:rPr>
                          </m:ctrlPr>
                        </m:sSubPr>
                        <m:e>
                          <m:r>
                            <w:rPr>
                              <w:rFonts w:ascii="Cambria Math" w:hAnsi="Cambria Math"/>
                              <w:sz w:val="22"/>
                              <w:szCs w:val="22"/>
                            </w:rPr>
                            <m:t>4</m:t>
                          </m:r>
                        </m:e>
                        <m:sub>
                          <m:sSub>
                            <m:sSubPr>
                              <m:ctrlPr>
                                <w:rPr>
                                  <w:rFonts w:ascii="Cambria Math" w:hAnsi="Cambria Math"/>
                                  <w:i/>
                                  <w:sz w:val="22"/>
                                  <w:szCs w:val="22"/>
                                </w:rPr>
                              </m:ctrlPr>
                            </m:sSubPr>
                            <m:e/>
                            <m:sub/>
                          </m:sSub>
                        </m:sub>
                      </m:sSub>
                    </m:sup>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e>
                  </m:nary>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js</m:t>
                          </m:r>
                        </m:sub>
                      </m:sSub>
                    </m:e>
                  </m:d>
                </m:e>
              </m:nary>
            </m:den>
          </m:f>
        </m:oMath>
      </m:oMathPara>
    </w:p>
    <w:p w:rsidR="00A71B19" w:rsidRDefault="00A71B19" w:rsidP="00A71B19">
      <w:pPr>
        <w:spacing w:before="120"/>
        <w:ind w:left="1701" w:hanging="1701"/>
        <w:rPr>
          <w:i/>
          <w:iCs/>
        </w:rPr>
      </w:pPr>
    </w:p>
    <w:p w:rsidR="00A71B19" w:rsidRDefault="00A71B19" w:rsidP="00A71B19">
      <w:pPr>
        <w:spacing w:before="120"/>
        <w:ind w:left="1701" w:hanging="1701"/>
        <w:rPr>
          <w:i/>
          <w:iCs/>
        </w:rPr>
      </w:pPr>
      <w:r>
        <w:rPr>
          <w:i/>
          <w:iCs/>
        </w:rPr>
        <w:t>Donde:</w:t>
      </w:r>
    </w:p>
    <w:p w:rsidR="00A71B19" w:rsidRPr="00402DAB" w:rsidRDefault="00A71B19" w:rsidP="00A71B19">
      <w:pPr>
        <w:spacing w:before="120"/>
        <w:ind w:left="1418" w:hanging="1418"/>
      </w:pPr>
      <w:r w:rsidRPr="00402DAB">
        <w:rPr>
          <w:i/>
          <w:iCs/>
        </w:rPr>
        <w:t>CPROG</w:t>
      </w:r>
      <w:r w:rsidRPr="00402DAB">
        <w:rPr>
          <w:i/>
          <w:iCs/>
          <w:vertAlign w:val="subscript"/>
        </w:rPr>
        <w:t>j,m</w:t>
      </w:r>
      <w:r w:rsidRPr="00402DAB">
        <w:t>:</w:t>
      </w:r>
      <w:r w:rsidRPr="00402DAB">
        <w:tab/>
      </w:r>
      <w:r>
        <w:t xml:space="preserve">Cargo en </w:t>
      </w:r>
      <w:r w:rsidRPr="00402DAB">
        <w:t>$/kWh</w:t>
      </w:r>
      <w:r>
        <w:t xml:space="preserve"> por concepto </w:t>
      </w:r>
      <w:r w:rsidRPr="00402DAB">
        <w:t xml:space="preserve">del </w:t>
      </w:r>
      <w:r>
        <w:t>Plan</w:t>
      </w:r>
      <w:r w:rsidRPr="00402DAB">
        <w:t xml:space="preserve"> de Reducción de Pérdidas</w:t>
      </w:r>
      <w:r w:rsidRPr="00E8683E">
        <w:t xml:space="preserve"> no técnicas</w:t>
      </w:r>
      <w:r w:rsidRPr="00402DAB">
        <w:t xml:space="preserve">, del mercado de comercialización j, en el mes </w:t>
      </w:r>
      <w:r w:rsidRPr="00402DAB">
        <w:rPr>
          <w:i/>
        </w:rPr>
        <w:t>m</w:t>
      </w:r>
      <w:r w:rsidRPr="00402DAB">
        <w:t>.</w:t>
      </w:r>
    </w:p>
    <w:p w:rsidR="00A71B19" w:rsidRPr="00BA2BEA" w:rsidRDefault="00A71B19" w:rsidP="00A71B19">
      <w:pPr>
        <w:pStyle w:val="articulo"/>
        <w:ind w:left="1418" w:hanging="1418"/>
      </w:pPr>
      <w:r w:rsidRPr="00BA2BEA">
        <w:t>IT</w:t>
      </w:r>
      <w:r>
        <w:t>F</w:t>
      </w:r>
      <w:r w:rsidRPr="00BA2BEA">
        <w:rPr>
          <w:vertAlign w:val="subscript"/>
        </w:rPr>
        <w:t>j</w:t>
      </w:r>
      <w:r w:rsidRPr="00BA2BEA">
        <w:t xml:space="preserve">: </w:t>
      </w:r>
      <w:r w:rsidRPr="00BA2BEA">
        <w:tab/>
      </w:r>
      <w:r>
        <w:tab/>
      </w:r>
      <w:r w:rsidRPr="00BA2BEA">
        <w:t xml:space="preserve">Ingreso total </w:t>
      </w:r>
      <w:r>
        <w:t xml:space="preserve">en la Fiducia constituida por el </w:t>
      </w:r>
      <w:r w:rsidRPr="00BA2BEA">
        <w:t>OR j, en pesos colombianos a la fecha de cálculo.</w:t>
      </w:r>
    </w:p>
    <w:p w:rsidR="00A71B19" w:rsidRDefault="00A71B19" w:rsidP="00A71B19">
      <w:pPr>
        <w:pStyle w:val="articulo"/>
        <w:ind w:left="1418" w:hanging="1418"/>
      </w:pPr>
      <w:r>
        <w:t>VSTN</w:t>
      </w:r>
      <w:r>
        <w:rPr>
          <w:vertAlign w:val="subscript"/>
        </w:rPr>
        <w:t>j,m</w:t>
      </w:r>
      <w:r>
        <w:t>:</w:t>
      </w:r>
      <w:r>
        <w:tab/>
      </w:r>
      <w:r>
        <w:tab/>
      </w:r>
      <w:r w:rsidRPr="004933D4">
        <w:t>Ventas en kWh a usuarios conectados directamente al STN que corresponden al mercado de comercialización j en el mes m.  Corresponde a las lecturas tomadas directamente de los medidores de los usuarios conectados directamente al STN.</w:t>
      </w:r>
    </w:p>
    <w:p w:rsidR="00A71B19" w:rsidRPr="00FD7CFE" w:rsidRDefault="00A71B19" w:rsidP="00A71B19">
      <w:pPr>
        <w:ind w:left="1418" w:hanging="1418"/>
      </w:pPr>
    </w:p>
    <w:p w:rsidR="00A71B19" w:rsidRDefault="00A71B19" w:rsidP="00A71B19">
      <w:pPr>
        <w:ind w:left="1418" w:hanging="1418"/>
      </w:pPr>
      <w:r w:rsidRPr="00FD7CFE">
        <w:rPr>
          <w:i/>
        </w:rPr>
        <w:t>Ee</w:t>
      </w:r>
      <w:r w:rsidRPr="00FD7CFE">
        <w:rPr>
          <w:i/>
          <w:vertAlign w:val="subscript"/>
        </w:rPr>
        <w:t>j,n,s</w:t>
      </w:r>
      <w:r w:rsidRPr="00FD7CFE">
        <w:rPr>
          <w:i/>
        </w:rPr>
        <w:t>:</w:t>
      </w:r>
      <w:r w:rsidRPr="00FD7CFE">
        <w:t xml:space="preserve"> </w:t>
      </w:r>
      <w:r>
        <w:tab/>
      </w:r>
      <w:r w:rsidRPr="00FD7CFE">
        <w:t xml:space="preserve">Energía de entrada al sistema del OR </w:t>
      </w:r>
      <w:r w:rsidRPr="00FD7CFE">
        <w:rPr>
          <w:i/>
        </w:rPr>
        <w:t>j</w:t>
      </w:r>
      <w:r w:rsidRPr="00FD7CFE">
        <w:t xml:space="preserve"> en el Nivel de Tensión </w:t>
      </w:r>
      <w:r w:rsidRPr="00FD7CFE">
        <w:rPr>
          <w:i/>
        </w:rPr>
        <w:t>n</w:t>
      </w:r>
      <w:r w:rsidRPr="00FD7CFE">
        <w:t xml:space="preserve">, en el </w:t>
      </w:r>
      <w:r>
        <w:t>período</w:t>
      </w:r>
      <w:r w:rsidRPr="001B1D2F">
        <w:t xml:space="preserve"> de evaluación </w:t>
      </w:r>
      <w:r>
        <w:rPr>
          <w:i/>
        </w:rPr>
        <w:t>s</w:t>
      </w:r>
      <w:r w:rsidRPr="001B1D2F">
        <w:t>, expresada en kWh</w:t>
      </w:r>
      <w:r>
        <w:t>, c</w:t>
      </w:r>
      <w:r w:rsidRPr="001B1D2F">
        <w:t xml:space="preserve">alculada como se establece en el numeral </w:t>
      </w:r>
      <w:fldSimple w:instr=" REF _Ref260127504 \r \h  \* MERGEFORMAT ">
        <w:r w:rsidR="00322DB3">
          <w:t>4.1.3</w:t>
        </w:r>
      </w:fldSimple>
      <w:r w:rsidRPr="001B1D2F">
        <w:t>.</w:t>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1B1D2F" w:rsidRDefault="00A71B19" w:rsidP="00A71B19">
      <w:pPr>
        <w:ind w:left="1418" w:hanging="1418"/>
      </w:pPr>
    </w:p>
    <w:p w:rsidR="00A71B19" w:rsidRPr="001B1D2F" w:rsidRDefault="00A71B19" w:rsidP="00A71B19">
      <w:pPr>
        <w:ind w:left="1418" w:hanging="1418"/>
      </w:pPr>
      <w:r w:rsidRPr="00593939">
        <w:rPr>
          <w:i/>
        </w:rPr>
        <w:t>IPT</w:t>
      </w:r>
      <w:r w:rsidRPr="00593939">
        <w:rPr>
          <w:i/>
          <w:vertAlign w:val="subscript"/>
        </w:rPr>
        <w:t>j,</w:t>
      </w:r>
      <w:r>
        <w:rPr>
          <w:i/>
          <w:vertAlign w:val="subscript"/>
        </w:rPr>
        <w:t>s</w:t>
      </w:r>
      <w:r w:rsidRPr="003B0CDB">
        <w:rPr>
          <w:i/>
        </w:rPr>
        <w:t>:</w:t>
      </w:r>
      <w:r w:rsidRPr="001B1D2F">
        <w:tab/>
        <w:t xml:space="preserve">Índice de pérdidas totales de energía en el mercado de comercialización servido por el OR </w:t>
      </w:r>
      <w:r w:rsidRPr="00593939">
        <w:rPr>
          <w:i/>
        </w:rPr>
        <w:t>j</w:t>
      </w:r>
      <w:r w:rsidRPr="001B1D2F">
        <w:t xml:space="preserve">, en el </w:t>
      </w:r>
      <w:r>
        <w:t>período</w:t>
      </w:r>
      <w:r w:rsidRPr="001B1D2F">
        <w:t xml:space="preserve"> de evaluación </w:t>
      </w:r>
      <w:r>
        <w:rPr>
          <w:i/>
        </w:rPr>
        <w:t>s</w:t>
      </w:r>
      <w:r>
        <w:t>, calculado</w:t>
      </w:r>
      <w:r w:rsidRPr="001B1D2F">
        <w:t xml:space="preserve"> como se establece en el numeral </w:t>
      </w:r>
      <w:r w:rsidR="00822579">
        <w:fldChar w:fldCharType="begin"/>
      </w:r>
      <w:r>
        <w:instrText xml:space="preserve"> REF _Ref263338674 \r \h </w:instrText>
      </w:r>
      <w:r w:rsidR="00822579">
        <w:fldChar w:fldCharType="separate"/>
      </w:r>
      <w:r w:rsidR="00322DB3">
        <w:t>4.1</w:t>
      </w:r>
      <w:r w:rsidR="00822579">
        <w:fldChar w:fldCharType="end"/>
      </w:r>
      <w:r>
        <w:t xml:space="preserve"> del </w:t>
      </w:r>
      <w:r w:rsidR="00822579">
        <w:fldChar w:fldCharType="begin"/>
      </w:r>
      <w:r>
        <w:instrText xml:space="preserve"> REF _Ref263330202 \r \h </w:instrText>
      </w:r>
      <w:r w:rsidR="00822579">
        <w:fldChar w:fldCharType="separate"/>
      </w:r>
      <w:r w:rsidR="00322DB3">
        <w:t>ANEXO 4</w:t>
      </w:r>
      <w:r w:rsidR="00822579">
        <w:fldChar w:fldCharType="end"/>
      </w:r>
      <w:r>
        <w:t>.</w:t>
      </w:r>
    </w:p>
    <w:p w:rsidR="00A71B19" w:rsidRPr="005C0719" w:rsidRDefault="00A71B19" w:rsidP="00A71B19">
      <w:pPr>
        <w:pStyle w:val="Ttulo2"/>
      </w:pPr>
      <w:bookmarkStart w:id="120" w:name="_Toc280712184"/>
      <w:r w:rsidRPr="005C0719">
        <w:t>Liquidación y recaudo</w:t>
      </w:r>
      <w:bookmarkEnd w:id="120"/>
    </w:p>
    <w:p w:rsidR="00A71B19" w:rsidRDefault="00A71B19" w:rsidP="00A71B19">
      <w:r>
        <w:t>Mensualmente el LAC determinará el valor que cada Comercializador debe descontar al OR del pago de los cargos de distribución que le corresponda, de acuerdo con la siguiente expresión:</w:t>
      </w:r>
    </w:p>
    <w:p w:rsidR="00A71B19" w:rsidRDefault="00A71B19" w:rsidP="00A71B19"/>
    <w:p w:rsidR="000E07D9" w:rsidRDefault="000E07D9" w:rsidP="00A71B19"/>
    <w:p w:rsidR="00A71B19" w:rsidRPr="00D6055D" w:rsidRDefault="00822579" w:rsidP="00A71B19">
      <w:pPr>
        <w:rPr>
          <w:i/>
        </w:rPr>
      </w:pPr>
      <m:oMathPara>
        <m:oMath>
          <m:sSub>
            <m:sSubPr>
              <m:ctrlPr>
                <w:rPr>
                  <w:rFonts w:ascii="Cambria Math" w:hAnsi="Cambria Math"/>
                  <w:sz w:val="22"/>
                  <w:szCs w:val="22"/>
                </w:rPr>
              </m:ctrlPr>
            </m:sSubPr>
            <m:e>
              <m:r>
                <w:rPr>
                  <w:rFonts w:ascii="Cambria Math" w:hAnsi="Cambria Math"/>
                  <w:sz w:val="22"/>
                  <w:szCs w:val="22"/>
                </w:rPr>
                <m:t>LCPROG</m:t>
              </m:r>
            </m:e>
            <m:sub>
              <m:r>
                <w:rPr>
                  <w:rFonts w:ascii="Cambria Math" w:hAnsi="Cambria Math"/>
                  <w:sz w:val="22"/>
                  <w:szCs w:val="22"/>
                </w:rPr>
                <m:t>i,j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sz w:val="22"/>
                  <w:szCs w:val="22"/>
                </w:rPr>
              </m:ctrlPr>
            </m:sSubPr>
            <m:e>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m:t>
                  </m:r>
                </m:sub>
              </m:sSub>
            </m:e>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i,j,m</m:t>
              </m:r>
            </m:sub>
          </m:sSub>
        </m:oMath>
      </m:oMathPara>
    </w:p>
    <w:p w:rsidR="00A71B19" w:rsidRDefault="00A71B19" w:rsidP="00A71B19"/>
    <w:p w:rsidR="000E07D9" w:rsidRDefault="000E07D9" w:rsidP="00A71B19"/>
    <w:p w:rsidR="00A71B19" w:rsidRDefault="00A71B19" w:rsidP="00A71B19">
      <w:r>
        <w:t>Donde:</w:t>
      </w:r>
    </w:p>
    <w:p w:rsidR="00A71B19" w:rsidRDefault="00A71B19" w:rsidP="00A71B19"/>
    <w:p w:rsidR="00A71B19" w:rsidRPr="00402DAB" w:rsidRDefault="00A71B19" w:rsidP="00A71B19">
      <w:pPr>
        <w:spacing w:before="120"/>
        <w:ind w:left="1701" w:hanging="1701"/>
      </w:pPr>
      <w:r w:rsidRPr="00402DAB">
        <w:rPr>
          <w:i/>
          <w:iCs/>
        </w:rPr>
        <w:t>LCPROG</w:t>
      </w:r>
      <w:r w:rsidRPr="00402DAB">
        <w:rPr>
          <w:i/>
          <w:iCs/>
          <w:vertAlign w:val="subscript"/>
        </w:rPr>
        <w:t>i,j,m</w:t>
      </w:r>
      <w:r w:rsidRPr="00402DAB">
        <w:t>:</w:t>
      </w:r>
      <w:r w:rsidRPr="00402DAB">
        <w:tab/>
        <w:t xml:space="preserve">Liquidación por concepto de CPROG, en el mercado de comercialización </w:t>
      </w:r>
      <w:r w:rsidRPr="00402DAB">
        <w:rPr>
          <w:i/>
        </w:rPr>
        <w:t>j</w:t>
      </w:r>
      <w:r w:rsidRPr="00402DAB">
        <w:t xml:space="preserve">, por las ventas en el mes </w:t>
      </w:r>
      <w:r w:rsidRPr="00402DAB">
        <w:rPr>
          <w:i/>
          <w:iCs/>
        </w:rPr>
        <w:t>m</w:t>
      </w:r>
      <w:r w:rsidRPr="00402DAB">
        <w:rPr>
          <w:iCs/>
        </w:rPr>
        <w:t>, que facturará el OR</w:t>
      </w:r>
      <w:r w:rsidRPr="00402DAB">
        <w:rPr>
          <w:i/>
          <w:iCs/>
        </w:rPr>
        <w:t xml:space="preserve"> j </w:t>
      </w:r>
      <w:r w:rsidRPr="00402DAB">
        <w:t xml:space="preserve">al comercializador </w:t>
      </w:r>
      <w:r w:rsidRPr="00402DAB">
        <w:rPr>
          <w:i/>
          <w:iCs/>
        </w:rPr>
        <w:t>i</w:t>
      </w:r>
      <w:r w:rsidRPr="00402DAB">
        <w:t>.</w:t>
      </w:r>
    </w:p>
    <w:p w:rsidR="00A71B19" w:rsidRDefault="00A71B19" w:rsidP="00A71B19">
      <w:pPr>
        <w:spacing w:before="120"/>
        <w:ind w:left="1701" w:hanging="1701"/>
      </w:pPr>
      <w:r w:rsidRPr="00402DAB">
        <w:rPr>
          <w:i/>
          <w:iCs/>
        </w:rPr>
        <w:t>VC</w:t>
      </w:r>
      <w:r w:rsidRPr="00402DAB">
        <w:rPr>
          <w:i/>
          <w:iCs/>
          <w:vertAlign w:val="subscript"/>
        </w:rPr>
        <w:t>i,j,m</w:t>
      </w:r>
      <w:r w:rsidRPr="00402DAB">
        <w:t>:</w:t>
      </w:r>
      <w:r w:rsidRPr="00402DAB">
        <w:tab/>
        <w:t xml:space="preserve">Ventas del Comercializador </w:t>
      </w:r>
      <w:r w:rsidRPr="00402DAB">
        <w:rPr>
          <w:i/>
          <w:iCs/>
        </w:rPr>
        <w:t>i</w:t>
      </w:r>
      <w:r w:rsidRPr="00402DAB">
        <w:t xml:space="preserve">, en el mercado de comercialización </w:t>
      </w:r>
      <w:r w:rsidRPr="00402DAB">
        <w:rPr>
          <w:i/>
        </w:rPr>
        <w:t>j</w:t>
      </w:r>
      <w:r w:rsidRPr="00402DAB">
        <w:t xml:space="preserve">, durante el mes de consumo </w:t>
      </w:r>
      <w:r w:rsidRPr="00402DAB">
        <w:rPr>
          <w:i/>
          <w:iCs/>
        </w:rPr>
        <w:t>m</w:t>
      </w:r>
      <w:r w:rsidRPr="00402DAB">
        <w:t xml:space="preserve">, considerando las ventas a usuarios conectados directamente al STN que hacen parte del mercado de comercialización </w:t>
      </w:r>
      <w:r w:rsidRPr="00402DAB">
        <w:rPr>
          <w:i/>
        </w:rPr>
        <w:t>j</w:t>
      </w:r>
      <w:r w:rsidRPr="00402DAB">
        <w:t>, reportadas al SUI.</w:t>
      </w:r>
    </w:p>
    <w:p w:rsidR="00A71B19" w:rsidRPr="00402DAB" w:rsidRDefault="00A71B19" w:rsidP="00A71B19">
      <w:pPr>
        <w:spacing w:before="120"/>
        <w:ind w:left="1701"/>
        <w:rPr>
          <w:iCs/>
        </w:rPr>
      </w:pPr>
      <w:r w:rsidRPr="00402DAB">
        <w:t xml:space="preserve">Cuando, para un comercializador no </w:t>
      </w:r>
      <w:r>
        <w:t>incumbente</w:t>
      </w:r>
      <w:r w:rsidRPr="00402DAB">
        <w:t xml:space="preserve">, el LAC encuentre diferencias de más del </w:t>
      </w:r>
      <w:r>
        <w:t>10</w:t>
      </w:r>
      <w:r w:rsidRPr="00402DAB">
        <w:t xml:space="preserve">% entre las ventas totales reportadas al SUI y la </w:t>
      </w:r>
      <w:r w:rsidRPr="00402DAB">
        <w:rPr>
          <w:iCs/>
        </w:rPr>
        <w:t xml:space="preserve">suma de la energía medida, sin referir al STN, en las fronteras comerciales de su responsabilidad para un mismo mes; el comercializador deberá soportar la razón de las diferencias ante el LAC en un término de </w:t>
      </w:r>
      <w:r>
        <w:rPr>
          <w:iCs/>
        </w:rPr>
        <w:t xml:space="preserve">(2) </w:t>
      </w:r>
      <w:r w:rsidRPr="00402DAB">
        <w:rPr>
          <w:iCs/>
        </w:rPr>
        <w:t>dos días hábiles siguientes a la publicación del informe de ventas que efectúe el LAC. En caso de no explicar las diferencias el LAC utilizará una energía equivalente a 2 veces el mayor valor</w:t>
      </w:r>
      <w:r>
        <w:rPr>
          <w:iCs/>
        </w:rPr>
        <w:t xml:space="preserve"> entre los dos comparados</w:t>
      </w:r>
      <w:r w:rsidRPr="00402DAB">
        <w:rPr>
          <w:iCs/>
        </w:rPr>
        <w:t>.</w:t>
      </w:r>
    </w:p>
    <w:p w:rsidR="00A71B19" w:rsidRPr="00402DAB" w:rsidRDefault="00A71B19" w:rsidP="00A71B19"/>
    <w:p w:rsidR="00A71B19" w:rsidRDefault="00A71B19" w:rsidP="00A71B19">
      <w:r w:rsidRPr="00402DAB">
        <w:t>La facturación y recaudo a los agentes comercializadores le corresponderá a los OR, utilizando la li</w:t>
      </w:r>
      <w:r>
        <w:t>quidación elaborada por el LAC.</w:t>
      </w:r>
    </w:p>
    <w:p w:rsidR="00A71B19" w:rsidRDefault="00A71B19" w:rsidP="00A71B19"/>
    <w:p w:rsidR="002F1EFE" w:rsidRDefault="002F1EFE" w:rsidP="00A71B19">
      <w:pPr>
        <w:rPr>
          <w:szCs w:val="22"/>
        </w:rPr>
      </w:pPr>
    </w:p>
    <w:p w:rsidR="00080B91" w:rsidRPr="00555E6A" w:rsidRDefault="00080B91" w:rsidP="00080B91">
      <w:pPr>
        <w:rPr>
          <w:rFonts w:cs="Arial"/>
          <w:b/>
          <w:spacing w:val="-3"/>
        </w:rPr>
      </w:pPr>
      <w:r w:rsidRPr="00555E6A">
        <w:rPr>
          <w:b/>
        </w:rPr>
        <w:t>Firma del proyecto</w:t>
      </w: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C26C6F" w:rsidP="00C26C6F">
      <w:pPr>
        <w:jc w:val="center"/>
        <w:rPr>
          <w:b/>
          <w:szCs w:val="22"/>
        </w:rPr>
      </w:pPr>
      <w:r w:rsidRPr="00C26C6F">
        <w:rPr>
          <w:b/>
          <w:szCs w:val="22"/>
        </w:rPr>
        <w:t>PROYECTO  DE RESOLUCIÓN No.2</w:t>
      </w:r>
    </w:p>
    <w:p w:rsidR="00C26C6F" w:rsidRPr="00C26C6F" w:rsidRDefault="00C26C6F" w:rsidP="00C26C6F">
      <w:pPr>
        <w:jc w:val="center"/>
        <w:rPr>
          <w:b/>
          <w:szCs w:val="22"/>
        </w:rPr>
      </w:pPr>
    </w:p>
    <w:p w:rsidR="008100EF" w:rsidRDefault="008100EF" w:rsidP="008100EF">
      <w:pPr>
        <w:rPr>
          <w:rFonts w:cs="Arial"/>
        </w:rPr>
      </w:pPr>
      <w:r>
        <w:rPr>
          <w:rFonts w:cs="Arial"/>
        </w:rPr>
        <w:t>Por la cual se modifica la fórmula tarifaria general que permite a los Comercializadores Minoristas de electricidad establecer los costos de prestación del servicio a usuarios regulados en el Sistema Interconectado Nacional establecida en la Resolución CREG 119 de 2007.</w:t>
      </w:r>
    </w:p>
    <w:p w:rsidR="008100EF" w:rsidRDefault="008100EF" w:rsidP="008100EF">
      <w:pPr>
        <w:rPr>
          <w:rFonts w:cs="Arial"/>
        </w:rPr>
      </w:pPr>
    </w:p>
    <w:p w:rsidR="008100EF" w:rsidRDefault="008100EF" w:rsidP="008100EF">
      <w:pPr>
        <w:rPr>
          <w:rFonts w:cs="Arial"/>
        </w:rPr>
      </w:pPr>
    </w:p>
    <w:p w:rsidR="008100EF" w:rsidRDefault="008100EF" w:rsidP="008100EF">
      <w:pPr>
        <w:jc w:val="center"/>
        <w:rPr>
          <w:b/>
        </w:rPr>
      </w:pPr>
      <w:r>
        <w:rPr>
          <w:b/>
        </w:rPr>
        <w:t>LA COMISIÓN DE REGULACIÓN DE ENERGÍA Y GAS</w:t>
      </w:r>
    </w:p>
    <w:p w:rsidR="008100EF" w:rsidRDefault="008100EF" w:rsidP="008100EF">
      <w:pPr>
        <w:rPr>
          <w:rFonts w:cs="Arial"/>
        </w:rPr>
      </w:pPr>
    </w:p>
    <w:p w:rsidR="008100EF" w:rsidRDefault="008100EF" w:rsidP="008100EF">
      <w:pPr>
        <w:rPr>
          <w:rFonts w:cs="Arial"/>
        </w:rPr>
      </w:pPr>
    </w:p>
    <w:p w:rsidR="008100EF" w:rsidRDefault="008100EF" w:rsidP="008100EF">
      <w:pPr>
        <w:rPr>
          <w:rFonts w:cs="Arial"/>
        </w:rPr>
      </w:pPr>
      <w:r>
        <w:rPr>
          <w:rFonts w:cs="Arial"/>
        </w:rPr>
        <w:t>en ejercicio de las atribuciones legales, en especial las conferidas por las Leyes 142 y 143 de 1994, y los decretos 1524 y 2253 de 1994.</w:t>
      </w:r>
    </w:p>
    <w:p w:rsidR="008100EF" w:rsidRDefault="008100EF" w:rsidP="008100EF">
      <w:pPr>
        <w:rPr>
          <w:rFonts w:cs="Arial"/>
        </w:rPr>
      </w:pPr>
    </w:p>
    <w:p w:rsidR="008100EF" w:rsidRDefault="008100EF" w:rsidP="008100EF">
      <w:pPr>
        <w:rPr>
          <w:rFonts w:cs="Arial"/>
        </w:rPr>
      </w:pPr>
    </w:p>
    <w:p w:rsidR="008100EF" w:rsidRDefault="008100EF" w:rsidP="008100EF">
      <w:pPr>
        <w:jc w:val="center"/>
        <w:rPr>
          <w:rFonts w:cs="Arial"/>
          <w:b/>
        </w:rPr>
      </w:pPr>
      <w:r>
        <w:rPr>
          <w:b/>
        </w:rPr>
        <w:t>C O N S I D E R A N D O</w:t>
      </w:r>
      <w:r>
        <w:rPr>
          <w:rFonts w:cs="Arial"/>
          <w:b/>
        </w:rPr>
        <w:t>:</w:t>
      </w:r>
    </w:p>
    <w:p w:rsidR="00C26C6F" w:rsidRDefault="00C26C6F" w:rsidP="008100EF">
      <w:pPr>
        <w:jc w:val="center"/>
        <w:rPr>
          <w:rFonts w:cs="Arial"/>
          <w:b/>
        </w:rPr>
      </w:pPr>
    </w:p>
    <w:p w:rsidR="008100EF" w:rsidRDefault="008100EF" w:rsidP="008100EF">
      <w:r>
        <w:t>Que conforme a lo previsto en el numeral 14.10 del artículo 14, de la Ley 142 de 1994 la libertad regulada es el régimen de tarifas mediante el cual la comisión de regulación respectiva fijará los criterios y la metodología con arreglo a los cuales las empresas de servicios públicos domiciliarios pueden determinar o modificar los precios máximos para los servicios ofrecidos al usuario o consumidor.</w:t>
      </w:r>
    </w:p>
    <w:p w:rsidR="008100EF" w:rsidRDefault="008100EF" w:rsidP="008100EF"/>
    <w:p w:rsidR="008100EF" w:rsidRDefault="008100EF" w:rsidP="008100EF">
      <w:r>
        <w:t>Que de acuerdo  con el numeral 88.1 del artículo 88 de la Ley 142 de 1994, “las empresas deberán ceñirse a las fórmulas que defina periódicamente la respectiva comisión para fijar sus tarifas, salvo en los casos excepcionales que señala la Ley.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rsidR="008100EF" w:rsidRDefault="008100EF" w:rsidP="008100EF"/>
    <w:p w:rsidR="008100EF" w:rsidRDefault="008100EF" w:rsidP="008100EF">
      <w:r>
        <w:t>Que en concordancia con lo anterior, el artículo 11 de la Ley 143 de 1994, bajo el régimen tarifario de libertad regulada le corresponde a la Comisión de Regulación de Energía y Gas fijar “los criterios y la metodología con arreglo a los cuales las empresas de electricidad podrán determinar o modificar los precios máximos para los servicios ofrecidos”;</w:t>
      </w:r>
    </w:p>
    <w:p w:rsidR="008100EF" w:rsidRDefault="008100EF" w:rsidP="008100EF">
      <w:pPr>
        <w:jc w:val="center"/>
        <w:rPr>
          <w:rFonts w:cs="Arial"/>
          <w:b/>
        </w:rPr>
      </w:pPr>
    </w:p>
    <w:p w:rsidR="008100EF" w:rsidRDefault="00822579" w:rsidP="008100EF">
      <w:r w:rsidRPr="00822579">
        <w:pict>
          <v:shape id="_x0000_s1046" type="#_x0000_t202" style="position:absolute;left:0;text-align:left;margin-left:-16.2pt;margin-top:-103.9pt;width:7.15pt;height:7.15pt;z-index:251663360" filled="f" stroked="f">
            <v:textbox style="mso-next-textbox:#_x0000_s1046">
              <w:txbxContent>
                <w:p w:rsidR="000E07D9" w:rsidRDefault="000E07D9" w:rsidP="008100EF"/>
              </w:txbxContent>
            </v:textbox>
          </v:shape>
        </w:pict>
      </w:r>
      <w:r w:rsidR="008100EF">
        <w:t>Que según lo dispuesto en el artículo 87 de la Ley 142 y el artículo 44 de la Ley 143 del mismo año, el régimen tarifario para usuarios finales regulados de una misma empresa estará orientado por los criterios de eficiencia económica, suficiencia financiera, neutralidad, solidaridad y redistribución del ingreso, simplicidad y transparencia;</w:t>
      </w:r>
    </w:p>
    <w:p w:rsidR="008100EF" w:rsidRDefault="008100EF" w:rsidP="008100EF"/>
    <w:p w:rsidR="008100EF" w:rsidRDefault="008100EF" w:rsidP="008100EF">
      <w:pPr>
        <w:rPr>
          <w:rFonts w:cs="Arial"/>
        </w:rPr>
      </w:pPr>
      <w:r>
        <w:rPr>
          <w:rFonts w:cs="Arial"/>
        </w:rPr>
        <w:t xml:space="preserve">Que según el artículo 87.2 de la Ley 142 de 1994, por neutralidad se entiende que cada consumidor tendrá el derecho a tener el mismo tratamiento tarifario que cualquier otro si las características de los costos que ocasiona a las empresas de servicios públicos son iguales. </w:t>
      </w:r>
    </w:p>
    <w:p w:rsidR="008100EF" w:rsidRDefault="008100EF" w:rsidP="008100EF"/>
    <w:p w:rsidR="008100EF" w:rsidRDefault="008100EF" w:rsidP="008100EF">
      <w:r>
        <w:t>Que mediante el Decreto 387 de 2007, modificado por el Decreto 4977 de 2007, el Gobierno Nacional estableció las políticas generales en relación con la actividad de comercialización del servicio de energía eléctrica, ordenando a la CREG la creación de mecanismos para incentivar la implantación de planes de reducción de pérdidas de energía eléctrica de corto, mediano y largo plazo para llegar a niveles eficientes en cada mercado de comercialización y cuyos costos eficientes deben ser trasladados a todos los usuarios regulados y No regulados conectados al respectivo mercado.</w:t>
      </w:r>
    </w:p>
    <w:p w:rsidR="008100EF" w:rsidRDefault="008100EF" w:rsidP="008100EF"/>
    <w:p w:rsidR="008100EF" w:rsidRDefault="008100EF" w:rsidP="008100EF">
      <w:r>
        <w:t xml:space="preserve">Que la Comisión de Regulación de Energía y Gas mediante la Resolución CREG 119 de 2007 estableció la fórmula tarifaria general que permite a los Comercializadores Minoristas de electricidad establecer los costos de prestación del servicio a usuarios regulados en el Sistema Interconectado Nacional; </w:t>
      </w:r>
    </w:p>
    <w:p w:rsidR="008100EF" w:rsidRDefault="008100EF" w:rsidP="008100EF"/>
    <w:p w:rsidR="008100EF" w:rsidRDefault="008100EF" w:rsidP="008100EF">
      <w:r>
        <w:t>Que la fórmula tarifaria establecida mediante la Resolución CREG 119 de 2007 considera una variable para reconocer los costos eficientes de los planes de reducción de pérdidas en función de las ventas de cada Comercializador;</w:t>
      </w:r>
    </w:p>
    <w:p w:rsidR="008100EF" w:rsidRDefault="008100EF" w:rsidP="008100EF"/>
    <w:p w:rsidR="008100EF" w:rsidRDefault="008100EF" w:rsidP="008100EF">
      <w:r>
        <w:t>Que la variable de que trata el considerando anterior no ha tenido efecto alguno sobre la tarifa, pero de aplicarse en la forma establecida en la resolución  puede ocasionar diferencias en el cargo a cobrar a los usuarios de un mismo mercado de comercialización, sin que este factor sea un elemento de competencia,  lesionando los intereses de algunos de estos;</w:t>
      </w:r>
    </w:p>
    <w:p w:rsidR="008100EF" w:rsidRDefault="008100EF" w:rsidP="008100EF"/>
    <w:p w:rsidR="008100EF" w:rsidRDefault="008100EF" w:rsidP="008100EF">
      <w:r>
        <w:t>Que conforme al artículo 126 de la Ley 142 de 1994, las fórmulas tarifarias tendrán una vigencia de cinco (5) años pero que excepcionalmente podrán modificarse, de oficio o a petición de parte, antes del plazo indicado cuando sea evidente que se cometieron graves errores en su cálculo, que lesionan injustamente los intereses de los usuarios o de la empresa.</w:t>
      </w:r>
    </w:p>
    <w:p w:rsidR="008100EF" w:rsidRDefault="008100EF" w:rsidP="008100EF"/>
    <w:p w:rsidR="008100EF" w:rsidRDefault="008100EF" w:rsidP="008100EF"/>
    <w:p w:rsidR="008100EF" w:rsidRDefault="008100EF" w:rsidP="008100EF">
      <w:pPr>
        <w:jc w:val="center"/>
        <w:rPr>
          <w:b/>
          <w:spacing w:val="40"/>
        </w:rPr>
      </w:pPr>
      <w:r>
        <w:rPr>
          <w:b/>
        </w:rPr>
        <w:t xml:space="preserve">R E S U E L V </w:t>
      </w:r>
      <w:r>
        <w:rPr>
          <w:b/>
          <w:spacing w:val="40"/>
        </w:rPr>
        <w:t>E:</w:t>
      </w:r>
    </w:p>
    <w:p w:rsidR="008100EF" w:rsidRDefault="008100EF" w:rsidP="008100EF">
      <w:pPr>
        <w:jc w:val="center"/>
        <w:rPr>
          <w:b/>
          <w:spacing w:val="40"/>
        </w:rPr>
      </w:pPr>
    </w:p>
    <w:p w:rsidR="008100EF" w:rsidRDefault="008100EF" w:rsidP="008100EF">
      <w:pPr>
        <w:pStyle w:val="Artculo"/>
        <w:numPr>
          <w:ilvl w:val="0"/>
          <w:numId w:val="18"/>
        </w:numPr>
        <w:tabs>
          <w:tab w:val="left" w:pos="1701"/>
        </w:tabs>
        <w:snapToGrid w:val="0"/>
        <w:ind w:left="0" w:firstLine="0"/>
        <w:rPr>
          <w:b w:val="0"/>
        </w:rPr>
      </w:pPr>
      <w:r>
        <w:t xml:space="preserve">Modificación del artículo 14 de la Resolución CREG-119 de 2007. </w:t>
      </w:r>
      <w:r>
        <w:rPr>
          <w:b w:val="0"/>
        </w:rPr>
        <w:t>El artículo 14 de la Resolución CREG-119 de 2007 queda así:</w:t>
      </w:r>
    </w:p>
    <w:p w:rsidR="008100EF" w:rsidRDefault="008100EF" w:rsidP="008100EF">
      <w:pPr>
        <w:pStyle w:val="Artculo"/>
        <w:rPr>
          <w:b w:val="0"/>
        </w:rPr>
      </w:pPr>
    </w:p>
    <w:p w:rsidR="008100EF" w:rsidRDefault="00C26C6F" w:rsidP="008100EF">
      <w:pPr>
        <w:tabs>
          <w:tab w:val="left" w:pos="8931"/>
        </w:tabs>
        <w:ind w:left="426" w:right="481"/>
        <w:rPr>
          <w:rFonts w:cs="Arial"/>
          <w:lang w:val="es-ES_tradnl"/>
        </w:rPr>
      </w:pPr>
      <w:r>
        <w:rPr>
          <w:b/>
        </w:rPr>
        <w:t>“</w:t>
      </w:r>
      <w:r w:rsidR="008100EF">
        <w:rPr>
          <w:b/>
        </w:rPr>
        <w:t>Artículo 14. Costos de pérdidas de energía, transporte y reducción de las mismas, (</w:t>
      </w:r>
      <w:r w:rsidR="008100EF">
        <w:rPr>
          <w:b/>
          <w:i/>
        </w:rPr>
        <w:t>PR</w:t>
      </w:r>
      <w:r w:rsidR="008100EF">
        <w:rPr>
          <w:b/>
          <w:i/>
          <w:vertAlign w:val="subscript"/>
        </w:rPr>
        <w:t>m,n,i,j</w:t>
      </w:r>
      <w:r w:rsidR="008100EF">
        <w:rPr>
          <w:b/>
        </w:rPr>
        <w:t>):</w:t>
      </w:r>
      <w:r w:rsidR="008100EF">
        <w:t xml:space="preserve"> Los costos de gestión de pérdidas de energía trasladables al usuario final, expresados en $/kWh, se determinarán de conformidad con la siguiente expresión, que incluye: i) el costo de las pérdidas eficientes de energía; ii) los costos del transporte de las pérdidas eficientes de energía; y iii) los costos del Programa de Reducción de Pérdidas No Técnicas de energía, respectivamente.</w:t>
      </w:r>
    </w:p>
    <w:p w:rsidR="008100EF" w:rsidRDefault="008100EF" w:rsidP="008100EF">
      <w:pPr>
        <w:ind w:left="426" w:right="481"/>
        <w:rPr>
          <w:rFonts w:cs="Arial"/>
          <w:lang w:val="es-ES_tradnl"/>
        </w:rPr>
      </w:pPr>
    </w:p>
    <w:p w:rsidR="008100EF" w:rsidRDefault="008100EF" w:rsidP="008100EF">
      <w:pPr>
        <w:ind w:left="426" w:right="481"/>
        <w:jc w:val="center"/>
      </w:pPr>
      <w:r w:rsidRPr="002B4DC6">
        <w:rPr>
          <w:position w:val="-34"/>
        </w:rPr>
        <w:object w:dxaOrig="6880" w:dyaOrig="800">
          <v:shape id="_x0000_i1026" type="#_x0000_t75" style="width:411.75pt;height:48pt" o:ole="">
            <v:imagedata r:id="rId10" o:title=""/>
          </v:shape>
          <o:OLEObject Type="Embed" ProgID="Equation.3" ShapeID="_x0000_i1026" DrawAspect="Content" ObjectID="_1355119471" r:id="rId11"/>
        </w:object>
      </w:r>
    </w:p>
    <w:p w:rsidR="008100EF" w:rsidRDefault="008100EF" w:rsidP="008100EF">
      <w:pPr>
        <w:ind w:left="426" w:right="481"/>
      </w:pPr>
    </w:p>
    <w:p w:rsidR="008100EF" w:rsidRDefault="008100EF" w:rsidP="008100EF">
      <w:pPr>
        <w:ind w:left="426" w:right="481"/>
      </w:pPr>
    </w:p>
    <w:p w:rsidR="00C26C6F" w:rsidRDefault="00C26C6F" w:rsidP="008100EF">
      <w:pPr>
        <w:ind w:left="426" w:right="481"/>
      </w:pPr>
    </w:p>
    <w:p w:rsidR="008100EF" w:rsidRDefault="008100EF" w:rsidP="008100EF">
      <w:pPr>
        <w:ind w:left="426" w:right="481"/>
      </w:pPr>
      <w:r>
        <w:t>Donde:</w:t>
      </w:r>
    </w:p>
    <w:p w:rsidR="008100EF" w:rsidRDefault="008100EF" w:rsidP="008100EF">
      <w:pPr>
        <w:ind w:left="426" w:right="481"/>
      </w:pPr>
    </w:p>
    <w:p w:rsidR="008100EF" w:rsidRDefault="008100EF" w:rsidP="008100EF">
      <w:pPr>
        <w:ind w:left="2268" w:right="482" w:hanging="1843"/>
      </w:pPr>
      <w:r w:rsidRPr="002B4DC6">
        <w:rPr>
          <w:position w:val="-14"/>
        </w:rPr>
        <w:object w:dxaOrig="560" w:dyaOrig="380">
          <v:shape id="_x0000_i1027" type="#_x0000_t75" style="width:45.75pt;height:29.25pt" o:ole="">
            <v:imagedata r:id="rId12" o:title=""/>
          </v:shape>
          <o:OLEObject Type="Embed" ProgID="Equation.3" ShapeID="_x0000_i1027" DrawAspect="Content" ObjectID="_1355119472" r:id="rId13"/>
        </w:object>
      </w:r>
      <w:r>
        <w:tab/>
        <w:t xml:space="preserve">Costos de compra de energía ($/kWh) del Comercializador Minorista i, en el Mercado de Comercialización j, para el mes </w:t>
      </w:r>
      <w:r>
        <w:rPr>
          <w:i/>
        </w:rPr>
        <w:t>m</w:t>
      </w:r>
      <w:r>
        <w:t xml:space="preserve"> determinados conforme se establece en el Capítulo III de la presente Resolución.</w:t>
      </w:r>
    </w:p>
    <w:p w:rsidR="008100EF" w:rsidRDefault="008100EF" w:rsidP="008100EF">
      <w:pPr>
        <w:ind w:left="426" w:right="481"/>
      </w:pPr>
    </w:p>
    <w:p w:rsidR="008100EF" w:rsidRDefault="008100EF" w:rsidP="008100EF">
      <w:pPr>
        <w:ind w:left="2268" w:right="481" w:hanging="1842"/>
      </w:pPr>
      <w:r w:rsidRPr="002B4DC6">
        <w:rPr>
          <w:position w:val="-12"/>
        </w:rPr>
        <w:object w:dxaOrig="1120" w:dyaOrig="360">
          <v:shape id="_x0000_i1028" type="#_x0000_t75" style="width:70.5pt;height:24pt" o:ole="">
            <v:imagedata r:id="rId14" o:title=""/>
          </v:shape>
          <o:OLEObject Type="Embed" ProgID="Equation.3" ShapeID="_x0000_i1028" DrawAspect="Content" ObjectID="_1355119473" r:id="rId15"/>
        </w:object>
      </w:r>
      <w:r>
        <w:t xml:space="preserve">  </w:t>
      </w:r>
      <w:r>
        <w:tab/>
        <w:t xml:space="preserve">Fracción de la Demanda Comercial del Comercializador Minorista i que corresponde a las pérdidas de energía por uso del Sistema de Transmisión Nacional asignadas por el ASIC durante el mes m-1, conforme a la metodología vigente.      </w:t>
      </w:r>
    </w:p>
    <w:p w:rsidR="008100EF" w:rsidRDefault="008100EF" w:rsidP="008100EF">
      <w:pPr>
        <w:ind w:left="2268" w:right="481" w:hanging="1842"/>
      </w:pPr>
    </w:p>
    <w:p w:rsidR="008100EF" w:rsidRDefault="008100EF" w:rsidP="008100EF">
      <w:pPr>
        <w:ind w:left="2268" w:right="481" w:hanging="1842"/>
      </w:pPr>
      <w:r w:rsidRPr="002B4DC6">
        <w:rPr>
          <w:position w:val="-14"/>
        </w:rPr>
        <w:object w:dxaOrig="800" w:dyaOrig="380">
          <v:shape id="_x0000_i1029" type="#_x0000_t75" style="width:63.75pt;height:28.5pt" o:ole="">
            <v:imagedata r:id="rId16" o:title=""/>
          </v:shape>
          <o:OLEObject Type="Embed" ProgID="Equation.3" ShapeID="_x0000_i1029" DrawAspect="Content" ObjectID="_1355119474" r:id="rId17"/>
        </w:object>
      </w:r>
      <w:r>
        <w:t xml:space="preserve">  </w:t>
      </w:r>
      <w:r>
        <w:tab/>
        <w:t xml:space="preserve">Fracción o porcentaje expresado como fracción de las pérdidas de energía eficientes reconocidas por la CREG, para el Mercado de Comercialización j, en el mes </w:t>
      </w:r>
      <w:r>
        <w:rPr>
          <w:i/>
        </w:rPr>
        <w:t>m</w:t>
      </w:r>
      <w:r>
        <w:t xml:space="preserve">, acumulados hasta el nivel </w:t>
      </w:r>
      <w:r>
        <w:rPr>
          <w:i/>
        </w:rPr>
        <w:t>n</w:t>
      </w:r>
      <w:r>
        <w:t xml:space="preserve"> del Sistema de Distribución respectivo. </w:t>
      </w:r>
      <w:r>
        <w:tab/>
      </w:r>
    </w:p>
    <w:p w:rsidR="008100EF" w:rsidRDefault="008100EF" w:rsidP="008100EF">
      <w:pPr>
        <w:ind w:left="2268" w:right="481" w:hanging="1842"/>
      </w:pPr>
      <w:r w:rsidRPr="002B4DC6">
        <w:rPr>
          <w:position w:val="-12"/>
        </w:rPr>
        <w:object w:dxaOrig="300" w:dyaOrig="360">
          <v:shape id="_x0000_i1030" type="#_x0000_t75" style="width:27pt;height:28.5pt" o:ole="">
            <v:imagedata r:id="rId18" o:title=""/>
          </v:shape>
          <o:OLEObject Type="Embed" ProgID="Equation.3" ShapeID="_x0000_i1030" DrawAspect="Content" ObjectID="_1355119475" r:id="rId19"/>
        </w:object>
      </w:r>
      <w:r>
        <w:tab/>
        <w:t xml:space="preserve">Cargos por uso del Sistema Nacional de Transmisión ($/kWh) para el mes </w:t>
      </w:r>
      <w:r>
        <w:rPr>
          <w:i/>
        </w:rPr>
        <w:t>m</w:t>
      </w:r>
      <w:r>
        <w:t xml:space="preserve"> determinados conforme al Artículo 9 de la presente Resolución. </w:t>
      </w:r>
    </w:p>
    <w:p w:rsidR="008100EF" w:rsidRDefault="008100EF" w:rsidP="008100EF">
      <w:pPr>
        <w:ind w:left="2268" w:right="481" w:hanging="1842"/>
      </w:pPr>
    </w:p>
    <w:p w:rsidR="008100EF" w:rsidRDefault="008100EF" w:rsidP="008100EF">
      <w:pPr>
        <w:ind w:left="2268" w:right="481" w:hanging="1842"/>
      </w:pPr>
      <w:r w:rsidRPr="002B4DC6">
        <w:rPr>
          <w:position w:val="-14"/>
        </w:rPr>
        <w:object w:dxaOrig="1100" w:dyaOrig="380">
          <v:shape id="_x0000_i1031" type="#_x0000_t75" style="width:78pt;height:28.5pt" o:ole="">
            <v:imagedata r:id="rId20" o:title=""/>
          </v:shape>
          <o:OLEObject Type="Embed" ProgID="Equation.3" ShapeID="_x0000_i1031" DrawAspect="Content" ObjectID="_1355119476" r:id="rId21"/>
        </w:object>
      </w:r>
      <w:r>
        <w:tab/>
        <w:t>Cargo en $/kWh por concepto del Plan de Reducción de Pérdidas, del Mercado de Comercialización j, en el mes m.</w:t>
      </w:r>
    </w:p>
    <w:p w:rsidR="008100EF" w:rsidRDefault="008100EF" w:rsidP="008100EF">
      <w:pPr>
        <w:ind w:left="2268" w:right="481" w:hanging="1842"/>
      </w:pPr>
    </w:p>
    <w:p w:rsidR="008100EF" w:rsidRDefault="008100EF" w:rsidP="008100EF">
      <w:pPr>
        <w:ind w:left="426" w:right="481"/>
        <w:rPr>
          <w:b/>
        </w:rPr>
      </w:pPr>
    </w:p>
    <w:p w:rsidR="008100EF" w:rsidRDefault="008100EF" w:rsidP="008100EF">
      <w:pPr>
        <w:ind w:left="426" w:right="481"/>
      </w:pPr>
      <w:r>
        <w:rPr>
          <w:b/>
        </w:rPr>
        <w:t xml:space="preserve">Parágrafo 1.  </w:t>
      </w:r>
      <w:r>
        <w:t>El</w:t>
      </w:r>
      <w:r>
        <w:rPr>
          <w:b/>
        </w:rPr>
        <w:t xml:space="preserve"> </w:t>
      </w:r>
      <w:r>
        <w:t>Programa de Reducción de Pérdidas No Técnicas y sus costos serán definidos por la Comisión en regulación independiente.  Hasta tanto estos sean determinados, se aplicarán las siguientes reglas:</w:t>
      </w:r>
    </w:p>
    <w:p w:rsidR="008100EF" w:rsidRDefault="008100EF" w:rsidP="008100EF">
      <w:pPr>
        <w:ind w:left="426" w:right="481"/>
      </w:pPr>
    </w:p>
    <w:p w:rsidR="008100EF" w:rsidRDefault="008100EF" w:rsidP="008100EF">
      <w:pPr>
        <w:numPr>
          <w:ilvl w:val="0"/>
          <w:numId w:val="19"/>
        </w:numPr>
        <w:ind w:left="851" w:right="481" w:hanging="425"/>
      </w:pPr>
      <w:r>
        <w:t xml:space="preserve">El término </w:t>
      </w:r>
      <w:r w:rsidRPr="002B4DC6">
        <w:rPr>
          <w:position w:val="-14"/>
        </w:rPr>
        <w:object w:dxaOrig="1100" w:dyaOrig="380">
          <v:shape id="_x0000_i1032" type="#_x0000_t75" style="width:81.75pt;height:28.5pt" o:ole="">
            <v:imagedata r:id="rId22" o:title=""/>
          </v:shape>
          <o:OLEObject Type="Embed" ProgID="Equation.3" ShapeID="_x0000_i1032" DrawAspect="Content" ObjectID="_1355119477" r:id="rId23"/>
        </w:object>
      </w:r>
      <w:r>
        <w:t xml:space="preserve"> será igual a cero; y</w:t>
      </w:r>
    </w:p>
    <w:p w:rsidR="008100EF" w:rsidRDefault="008100EF" w:rsidP="008100EF">
      <w:pPr>
        <w:numPr>
          <w:ilvl w:val="1"/>
          <w:numId w:val="19"/>
        </w:numPr>
        <w:ind w:left="851" w:right="481" w:hanging="425"/>
      </w:pPr>
      <w:r>
        <w:t xml:space="preserve">El factor </w:t>
      </w:r>
      <w:r w:rsidRPr="002B4DC6">
        <w:rPr>
          <w:position w:val="-14"/>
        </w:rPr>
        <w:object w:dxaOrig="1960" w:dyaOrig="380">
          <v:shape id="_x0000_i1033" type="#_x0000_t75" style="width:117.75pt;height:24.75pt" o:ole="">
            <v:imagedata r:id="rId24" o:title=""/>
          </v:shape>
          <o:OLEObject Type="Embed" ProgID="Equation.3" ShapeID="_x0000_i1033" DrawAspect="Content" ObjectID="_1355119478" r:id="rId25"/>
        </w:object>
      </w:r>
      <w:r>
        <w:t xml:space="preserve"> corresponderá los niveles de pérdidas vigentes a la aprobación de la presente resolución para cada nivel de tensión.</w:t>
      </w:r>
    </w:p>
    <w:p w:rsidR="008100EF" w:rsidRDefault="008100EF" w:rsidP="008100EF">
      <w:pPr>
        <w:ind w:left="426" w:right="481"/>
        <w:rPr>
          <w:b/>
        </w:rPr>
      </w:pPr>
    </w:p>
    <w:p w:rsidR="008100EF" w:rsidRDefault="008100EF" w:rsidP="008100EF">
      <w:pPr>
        <w:ind w:left="426" w:right="481"/>
      </w:pPr>
      <w:r>
        <w:rPr>
          <w:b/>
        </w:rPr>
        <w:t>Parágrafo 2.</w:t>
      </w:r>
      <w:r>
        <w:t xml:space="preserve"> Una vez inicie el </w:t>
      </w:r>
      <w:bookmarkStart w:id="121" w:name="_Ref172538383"/>
      <w:r>
        <w:t xml:space="preserve">Programa de Reducción de Pérdidas No Técnicas, el factor </w:t>
      </w:r>
      <w:r w:rsidRPr="002B4DC6">
        <w:rPr>
          <w:position w:val="-14"/>
        </w:rPr>
        <w:object w:dxaOrig="800" w:dyaOrig="380">
          <v:shape id="_x0000_i1034" type="#_x0000_t75" style="width:49.5pt;height:25.5pt" o:ole="">
            <v:imagedata r:id="rId26" o:title=""/>
          </v:shape>
          <o:OLEObject Type="Embed" ProgID="Equation.3" ShapeID="_x0000_i1034" DrawAspect="Content" ObjectID="_1355119479" r:id="rId27"/>
        </w:object>
      </w:r>
      <w:r>
        <w:t xml:space="preserve"> corresponderá al aprobado por la CREG para cada nivel de tensión en desarrollo de Programa de Reducción de Pérdidas No Técnicas de Energía que presente el Operador de Red del Mercado de Comercialización correspondiente.</w:t>
      </w:r>
    </w:p>
    <w:bookmarkEnd w:id="121"/>
    <w:p w:rsidR="008100EF" w:rsidRDefault="008100EF" w:rsidP="008100EF"/>
    <w:p w:rsidR="008100EF" w:rsidRDefault="008100EF" w:rsidP="008100EF">
      <w:pPr>
        <w:pStyle w:val="Artculo"/>
        <w:numPr>
          <w:ilvl w:val="0"/>
          <w:numId w:val="18"/>
        </w:numPr>
        <w:tabs>
          <w:tab w:val="left" w:pos="1701"/>
        </w:tabs>
        <w:snapToGrid w:val="0"/>
        <w:ind w:left="0" w:firstLine="0"/>
      </w:pPr>
      <w:r>
        <w:t xml:space="preserve">Vigencia. </w:t>
      </w:r>
      <w:r>
        <w:rPr>
          <w:b w:val="0"/>
        </w:rPr>
        <w:t xml:space="preserve">La presente resolución rige a partir de su publicación en el </w:t>
      </w:r>
      <w:r>
        <w:rPr>
          <w:b w:val="0"/>
          <w:i/>
        </w:rPr>
        <w:t>Diario Oficial</w:t>
      </w:r>
      <w:r>
        <w:rPr>
          <w:b w:val="0"/>
        </w:rPr>
        <w:t xml:space="preserve"> y deroga las disposiciones que le sean contrarias.</w:t>
      </w:r>
    </w:p>
    <w:p w:rsidR="008100EF" w:rsidRDefault="008100EF" w:rsidP="008100EF"/>
    <w:p w:rsidR="00C26C6F" w:rsidRDefault="00C26C6F" w:rsidP="008100EF">
      <w:pPr>
        <w:rPr>
          <w:b/>
        </w:rPr>
      </w:pPr>
    </w:p>
    <w:p w:rsidR="008100EF" w:rsidRPr="00C26C6F" w:rsidRDefault="00C26C6F" w:rsidP="008100EF">
      <w:pPr>
        <w:rPr>
          <w:rFonts w:cs="Arial"/>
        </w:rPr>
      </w:pPr>
      <w:r w:rsidRPr="00C26C6F">
        <w:rPr>
          <w:b/>
        </w:rPr>
        <w:t>Firmas del proyecto</w:t>
      </w:r>
      <w:r>
        <w:rPr>
          <w:rFonts w:cs="Arial"/>
        </w:rPr>
        <w:t>,</w:t>
      </w:r>
      <w:r w:rsidRPr="00C26C6F">
        <w:rPr>
          <w:rFonts w:cs="Arial"/>
        </w:rPr>
        <w:t xml:space="preserve"> </w:t>
      </w:r>
    </w:p>
    <w:p w:rsidR="008100EF" w:rsidRDefault="008100EF" w:rsidP="008100EF">
      <w:pPr>
        <w:rPr>
          <w:rFonts w:cs="Arial"/>
        </w:rPr>
      </w:pPr>
    </w:p>
    <w:p w:rsidR="008100EF" w:rsidRDefault="008100EF" w:rsidP="008100EF">
      <w:pPr>
        <w:rPr>
          <w:rFonts w:cs="Arial"/>
        </w:rPr>
      </w:pPr>
    </w:p>
    <w:p w:rsidR="008100EF" w:rsidRDefault="008100EF" w:rsidP="008100EF">
      <w:pPr>
        <w:rPr>
          <w:rFonts w:cs="Arial"/>
        </w:rPr>
      </w:pPr>
    </w:p>
    <w:p w:rsidR="00C26C6F" w:rsidRDefault="00C26C6F" w:rsidP="008100EF">
      <w:pPr>
        <w:rPr>
          <w:rFonts w:cs="Arial"/>
        </w:rPr>
      </w:pPr>
    </w:p>
    <w:p w:rsidR="008100EF" w:rsidRDefault="008100EF" w:rsidP="008100EF">
      <w:pPr>
        <w:rPr>
          <w:rFonts w:cs="Arial"/>
        </w:rPr>
      </w:pPr>
    </w:p>
    <w:tbl>
      <w:tblPr>
        <w:tblW w:w="0" w:type="auto"/>
        <w:jc w:val="center"/>
        <w:tblInd w:w="-293" w:type="dxa"/>
        <w:tblLayout w:type="fixed"/>
        <w:tblCellMar>
          <w:left w:w="70" w:type="dxa"/>
          <w:right w:w="70" w:type="dxa"/>
        </w:tblCellMar>
        <w:tblLook w:val="04A0"/>
      </w:tblPr>
      <w:tblGrid>
        <w:gridCol w:w="4820"/>
        <w:gridCol w:w="4374"/>
      </w:tblGrid>
      <w:tr w:rsidR="008100EF" w:rsidTr="008100EF">
        <w:trPr>
          <w:trHeight w:val="329"/>
          <w:jc w:val="center"/>
        </w:trPr>
        <w:tc>
          <w:tcPr>
            <w:tcW w:w="4820" w:type="dxa"/>
            <w:vAlign w:val="center"/>
            <w:hideMark/>
          </w:tcPr>
          <w:p w:rsidR="008100EF" w:rsidRDefault="008100EF">
            <w:pPr>
              <w:tabs>
                <w:tab w:val="left" w:pos="-720"/>
              </w:tabs>
              <w:suppressAutoHyphens/>
              <w:jc w:val="center"/>
              <w:rPr>
                <w:rFonts w:cs="Arial"/>
                <w:b/>
                <w:spacing w:val="-3"/>
              </w:rPr>
            </w:pPr>
            <w:r>
              <w:rPr>
                <w:rFonts w:cs="Arial"/>
                <w:b/>
                <w:bCs/>
                <w:szCs w:val="22"/>
              </w:rPr>
              <w:t>TOMÁS GONZÁLEZ ESTRADA</w:t>
            </w:r>
          </w:p>
        </w:tc>
        <w:tc>
          <w:tcPr>
            <w:tcW w:w="4374" w:type="dxa"/>
            <w:vAlign w:val="center"/>
            <w:hideMark/>
          </w:tcPr>
          <w:p w:rsidR="008100EF" w:rsidRDefault="008100EF">
            <w:pPr>
              <w:tabs>
                <w:tab w:val="left" w:pos="-720"/>
              </w:tabs>
              <w:suppressAutoHyphens/>
              <w:jc w:val="center"/>
              <w:rPr>
                <w:rFonts w:cs="Arial"/>
                <w:b/>
                <w:spacing w:val="-3"/>
              </w:rPr>
            </w:pPr>
            <w:r>
              <w:rPr>
                <w:rFonts w:cs="Arial"/>
                <w:b/>
                <w:spacing w:val="-3"/>
              </w:rPr>
              <w:t>JAVIER AUGUSTO DÍAZ VELASCO</w:t>
            </w:r>
          </w:p>
        </w:tc>
      </w:tr>
      <w:tr w:rsidR="008100EF" w:rsidTr="008100EF">
        <w:trPr>
          <w:trHeight w:val="329"/>
          <w:jc w:val="center"/>
        </w:trPr>
        <w:tc>
          <w:tcPr>
            <w:tcW w:w="4820" w:type="dxa"/>
            <w:vAlign w:val="center"/>
            <w:hideMark/>
          </w:tcPr>
          <w:p w:rsidR="008100EF" w:rsidRDefault="008100EF">
            <w:pPr>
              <w:tabs>
                <w:tab w:val="left" w:pos="-720"/>
              </w:tabs>
              <w:suppressAutoHyphens/>
              <w:jc w:val="center"/>
              <w:rPr>
                <w:rFonts w:cs="Arial"/>
                <w:spacing w:val="-3"/>
              </w:rPr>
            </w:pPr>
            <w:r>
              <w:rPr>
                <w:rFonts w:cs="Arial"/>
                <w:spacing w:val="-3"/>
              </w:rPr>
              <w:t>Viceministro de Minas y Energía</w:t>
            </w:r>
          </w:p>
        </w:tc>
        <w:tc>
          <w:tcPr>
            <w:tcW w:w="4374" w:type="dxa"/>
            <w:vAlign w:val="center"/>
            <w:hideMark/>
          </w:tcPr>
          <w:p w:rsidR="008100EF" w:rsidRDefault="008100EF">
            <w:pPr>
              <w:tabs>
                <w:tab w:val="left" w:pos="-720"/>
              </w:tabs>
              <w:suppressAutoHyphens/>
              <w:jc w:val="center"/>
              <w:rPr>
                <w:rFonts w:cs="Arial"/>
                <w:spacing w:val="-3"/>
              </w:rPr>
            </w:pPr>
            <w:r>
              <w:rPr>
                <w:rFonts w:cs="Arial"/>
                <w:spacing w:val="-3"/>
              </w:rPr>
              <w:t>Director Ejecutivo</w:t>
            </w:r>
          </w:p>
        </w:tc>
      </w:tr>
      <w:tr w:rsidR="008100EF" w:rsidTr="008100EF">
        <w:trPr>
          <w:trHeight w:val="329"/>
          <w:jc w:val="center"/>
        </w:trPr>
        <w:tc>
          <w:tcPr>
            <w:tcW w:w="4820" w:type="dxa"/>
            <w:vAlign w:val="center"/>
            <w:hideMark/>
          </w:tcPr>
          <w:p w:rsidR="008100EF" w:rsidRDefault="008100EF">
            <w:pPr>
              <w:tabs>
                <w:tab w:val="left" w:pos="-720"/>
              </w:tabs>
              <w:suppressAutoHyphens/>
              <w:jc w:val="center"/>
              <w:rPr>
                <w:rFonts w:cs="Arial"/>
                <w:spacing w:val="-3"/>
                <w:sz w:val="22"/>
              </w:rPr>
            </w:pPr>
            <w:r>
              <w:rPr>
                <w:rFonts w:cs="Arial"/>
                <w:spacing w:val="-3"/>
                <w:sz w:val="22"/>
              </w:rPr>
              <w:t>Delegado del Ministro de Minas y Energía</w:t>
            </w:r>
          </w:p>
          <w:p w:rsidR="008100EF" w:rsidRDefault="008100EF">
            <w:pPr>
              <w:tabs>
                <w:tab w:val="left" w:pos="-720"/>
              </w:tabs>
              <w:suppressAutoHyphens/>
              <w:jc w:val="center"/>
              <w:rPr>
                <w:rFonts w:cs="Arial"/>
                <w:spacing w:val="-3"/>
              </w:rPr>
            </w:pPr>
            <w:r>
              <w:rPr>
                <w:rFonts w:cs="Arial"/>
                <w:spacing w:val="-3"/>
              </w:rPr>
              <w:t>Presidente</w:t>
            </w:r>
          </w:p>
        </w:tc>
        <w:tc>
          <w:tcPr>
            <w:tcW w:w="4374" w:type="dxa"/>
            <w:vAlign w:val="center"/>
          </w:tcPr>
          <w:p w:rsidR="008100EF" w:rsidRDefault="008100EF">
            <w:pPr>
              <w:tabs>
                <w:tab w:val="left" w:pos="-720"/>
              </w:tabs>
              <w:suppressAutoHyphens/>
              <w:jc w:val="center"/>
              <w:rPr>
                <w:rFonts w:cs="Arial"/>
                <w:b/>
                <w:spacing w:val="-3"/>
              </w:rPr>
            </w:pPr>
          </w:p>
        </w:tc>
      </w:tr>
    </w:tbl>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B37D2F" w:rsidRDefault="00B37D2F" w:rsidP="00A71B19">
      <w:pPr>
        <w:rPr>
          <w:szCs w:val="22"/>
        </w:rPr>
      </w:pPr>
    </w:p>
    <w:p w:rsidR="00550551" w:rsidRPr="00550551" w:rsidRDefault="00550551" w:rsidP="00550551">
      <w:pPr>
        <w:jc w:val="center"/>
        <w:rPr>
          <w:rFonts w:cs="Arial"/>
          <w:b/>
        </w:rPr>
      </w:pPr>
      <w:r w:rsidRPr="00550551">
        <w:rPr>
          <w:rFonts w:cs="Arial"/>
          <w:b/>
        </w:rPr>
        <w:t>PROYECTO DE RESOLUCIÓN No.</w:t>
      </w:r>
      <w:r w:rsidR="008100EF">
        <w:rPr>
          <w:rFonts w:cs="Arial"/>
          <w:b/>
        </w:rPr>
        <w:t>3</w:t>
      </w:r>
    </w:p>
    <w:p w:rsidR="00550551" w:rsidRDefault="00550551" w:rsidP="00550551">
      <w:pPr>
        <w:rPr>
          <w:rFonts w:cs="Arial"/>
        </w:rPr>
      </w:pPr>
    </w:p>
    <w:p w:rsidR="00550551" w:rsidRDefault="00550551" w:rsidP="00550551">
      <w:pPr>
        <w:rPr>
          <w:rFonts w:cs="Arial"/>
        </w:rPr>
      </w:pPr>
    </w:p>
    <w:p w:rsidR="00550551" w:rsidRDefault="00550551" w:rsidP="00550551">
      <w:pPr>
        <w:rPr>
          <w:rFonts w:cs="Arial"/>
        </w:rPr>
      </w:pPr>
      <w:r>
        <w:rPr>
          <w:rFonts w:cs="Arial"/>
        </w:rPr>
        <w:t>Por la cual se modifica la Resolución CREG 121 de 2007, en relación con la asignación de pérdidas entre Comercializadores Minoristas en un Mercado de Comercialización.</w:t>
      </w:r>
    </w:p>
    <w:p w:rsidR="00550551" w:rsidRDefault="00550551" w:rsidP="00550551">
      <w:pPr>
        <w:rPr>
          <w:rFonts w:cs="Arial"/>
        </w:rPr>
      </w:pPr>
    </w:p>
    <w:p w:rsidR="008100EF" w:rsidRDefault="008100EF" w:rsidP="00550551">
      <w:pPr>
        <w:rPr>
          <w:rFonts w:cs="Arial"/>
        </w:rPr>
      </w:pPr>
    </w:p>
    <w:p w:rsidR="00550551" w:rsidRDefault="00550551" w:rsidP="00550551">
      <w:pPr>
        <w:jc w:val="center"/>
        <w:rPr>
          <w:b/>
        </w:rPr>
      </w:pPr>
      <w:r>
        <w:rPr>
          <w:b/>
        </w:rPr>
        <w:t>LA COMISIÓN DE REGULACIÓN DE ENERGÍA Y GAS</w:t>
      </w:r>
    </w:p>
    <w:p w:rsidR="00550551" w:rsidRDefault="00550551" w:rsidP="00550551">
      <w:pPr>
        <w:rPr>
          <w:rFonts w:cs="Arial"/>
        </w:rPr>
      </w:pPr>
    </w:p>
    <w:p w:rsidR="00550551" w:rsidRDefault="00550551" w:rsidP="00550551">
      <w:pPr>
        <w:rPr>
          <w:rFonts w:cs="Arial"/>
        </w:rPr>
      </w:pPr>
    </w:p>
    <w:p w:rsidR="00550551" w:rsidRDefault="00550551" w:rsidP="00550551">
      <w:pPr>
        <w:rPr>
          <w:rFonts w:cs="Arial"/>
        </w:rPr>
      </w:pPr>
      <w:r>
        <w:rPr>
          <w:rFonts w:cs="Arial"/>
        </w:rPr>
        <w:t>en ejercicio de las atribuciones legales, en especial las conferidas por las Leyes 142 y 143 de 1994, y los decretos 1524 y 2253 de 1994.</w:t>
      </w:r>
    </w:p>
    <w:p w:rsidR="00550551" w:rsidRDefault="00550551" w:rsidP="00550551">
      <w:pPr>
        <w:rPr>
          <w:rFonts w:cs="Arial"/>
        </w:rPr>
      </w:pPr>
    </w:p>
    <w:p w:rsidR="00550551" w:rsidRDefault="00550551" w:rsidP="00550551">
      <w:pPr>
        <w:rPr>
          <w:rFonts w:cs="Arial"/>
        </w:rPr>
      </w:pPr>
    </w:p>
    <w:p w:rsidR="00550551" w:rsidRDefault="00550551" w:rsidP="00550551">
      <w:pPr>
        <w:jc w:val="center"/>
        <w:rPr>
          <w:rFonts w:cs="Arial"/>
          <w:b/>
        </w:rPr>
      </w:pPr>
      <w:r>
        <w:rPr>
          <w:b/>
        </w:rPr>
        <w:t>C O N S I D E R A N D O</w:t>
      </w:r>
      <w:r>
        <w:rPr>
          <w:rFonts w:cs="Arial"/>
          <w:b/>
        </w:rPr>
        <w:t>:</w:t>
      </w:r>
    </w:p>
    <w:p w:rsidR="00550551" w:rsidRDefault="00550551" w:rsidP="00550551">
      <w:pPr>
        <w:jc w:val="center"/>
        <w:rPr>
          <w:rFonts w:cs="Arial"/>
          <w:b/>
        </w:rPr>
      </w:pPr>
    </w:p>
    <w:p w:rsidR="00550551" w:rsidRDefault="00550551" w:rsidP="00550551">
      <w:pPr>
        <w:jc w:val="center"/>
        <w:rPr>
          <w:rFonts w:cs="Arial"/>
          <w:b/>
        </w:rPr>
      </w:pPr>
    </w:p>
    <w:p w:rsidR="00550551" w:rsidRDefault="00550551" w:rsidP="00550551">
      <w:r>
        <w:t>Que mediante el Decreto 387 de 2007, modificado por el Decreto 4977 de 2007, el Gobierno Nacional estableció las políticas generales en relación con la actividad de comercialización del servicio de energía eléctrica;</w:t>
      </w:r>
    </w:p>
    <w:p w:rsidR="00550551" w:rsidRDefault="00550551" w:rsidP="00550551"/>
    <w:p w:rsidR="00550551" w:rsidRDefault="00550551" w:rsidP="00550551">
      <w:r>
        <w:t xml:space="preserve">Que en el literal b) del Artículo 3o del Decreto 387 de 2007 modificado por el Artículo 1o del Decreto 4977 de 2007, el Gobierno Nacional dispuso que: </w:t>
      </w:r>
    </w:p>
    <w:p w:rsidR="00550551" w:rsidRDefault="00550551" w:rsidP="00550551"/>
    <w:p w:rsidR="00550551" w:rsidRDefault="00550551" w:rsidP="00550551">
      <w:r>
        <w:t>“Las pérdidas totales de energía de un Mercado de Comercialización, que se apliquen para efectos del cálculo de la demanda comercial de los Comercializadores Minoristas que actúen en dicho Mercado, se distribuirán así: las perdidas técnicas por la energía transportada por cada nivel de tensión y las pérdidas no técnicas de todo el mercado de comercialización, a prorrata de la energía vendida a los usuarios finales. La CREG definirá la metodología de cálculo para determinar y asignar estas pérdidas. Esta distribución se mantendrá siempre que las pérdidas del Mercado no presenten incrementos con respecto a las definidas por la CREG, mediante una senda para lo cual tendrá en cuenta lo establecido en los literales c. y e. siguientes. En el caso de que las pérdidas presenten un incremento con relación a dicha senda, el OR correspondiente será el responsable del diferencial, que le será asignado según el procedimiento que establezca la CREG y sin que se afecte el balance de las transacciones del Mercado Mayorista. Lo anterior, sin perjuicio de que al usuario final solo se traslade el nivel de pérdidas de eficiencia reconocido por el regulador”;</w:t>
      </w:r>
    </w:p>
    <w:p w:rsidR="00550551" w:rsidRDefault="00550551" w:rsidP="00550551"/>
    <w:p w:rsidR="00550551" w:rsidRDefault="00550551" w:rsidP="00550551">
      <w:r>
        <w:t>Que el Artículo 3o del Decreto 387 de 2007 establece en los literales c), d) y e):</w:t>
      </w:r>
    </w:p>
    <w:p w:rsidR="00550551" w:rsidRDefault="00550551" w:rsidP="00550551">
      <w:r>
        <w:t>“c) La regulación creará los mecanismos para incentivar la implantación de planes de reducción de pérdidas de energía eléctrica de corto, mediano y largo plazo para llegar a niveles eficientes en cada mercado de comercialización;</w:t>
      </w:r>
    </w:p>
    <w:p w:rsidR="00550551" w:rsidRDefault="00550551" w:rsidP="00550551"/>
    <w:p w:rsidR="00550551" w:rsidRDefault="00550551" w:rsidP="00550551">
      <w:r>
        <w:t>d) El Operador de Red será el responsable por la gestión integral de las pérdidas de energía en el mercado de comercialización asociado a sus redes;</w:t>
      </w:r>
    </w:p>
    <w:p w:rsidR="00550551" w:rsidRDefault="00550551" w:rsidP="00550551"/>
    <w:p w:rsidR="00550551" w:rsidRDefault="00550551" w:rsidP="00550551">
      <w:r>
        <w:t>e) La CREG le reconocerá al OR el costo eficiente del plan de reducción de Pérdidas No Técnicas, el cual será trasladado a todos los usuarios regulados y No regulados conectados al respectivo mercado;”</w:t>
      </w:r>
    </w:p>
    <w:p w:rsidR="00550551" w:rsidRDefault="00550551" w:rsidP="00550551"/>
    <w:p w:rsidR="00550551" w:rsidRDefault="00550551" w:rsidP="00550551">
      <w:r>
        <w:t>Que el Parágrafo del Artículo 3o del Decreto 387 de 2007, modificado por el Decreto 4977 de 2007 establece que “La CREG deberá incorporar las políticas establecidas en este artículo a más tardar el 1° de enero de 2008, para lo cual podrá definir las transiciones que sean necesarias con el fin de hacer viable la implementación de lo establecido en este Decreto y permitir a usuarios como a empresas realizar ajustes frente al nuevo esquema”;</w:t>
      </w:r>
    </w:p>
    <w:p w:rsidR="00550551" w:rsidRDefault="00550551" w:rsidP="00550551"/>
    <w:p w:rsidR="00550551" w:rsidRDefault="00550551" w:rsidP="00550551">
      <w:pPr>
        <w:rPr>
          <w:highlight w:val="yellow"/>
        </w:rPr>
      </w:pPr>
      <w:r>
        <w:t>Que la Comisión de Regulación de Energía y Gas mediante la Resolución CREG 119 de 2007 estableció la fórmula tarifaria general que permite a los Comercializadores Minoristas de electricidad establecer los costos de prestación del servicio a usuarios regulados en el Sistema Interconectado Nacional;</w:t>
      </w:r>
    </w:p>
    <w:p w:rsidR="00550551" w:rsidRDefault="00550551" w:rsidP="00550551">
      <w:pPr>
        <w:rPr>
          <w:highlight w:val="yellow"/>
        </w:rPr>
      </w:pPr>
    </w:p>
    <w:p w:rsidR="00550551" w:rsidRDefault="00550551" w:rsidP="00550551">
      <w:pPr>
        <w:rPr>
          <w:highlight w:val="yellow"/>
        </w:rPr>
      </w:pPr>
      <w:r>
        <w:t>Que la Comisión de Regulación de Energía y Gas mediante la Resolución CREG 121 de 2007 incorporó las políticas definidas en el artículo 3 del Decreto  387 de 2007, modificado por el Decreto 4977 del 27 de diciembre de 2007, en relación con la asignación de pérdidas entre Comercializadores Minoristas en un Mercado de Comercialización;</w:t>
      </w:r>
    </w:p>
    <w:p w:rsidR="00550551" w:rsidRDefault="00550551" w:rsidP="00550551">
      <w:pPr>
        <w:rPr>
          <w:highlight w:val="yellow"/>
        </w:rPr>
      </w:pPr>
    </w:p>
    <w:p w:rsidR="00550551" w:rsidRDefault="00550551" w:rsidP="00550551">
      <w:r>
        <w:t>Que la Comisión de Regulación de Energía y Gas mediante la Resolución CREG 097 de 2008 aprobó los principios generales y la metodología para el establecimiento de los cargos por uso de los Sistemas de Transmisión Regional y Distribución Local. Dicha Resolución incluye disposiciones correspondientes al tratamiento de las pérdidas reconocidas en los sistemas de transmisión regional y distribución local;</w:t>
      </w:r>
    </w:p>
    <w:p w:rsidR="00550551" w:rsidRDefault="00550551" w:rsidP="00550551"/>
    <w:p w:rsidR="00550551" w:rsidRDefault="00550551" w:rsidP="00550551">
      <w:r>
        <w:t>Que es necesario ajustar los parámetros de distribución de pérdidas no técnicas a ser distribuidas entre los comercializadores de un mismo mercado, para que sea compatible con los índices de pérdidas reconocidas que ya incluyen una fracción de pérdidas no técnicas;</w:t>
      </w:r>
    </w:p>
    <w:p w:rsidR="00550551" w:rsidRDefault="00550551" w:rsidP="00550551"/>
    <w:p w:rsidR="00550551" w:rsidRDefault="00550551" w:rsidP="00550551"/>
    <w:p w:rsidR="00550551" w:rsidRDefault="00550551" w:rsidP="00550551">
      <w:pPr>
        <w:jc w:val="center"/>
        <w:rPr>
          <w:b/>
          <w:spacing w:val="40"/>
        </w:rPr>
      </w:pPr>
      <w:r>
        <w:rPr>
          <w:b/>
        </w:rPr>
        <w:t xml:space="preserve">R E S U E L V </w:t>
      </w:r>
      <w:r>
        <w:rPr>
          <w:b/>
          <w:spacing w:val="40"/>
        </w:rPr>
        <w:t>E:</w:t>
      </w:r>
    </w:p>
    <w:p w:rsidR="00181810" w:rsidRDefault="00181810" w:rsidP="00550551">
      <w:pPr>
        <w:jc w:val="center"/>
        <w:rPr>
          <w:b/>
          <w:spacing w:val="40"/>
        </w:rPr>
      </w:pPr>
    </w:p>
    <w:p w:rsidR="00181810" w:rsidRDefault="00181810" w:rsidP="00550551">
      <w:pPr>
        <w:jc w:val="center"/>
        <w:rPr>
          <w:b/>
          <w:spacing w:val="40"/>
        </w:rPr>
      </w:pPr>
    </w:p>
    <w:p w:rsidR="00550551" w:rsidRDefault="0046041E" w:rsidP="00927D21">
      <w:pPr>
        <w:pStyle w:val="Artculo"/>
      </w:pPr>
      <w:r w:rsidRPr="0046041E">
        <w:t>A</w:t>
      </w:r>
      <w:r w:rsidR="00181810" w:rsidRPr="0046041E">
        <w:t>rtículo</w:t>
      </w:r>
      <w:r w:rsidR="00181810">
        <w:rPr>
          <w:spacing w:val="40"/>
        </w:rPr>
        <w:t xml:space="preserve"> 1.</w:t>
      </w:r>
      <w:r w:rsidR="00550551" w:rsidRPr="00181810">
        <w:t xml:space="preserve">Modificación del artículo 3 de la Resolución CREG-121 de </w:t>
      </w:r>
      <w:r w:rsidR="00181810">
        <w:t>2007</w:t>
      </w:r>
      <w:r w:rsidR="00550551">
        <w:t xml:space="preserve">. </w:t>
      </w:r>
      <w:r w:rsidR="00550551" w:rsidRPr="00927D21">
        <w:rPr>
          <w:b w:val="0"/>
        </w:rPr>
        <w:t>El artículo 3 de la Resolución CREG-121 de 2007 queda así:</w:t>
      </w:r>
    </w:p>
    <w:p w:rsidR="00550551" w:rsidRDefault="00550551" w:rsidP="00550551">
      <w:pPr>
        <w:pStyle w:val="Artculo"/>
        <w:rPr>
          <w:b w:val="0"/>
        </w:rPr>
      </w:pPr>
    </w:p>
    <w:p w:rsidR="00550551" w:rsidRDefault="00550551" w:rsidP="00550551">
      <w:pPr>
        <w:pStyle w:val="Artculo"/>
        <w:ind w:left="426" w:right="481"/>
        <w:rPr>
          <w:b w:val="0"/>
        </w:rPr>
      </w:pPr>
      <w:r>
        <w:t>“Artículo 3.</w:t>
      </w:r>
      <w:r>
        <w:tab/>
        <w:t>Elementos para el Cálculo de la Demanda Comercial:</w:t>
      </w:r>
      <w:r>
        <w:rPr>
          <w:b w:val="0"/>
        </w:rPr>
        <w:t xml:space="preserve"> El ASIC establecerá la Demanda Comercial del Comercializador Minorista No Integrado por Mercado de Comercialización según las reglas vigentes, asignándole el valor que le corresponda de acuerdo con la aplicación del artículo 5 de la presente resolución.”</w:t>
      </w:r>
    </w:p>
    <w:p w:rsidR="00181810" w:rsidRDefault="00181810" w:rsidP="00550551">
      <w:pPr>
        <w:pStyle w:val="Artculo"/>
        <w:ind w:left="426" w:right="481"/>
        <w:rPr>
          <w:b w:val="0"/>
        </w:rPr>
      </w:pPr>
    </w:p>
    <w:p w:rsidR="00550551" w:rsidRDefault="00181810" w:rsidP="00181810">
      <w:pPr>
        <w:pStyle w:val="Artculo"/>
        <w:rPr>
          <w:b w:val="0"/>
        </w:rPr>
      </w:pPr>
      <w:r w:rsidRPr="00181810">
        <w:t>Artículo 2.</w:t>
      </w:r>
      <w:r>
        <w:rPr>
          <w:b w:val="0"/>
        </w:rPr>
        <w:t xml:space="preserve"> </w:t>
      </w:r>
      <w:r w:rsidR="00550551">
        <w:t xml:space="preserve">Modificación del artículo 5 de la Resolución CREG-121 de 2007. </w:t>
      </w:r>
      <w:r w:rsidR="00550551">
        <w:rPr>
          <w:b w:val="0"/>
        </w:rPr>
        <w:t>El artículo 5 de la Resolución CREG-121 de 2007 queda así:</w:t>
      </w:r>
    </w:p>
    <w:p w:rsidR="00550551" w:rsidRDefault="00550551" w:rsidP="00550551">
      <w:pPr>
        <w:pStyle w:val="Artculo"/>
        <w:rPr>
          <w:b w:val="0"/>
        </w:rPr>
      </w:pPr>
    </w:p>
    <w:p w:rsidR="00550551" w:rsidRDefault="00550551" w:rsidP="00550551">
      <w:pPr>
        <w:pStyle w:val="Artculo"/>
        <w:rPr>
          <w:b w:val="0"/>
        </w:rPr>
      </w:pPr>
    </w:p>
    <w:p w:rsidR="00550551" w:rsidRDefault="00550551" w:rsidP="00550551">
      <w:pPr>
        <w:pStyle w:val="Artculo"/>
        <w:ind w:left="426" w:right="481"/>
        <w:rPr>
          <w:b w:val="0"/>
          <w:bCs/>
        </w:rPr>
      </w:pPr>
      <w:r>
        <w:t xml:space="preserve">“Artículo 5. Asignación de Pérdidas No Técnicas: </w:t>
      </w:r>
      <w:r>
        <w:rPr>
          <w:b w:val="0"/>
        </w:rPr>
        <w:t xml:space="preserve">A partir del mes siguiente al de inicio de un plan de reducción de pérdidas por parte del OR </w:t>
      </w:r>
      <w:r>
        <w:rPr>
          <w:b w:val="0"/>
          <w:i/>
        </w:rPr>
        <w:t>j</w:t>
      </w:r>
      <w:r>
        <w:rPr>
          <w:b w:val="0"/>
        </w:rPr>
        <w:t xml:space="preserve">, la asignación de las Pérdidas No Técnicas entre los Comercializadores Minoristas de un Mercado de Comercialización </w:t>
      </w:r>
      <w:r>
        <w:rPr>
          <w:b w:val="0"/>
          <w:bCs/>
        </w:rPr>
        <w:t>de acuerdo con la siguiente expresión:</w:t>
      </w:r>
    </w:p>
    <w:p w:rsidR="00550551" w:rsidRDefault="00550551" w:rsidP="00550551">
      <w:pPr>
        <w:pStyle w:val="Artculo"/>
        <w:ind w:left="426" w:right="481"/>
        <w:rPr>
          <w:b w:val="0"/>
        </w:rPr>
      </w:pPr>
    </w:p>
    <w:p w:rsidR="00550551" w:rsidRDefault="00550551" w:rsidP="00550551">
      <w:pPr>
        <w:pStyle w:val="Artculo"/>
        <w:ind w:left="426" w:right="481"/>
        <w:rPr>
          <w:b w:val="0"/>
        </w:rPr>
      </w:pPr>
    </w:p>
    <w:p w:rsidR="00550551" w:rsidRDefault="00822579" w:rsidP="00550551">
      <w:pPr>
        <w:pStyle w:val="Artculo"/>
        <w:ind w:left="426" w:right="481"/>
        <w:rPr>
          <w:b w:val="0"/>
        </w:rPr>
      </w:pPr>
      <m:oMathPara>
        <m:oMath>
          <m:sSub>
            <m:sSubPr>
              <m:ctrlPr>
                <w:rPr>
                  <w:rFonts w:ascii="Cambria Math" w:hAnsi="Cambria Math"/>
                  <w:i/>
                </w:rPr>
              </m:ctrlPr>
            </m:sSubPr>
            <m:e>
              <m:r>
                <m:rPr>
                  <m:sty m:val="bi"/>
                </m:rPr>
                <w:rPr>
                  <w:rFonts w:ascii="Cambria Math" w:hAnsi="Cambria Math"/>
                </w:rPr>
                <m:t>PNT</m:t>
              </m:r>
            </m:e>
            <m:sub>
              <m:r>
                <m:rPr>
                  <m:sty m:val="bi"/>
                </m:rPr>
                <w:rPr>
                  <w:rFonts w:ascii="Cambria Math" w:hAnsi="Cambria Math"/>
                </w:rPr>
                <m:t>j,nr,c</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PA</m:t>
              </m:r>
            </m:e>
            <m:sub>
              <m:r>
                <m:rPr>
                  <m:sty m:val="bi"/>
                </m:rPr>
                <w:rPr>
                  <w:rFonts w:ascii="Cambria Math" w:hAnsi="Cambria Math"/>
                </w:rPr>
                <m:t>i,j,m</m:t>
              </m:r>
            </m:sub>
          </m:sSub>
          <m:r>
            <m:rPr>
              <m:sty m:val="bi"/>
            </m:rPr>
            <w:rPr>
              <w:rFonts w:ascii="Cambria Math" w:hAnsi="Cambria Math"/>
            </w:rPr>
            <m:t>*</m:t>
          </m:r>
          <m:f>
            <m:fPr>
              <m:ctrlPr>
                <w:rPr>
                  <w:rFonts w:ascii="Cambria Math" w:hAnsi="Cambria Math"/>
                  <w:i/>
                </w:rPr>
              </m:ctrlPr>
            </m:fPr>
            <m:num>
              <m:sSub>
                <m:sSubPr>
                  <m:ctrlPr>
                    <w:rPr>
                      <w:rFonts w:ascii="Cambria Math" w:hAnsi="Cambria Math"/>
                      <w:i/>
                    </w:rPr>
                  </m:ctrlPr>
                </m:sSubPr>
                <m:e>
                  <m:r>
                    <m:rPr>
                      <m:sty m:val="bi"/>
                    </m:rPr>
                    <w:rPr>
                      <w:rFonts w:ascii="Cambria Math" w:hAnsi="Cambria Math"/>
                    </w:rPr>
                    <m:t>Vcom</m:t>
                  </m:r>
                </m:e>
                <m:sub>
                  <m:r>
                    <m:rPr>
                      <m:sty m:val="bi"/>
                    </m:rPr>
                    <w:rPr>
                      <w:rFonts w:ascii="Cambria Math" w:hAnsi="Cambria Math"/>
                    </w:rPr>
                    <m:t>c,m</m:t>
                  </m:r>
                </m:sub>
              </m:sSub>
            </m:num>
            <m:den>
              <m:sSub>
                <m:sSubPr>
                  <m:ctrlPr>
                    <w:rPr>
                      <w:rFonts w:ascii="Cambria Math" w:hAnsi="Cambria Math"/>
                      <w:i/>
                    </w:rPr>
                  </m:ctrlPr>
                </m:sSubPr>
                <m:e>
                  <m:r>
                    <m:rPr>
                      <m:sty m:val="bi"/>
                    </m:rPr>
                    <w:rPr>
                      <w:rFonts w:ascii="Cambria Math" w:hAnsi="Cambria Math"/>
                    </w:rPr>
                    <m:t>(Vcom</m:t>
                  </m:r>
                </m:e>
                <m:sub>
                  <m:r>
                    <m:rPr>
                      <m:sty m:val="bi"/>
                    </m:rPr>
                    <w:rPr>
                      <w:rFonts w:ascii="Cambria Math" w:hAnsi="Cambria Math"/>
                    </w:rPr>
                    <m:t>int,m</m:t>
                  </m:r>
                </m:sub>
              </m:sSub>
              <m:r>
                <m:rPr>
                  <m:sty m:val="bi"/>
                </m:rPr>
                <w:rPr>
                  <w:rFonts w:ascii="Cambria Math" w:hAnsi="Cambria Math"/>
                </w:rPr>
                <m:t>+</m:t>
              </m:r>
              <m:nary>
                <m:naryPr>
                  <m:chr m:val="∑"/>
                  <m:limLoc m:val="undOvr"/>
                  <m:ctrlPr>
                    <w:rPr>
                      <w:rFonts w:ascii="Cambria Math" w:hAnsi="Cambria Math"/>
                      <w:i/>
                    </w:rPr>
                  </m:ctrlPr>
                </m:naryPr>
                <m:sub>
                  <m:r>
                    <m:rPr>
                      <m:sty m:val="bi"/>
                    </m:rPr>
                    <w:rPr>
                      <w:rFonts w:ascii="Cambria Math" w:hAnsi="Cambria Math"/>
                    </w:rPr>
                    <m:t>c=1</m:t>
                  </m:r>
                </m:sub>
                <m:sup>
                  <m:r>
                    <m:rPr>
                      <m:sty m:val="bi"/>
                    </m:rPr>
                    <w:rPr>
                      <w:rFonts w:ascii="Cambria Math" w:hAnsi="Cambria Math"/>
                    </w:rPr>
                    <m:t>C</m:t>
                  </m:r>
                </m:sup>
                <m:e>
                  <m:sSub>
                    <m:sSubPr>
                      <m:ctrlPr>
                        <w:rPr>
                          <w:rFonts w:ascii="Cambria Math" w:hAnsi="Cambria Math"/>
                          <w:i/>
                        </w:rPr>
                      </m:ctrlPr>
                    </m:sSubPr>
                    <m:e>
                      <m:r>
                        <m:rPr>
                          <m:sty m:val="bi"/>
                        </m:rPr>
                        <w:rPr>
                          <w:rFonts w:ascii="Cambria Math" w:hAnsi="Cambria Math"/>
                        </w:rPr>
                        <m:t>Vcom</m:t>
                      </m:r>
                    </m:e>
                    <m:sub>
                      <m:r>
                        <m:rPr>
                          <m:sty m:val="bi"/>
                        </m:rPr>
                        <w:rPr>
                          <w:rFonts w:ascii="Cambria Math" w:hAnsi="Cambria Math"/>
                        </w:rPr>
                        <m:t>c,m)</m:t>
                      </m:r>
                    </m:sub>
                  </m:sSub>
                </m:e>
              </m:nary>
            </m:den>
          </m:f>
        </m:oMath>
      </m:oMathPara>
    </w:p>
    <w:p w:rsidR="00550551" w:rsidRDefault="00550551" w:rsidP="00550551">
      <w:pPr>
        <w:pStyle w:val="Artculo"/>
        <w:ind w:left="426" w:right="481"/>
        <w:rPr>
          <w:b w:val="0"/>
        </w:rPr>
      </w:pPr>
    </w:p>
    <w:p w:rsidR="00550551" w:rsidRDefault="00550551" w:rsidP="00550551">
      <w:pPr>
        <w:pStyle w:val="Artculo"/>
        <w:tabs>
          <w:tab w:val="left" w:pos="708"/>
        </w:tabs>
        <w:ind w:left="851" w:right="481"/>
        <w:rPr>
          <w:b w:val="0"/>
        </w:rPr>
      </w:pPr>
    </w:p>
    <w:p w:rsidR="00550551" w:rsidRDefault="00550551" w:rsidP="00550551">
      <w:pPr>
        <w:pStyle w:val="Artculo"/>
        <w:tabs>
          <w:tab w:val="left" w:pos="708"/>
        </w:tabs>
        <w:ind w:left="851" w:right="481"/>
        <w:rPr>
          <w:b w:val="0"/>
        </w:rPr>
      </w:pPr>
    </w:p>
    <w:p w:rsidR="00550551" w:rsidRDefault="00550551" w:rsidP="00550551">
      <w:pPr>
        <w:pStyle w:val="Artculo"/>
        <w:tabs>
          <w:tab w:val="left" w:pos="708"/>
        </w:tabs>
        <w:ind w:left="851" w:right="481"/>
        <w:rPr>
          <w:b w:val="0"/>
        </w:rPr>
      </w:pPr>
      <w:r>
        <w:rPr>
          <w:b w:val="0"/>
        </w:rPr>
        <w:t>Con:</w:t>
      </w:r>
    </w:p>
    <w:p w:rsidR="00550551" w:rsidRDefault="00550551" w:rsidP="00550551">
      <w:pPr>
        <w:pStyle w:val="Artculo"/>
        <w:tabs>
          <w:tab w:val="left" w:pos="708"/>
        </w:tabs>
        <w:ind w:left="851" w:right="481"/>
        <w:rPr>
          <w:b w:val="0"/>
        </w:rPr>
      </w:pPr>
    </w:p>
    <w:p w:rsidR="00550551" w:rsidRDefault="00550551" w:rsidP="00550551">
      <w:pPr>
        <w:ind w:left="1843" w:hanging="992"/>
        <w:rPr>
          <w:i/>
        </w:rPr>
      </w:pPr>
    </w:p>
    <w:p w:rsidR="00550551" w:rsidRDefault="00550551" w:rsidP="00550551">
      <w:pPr>
        <w:ind w:left="2127" w:hanging="1276"/>
      </w:pPr>
      <w:r>
        <w:rPr>
          <w:i/>
        </w:rPr>
        <w:t>PNT</w:t>
      </w:r>
      <w:r>
        <w:rPr>
          <w:i/>
          <w:vertAlign w:val="subscript"/>
        </w:rPr>
        <w:t>j,nr,c</w:t>
      </w:r>
      <w:r>
        <w:tab/>
        <w:t xml:space="preserve">Pérdidas No Técnicas No Reconocidas asignadas al comercializador no integrado </w:t>
      </w:r>
      <w:r>
        <w:rPr>
          <w:i/>
        </w:rPr>
        <w:t>c</w:t>
      </w:r>
      <w:r>
        <w:t xml:space="preserve"> en el mercado de comercialización del OR </w:t>
      </w:r>
      <w:r>
        <w:rPr>
          <w:i/>
        </w:rPr>
        <w:t>j</w:t>
      </w:r>
      <w:r>
        <w:t xml:space="preserve"> calculadas para el mes </w:t>
      </w:r>
      <w:r>
        <w:rPr>
          <w:i/>
        </w:rPr>
        <w:t>m</w:t>
      </w:r>
      <w:r>
        <w:t>.</w:t>
      </w:r>
    </w:p>
    <w:p w:rsidR="00550551" w:rsidRDefault="00550551" w:rsidP="00550551">
      <w:pPr>
        <w:ind w:left="2127" w:hanging="1276"/>
        <w:rPr>
          <w:sz w:val="22"/>
          <w:szCs w:val="22"/>
        </w:rPr>
      </w:pPr>
    </w:p>
    <w:p w:rsidR="00550551" w:rsidRDefault="00550551" w:rsidP="00550551">
      <w:pPr>
        <w:ind w:left="2127" w:hanging="1276"/>
      </w:pPr>
      <w:r>
        <w:rPr>
          <w:i/>
        </w:rPr>
        <w:t>PA</w:t>
      </w:r>
      <w:r>
        <w:rPr>
          <w:i/>
          <w:vertAlign w:val="subscript"/>
        </w:rPr>
        <w:t>i,j,m</w:t>
      </w:r>
      <w:r>
        <w:rPr>
          <w:i/>
        </w:rPr>
        <w:tab/>
      </w:r>
      <w:r>
        <w:t xml:space="preserve">Pérdidas de energía a distribuir entre los comercializadores del mercado de comercialización </w:t>
      </w:r>
      <w:r>
        <w:rPr>
          <w:i/>
        </w:rPr>
        <w:t>i</w:t>
      </w:r>
      <w:r>
        <w:t xml:space="preserve">, servido por el OR </w:t>
      </w:r>
      <w:r>
        <w:rPr>
          <w:i/>
        </w:rPr>
        <w:t>j</w:t>
      </w:r>
      <w:r>
        <w:t xml:space="preserve">, para el mes </w:t>
      </w:r>
      <w:r>
        <w:rPr>
          <w:i/>
        </w:rPr>
        <w:t>m</w:t>
      </w:r>
      <w:r>
        <w:t>, expresadas en kWh.  Este valor se calcula según lo establecido en el numeral 4.2 del Anexo 4 de la resolución por la cual se define la metodología para el establecimiento de los planes de reducción de pérdidas no técnicas en los SDL.</w:t>
      </w:r>
    </w:p>
    <w:p w:rsidR="00550551" w:rsidRDefault="00550551" w:rsidP="00550551">
      <w:pPr>
        <w:ind w:left="2127" w:hanging="1276"/>
      </w:pPr>
    </w:p>
    <w:p w:rsidR="00550551" w:rsidRDefault="00550551" w:rsidP="00550551">
      <w:pPr>
        <w:ind w:left="2127" w:hanging="1276"/>
      </w:pPr>
      <w:r>
        <w:t>C</w:t>
      </w:r>
      <w:r>
        <w:tab/>
        <w:t xml:space="preserve">Número de comercializadores no integrados que venden energía a usuarios finales en el  mercado de comercialización del OR </w:t>
      </w:r>
      <w:r>
        <w:rPr>
          <w:i/>
        </w:rPr>
        <w:t>j</w:t>
      </w:r>
      <w:r>
        <w:t xml:space="preserve"> en el mes </w:t>
      </w:r>
      <w:r>
        <w:rPr>
          <w:i/>
        </w:rPr>
        <w:t>m</w:t>
      </w:r>
      <w:r>
        <w:t xml:space="preserve">. </w:t>
      </w:r>
      <w:r>
        <w:tab/>
      </w:r>
      <w:r>
        <w:tab/>
        <w:t xml:space="preserve"> </w:t>
      </w:r>
    </w:p>
    <w:p w:rsidR="00550551" w:rsidRDefault="00550551" w:rsidP="00550551">
      <w:pPr>
        <w:ind w:left="2127" w:hanging="1276"/>
      </w:pPr>
    </w:p>
    <w:p w:rsidR="00550551" w:rsidRDefault="00550551" w:rsidP="00550551">
      <w:pPr>
        <w:ind w:left="2127" w:hanging="1276"/>
      </w:pPr>
      <w:r>
        <w:rPr>
          <w:i/>
        </w:rPr>
        <w:t>Vcom</w:t>
      </w:r>
      <w:r>
        <w:rPr>
          <w:i/>
          <w:vertAlign w:val="subscript"/>
        </w:rPr>
        <w:t>c,j,m</w:t>
      </w:r>
      <w:r>
        <w:rPr>
          <w:i/>
        </w:rPr>
        <w:tab/>
      </w:r>
      <w:r>
        <w:t xml:space="preserve">Ventas del comercializador no integrado </w:t>
      </w:r>
      <w:r>
        <w:rPr>
          <w:i/>
        </w:rPr>
        <w:t>c</w:t>
      </w:r>
      <w:r>
        <w:t xml:space="preserve"> en el mercado de comercialización del OR </w:t>
      </w:r>
      <w:r>
        <w:rPr>
          <w:i/>
        </w:rPr>
        <w:t>j</w:t>
      </w:r>
      <w:r>
        <w:t xml:space="preserve"> en el mes </w:t>
      </w:r>
      <w:r>
        <w:rPr>
          <w:i/>
        </w:rPr>
        <w:t>m</w:t>
      </w:r>
      <w:r>
        <w:t>, expresadas en kWh, de acuerdo con la información reportada por los Comercializadores al SUI.</w:t>
      </w:r>
    </w:p>
    <w:p w:rsidR="00550551" w:rsidRDefault="00550551" w:rsidP="00550551">
      <w:pPr>
        <w:ind w:left="2127" w:hanging="1276"/>
      </w:pPr>
    </w:p>
    <w:p w:rsidR="00550551" w:rsidRDefault="00550551" w:rsidP="00550551">
      <w:pPr>
        <w:ind w:left="2124" w:hanging="1273"/>
      </w:pPr>
      <w:r>
        <w:rPr>
          <w:i/>
        </w:rPr>
        <w:t>Vcom</w:t>
      </w:r>
      <w:r>
        <w:rPr>
          <w:i/>
          <w:vertAlign w:val="subscript"/>
        </w:rPr>
        <w:t>int,m</w:t>
      </w:r>
      <w:r>
        <w:rPr>
          <w:i/>
        </w:rPr>
        <w:tab/>
      </w:r>
      <w:r>
        <w:t xml:space="preserve">Ventas del comercializador integrado </w:t>
      </w:r>
      <w:r>
        <w:rPr>
          <w:i/>
        </w:rPr>
        <w:t>int</w:t>
      </w:r>
      <w:r>
        <w:t xml:space="preserve"> en el mercado de comercialización del OR </w:t>
      </w:r>
      <w:r>
        <w:rPr>
          <w:i/>
        </w:rPr>
        <w:t>j</w:t>
      </w:r>
      <w:r>
        <w:t xml:space="preserve"> en el mes </w:t>
      </w:r>
      <w:r>
        <w:rPr>
          <w:i/>
        </w:rPr>
        <w:t>m</w:t>
      </w:r>
      <w:r>
        <w:t>, expresadas en kWh, de acuerdo con la información reportada por los Comercializadores al SUI.</w:t>
      </w:r>
    </w:p>
    <w:p w:rsidR="00550551" w:rsidRDefault="00550551" w:rsidP="00550551">
      <w:pPr>
        <w:ind w:left="1843" w:hanging="992"/>
      </w:pPr>
    </w:p>
    <w:p w:rsidR="00550551" w:rsidRDefault="00550551" w:rsidP="00550551">
      <w:pPr>
        <w:pStyle w:val="Artculo"/>
        <w:tabs>
          <w:tab w:val="left" w:pos="708"/>
        </w:tabs>
        <w:ind w:left="851" w:right="481"/>
        <w:rPr>
          <w:b w:val="0"/>
        </w:rPr>
      </w:pPr>
      <w:r>
        <w:t xml:space="preserve">Parágrafo. </w:t>
      </w:r>
      <w:r>
        <w:rPr>
          <w:b w:val="0"/>
        </w:rPr>
        <w:t xml:space="preserve"> La distribución de las pérdidas no técnicas no reconocidas asignadas a los comercializadores en un mismo mercado de comercialización, de que trata este artículo, se mantendrá siempre que el OR del mercado respectivo cuente con un plan aprobado y en ejecución.”  </w:t>
      </w:r>
    </w:p>
    <w:p w:rsidR="00550551" w:rsidRDefault="00550551" w:rsidP="00550551">
      <w:pPr>
        <w:pStyle w:val="Artculo"/>
        <w:tabs>
          <w:tab w:val="left" w:pos="708"/>
        </w:tabs>
        <w:ind w:left="851" w:right="481"/>
        <w:rPr>
          <w:b w:val="0"/>
        </w:rPr>
      </w:pPr>
    </w:p>
    <w:p w:rsidR="00550551" w:rsidRDefault="00550551" w:rsidP="00550551">
      <w:pPr>
        <w:pStyle w:val="Artculo"/>
        <w:tabs>
          <w:tab w:val="left" w:pos="708"/>
        </w:tabs>
        <w:ind w:left="851" w:right="481"/>
        <w:rPr>
          <w:b w:val="0"/>
        </w:rPr>
      </w:pPr>
    </w:p>
    <w:p w:rsidR="00550551" w:rsidRDefault="00550551" w:rsidP="00550551">
      <w:pPr>
        <w:pStyle w:val="Artculo"/>
        <w:tabs>
          <w:tab w:val="left" w:pos="708"/>
        </w:tabs>
        <w:ind w:left="851" w:right="481"/>
        <w:rPr>
          <w:b w:val="0"/>
        </w:rPr>
      </w:pPr>
    </w:p>
    <w:p w:rsidR="00550551" w:rsidRDefault="00550551" w:rsidP="00550551">
      <w:pPr>
        <w:pStyle w:val="Artculo"/>
        <w:tabs>
          <w:tab w:val="left" w:pos="708"/>
        </w:tabs>
        <w:ind w:left="851" w:right="481"/>
        <w:rPr>
          <w:b w:val="0"/>
        </w:rPr>
      </w:pPr>
    </w:p>
    <w:p w:rsidR="00181810" w:rsidRDefault="00181810" w:rsidP="00550551">
      <w:pPr>
        <w:pStyle w:val="Artculo"/>
        <w:tabs>
          <w:tab w:val="left" w:pos="708"/>
        </w:tabs>
        <w:ind w:left="851" w:right="481"/>
        <w:rPr>
          <w:b w:val="0"/>
        </w:rPr>
      </w:pPr>
    </w:p>
    <w:p w:rsidR="00550551" w:rsidRDefault="00550551" w:rsidP="00550551">
      <w:pPr>
        <w:pStyle w:val="Artculo"/>
        <w:numPr>
          <w:ilvl w:val="0"/>
          <w:numId w:val="18"/>
        </w:numPr>
        <w:tabs>
          <w:tab w:val="left" w:pos="1701"/>
        </w:tabs>
        <w:snapToGrid w:val="0"/>
        <w:ind w:left="0" w:firstLine="0"/>
      </w:pPr>
      <w:r>
        <w:t xml:space="preserve">Vigencia. </w:t>
      </w:r>
      <w:r>
        <w:rPr>
          <w:b w:val="0"/>
        </w:rPr>
        <w:t>La presente resolución rige a partir de su publicación en el Diario Oficial y deroga el artículo 7 de la Resolución CREG-121 de 2007 y las disposiciones que le sean contrarias.</w:t>
      </w:r>
    </w:p>
    <w:p w:rsidR="00550551" w:rsidRDefault="00550551" w:rsidP="00550551"/>
    <w:p w:rsidR="00927D21" w:rsidRDefault="00927D21" w:rsidP="00550551"/>
    <w:p w:rsidR="00550551" w:rsidRDefault="00550551" w:rsidP="00550551">
      <w:pPr>
        <w:rPr>
          <w:rFonts w:cs="Arial"/>
        </w:rPr>
      </w:pPr>
      <w:r>
        <w:rPr>
          <w:b/>
        </w:rPr>
        <w:t>Firma del proyecto</w:t>
      </w:r>
      <w:r w:rsidR="00181810">
        <w:rPr>
          <w:b/>
        </w:rPr>
        <w:t>,</w:t>
      </w:r>
    </w:p>
    <w:p w:rsidR="00550551" w:rsidRDefault="00550551" w:rsidP="00550551">
      <w:pPr>
        <w:rPr>
          <w:rFonts w:cs="Arial"/>
        </w:rPr>
      </w:pPr>
    </w:p>
    <w:p w:rsidR="00550551" w:rsidRDefault="00550551" w:rsidP="00550551">
      <w:pPr>
        <w:rPr>
          <w:rFonts w:cs="Arial"/>
        </w:rPr>
      </w:pPr>
    </w:p>
    <w:p w:rsidR="00550551" w:rsidRDefault="00550551" w:rsidP="00550551">
      <w:pPr>
        <w:rPr>
          <w:rFonts w:cs="Arial"/>
        </w:rPr>
      </w:pPr>
    </w:p>
    <w:p w:rsidR="00550551" w:rsidRDefault="00550551" w:rsidP="00550551">
      <w:pPr>
        <w:rPr>
          <w:rFonts w:cs="Arial"/>
        </w:rPr>
      </w:pPr>
    </w:p>
    <w:p w:rsidR="00550551" w:rsidRDefault="00550551" w:rsidP="00550551">
      <w:pPr>
        <w:rPr>
          <w:rFonts w:cs="Arial"/>
        </w:rPr>
      </w:pPr>
    </w:p>
    <w:tbl>
      <w:tblPr>
        <w:tblW w:w="0" w:type="auto"/>
        <w:jc w:val="center"/>
        <w:tblInd w:w="-929" w:type="dxa"/>
        <w:tblLayout w:type="fixed"/>
        <w:tblCellMar>
          <w:left w:w="70" w:type="dxa"/>
          <w:right w:w="70" w:type="dxa"/>
        </w:tblCellMar>
        <w:tblLook w:val="04A0"/>
      </w:tblPr>
      <w:tblGrid>
        <w:gridCol w:w="5328"/>
        <w:gridCol w:w="4491"/>
      </w:tblGrid>
      <w:tr w:rsidR="00550551" w:rsidTr="00550551">
        <w:trPr>
          <w:jc w:val="center"/>
        </w:trPr>
        <w:tc>
          <w:tcPr>
            <w:tcW w:w="5328" w:type="dxa"/>
            <w:hideMark/>
          </w:tcPr>
          <w:p w:rsidR="00550551" w:rsidRDefault="00550551">
            <w:pPr>
              <w:tabs>
                <w:tab w:val="left" w:pos="-720"/>
              </w:tabs>
              <w:suppressAutoHyphens/>
              <w:jc w:val="center"/>
              <w:rPr>
                <w:rFonts w:cs="Arial"/>
                <w:b/>
                <w:spacing w:val="-3"/>
              </w:rPr>
            </w:pPr>
            <w:r>
              <w:rPr>
                <w:rFonts w:cs="Arial"/>
                <w:b/>
                <w:spacing w:val="-3"/>
              </w:rPr>
              <w:t xml:space="preserve">TOMÁS GONZÁLEZ ESTRADA </w:t>
            </w:r>
          </w:p>
        </w:tc>
        <w:tc>
          <w:tcPr>
            <w:tcW w:w="4491" w:type="dxa"/>
            <w:hideMark/>
          </w:tcPr>
          <w:p w:rsidR="00550551" w:rsidRDefault="00550551">
            <w:pPr>
              <w:tabs>
                <w:tab w:val="left" w:pos="-720"/>
              </w:tabs>
              <w:suppressAutoHyphens/>
              <w:jc w:val="center"/>
              <w:rPr>
                <w:rFonts w:cs="Arial"/>
                <w:b/>
                <w:spacing w:val="-3"/>
              </w:rPr>
            </w:pPr>
            <w:r>
              <w:rPr>
                <w:rFonts w:cs="Arial"/>
                <w:b/>
                <w:spacing w:val="-3"/>
              </w:rPr>
              <w:t xml:space="preserve">JAVIER AUGUSTO DÍAZ VELASCO </w:t>
            </w:r>
          </w:p>
        </w:tc>
      </w:tr>
      <w:tr w:rsidR="00550551" w:rsidTr="00550551">
        <w:trPr>
          <w:jc w:val="center"/>
        </w:trPr>
        <w:tc>
          <w:tcPr>
            <w:tcW w:w="5328" w:type="dxa"/>
            <w:hideMark/>
          </w:tcPr>
          <w:p w:rsidR="00550551" w:rsidRDefault="00550551">
            <w:pPr>
              <w:tabs>
                <w:tab w:val="left" w:pos="-720"/>
              </w:tabs>
              <w:suppressAutoHyphens/>
              <w:ind w:right="214"/>
              <w:jc w:val="center"/>
              <w:rPr>
                <w:rFonts w:cs="Arial"/>
                <w:spacing w:val="-3"/>
              </w:rPr>
            </w:pPr>
            <w:r>
              <w:rPr>
                <w:rFonts w:cs="Arial"/>
                <w:spacing w:val="-3"/>
              </w:rPr>
              <w:t>Viceministro de Minas y Energía</w:t>
            </w:r>
          </w:p>
          <w:p w:rsidR="00550551" w:rsidRDefault="00550551">
            <w:pPr>
              <w:tabs>
                <w:tab w:val="left" w:pos="-720"/>
              </w:tabs>
              <w:suppressAutoHyphens/>
              <w:jc w:val="center"/>
              <w:rPr>
                <w:rFonts w:cs="Arial"/>
                <w:spacing w:val="-3"/>
              </w:rPr>
            </w:pPr>
            <w:r>
              <w:rPr>
                <w:rFonts w:cs="Arial"/>
                <w:spacing w:val="-3"/>
              </w:rPr>
              <w:t xml:space="preserve">Delegado del Ministro de Minas y Energía </w:t>
            </w:r>
          </w:p>
        </w:tc>
        <w:tc>
          <w:tcPr>
            <w:tcW w:w="4491" w:type="dxa"/>
            <w:hideMark/>
          </w:tcPr>
          <w:p w:rsidR="00550551" w:rsidRDefault="00550551">
            <w:pPr>
              <w:tabs>
                <w:tab w:val="left" w:pos="-720"/>
              </w:tabs>
              <w:suppressAutoHyphens/>
              <w:jc w:val="center"/>
              <w:rPr>
                <w:rFonts w:cs="Arial"/>
                <w:spacing w:val="-3"/>
              </w:rPr>
            </w:pPr>
            <w:r>
              <w:rPr>
                <w:rFonts w:cs="Arial"/>
                <w:spacing w:val="-3"/>
              </w:rPr>
              <w:t xml:space="preserve">Director Ejecutivo </w:t>
            </w:r>
          </w:p>
        </w:tc>
      </w:tr>
      <w:tr w:rsidR="00550551" w:rsidTr="00550551">
        <w:trPr>
          <w:jc w:val="center"/>
        </w:trPr>
        <w:tc>
          <w:tcPr>
            <w:tcW w:w="5328" w:type="dxa"/>
            <w:hideMark/>
          </w:tcPr>
          <w:p w:rsidR="00550551" w:rsidRDefault="00550551">
            <w:pPr>
              <w:tabs>
                <w:tab w:val="left" w:pos="-720"/>
              </w:tabs>
              <w:suppressAutoHyphens/>
              <w:jc w:val="center"/>
              <w:rPr>
                <w:rFonts w:cs="Arial"/>
                <w:spacing w:val="-3"/>
              </w:rPr>
            </w:pPr>
            <w:r>
              <w:rPr>
                <w:rFonts w:cs="Arial"/>
                <w:spacing w:val="-3"/>
              </w:rPr>
              <w:t>Presidente</w:t>
            </w:r>
          </w:p>
        </w:tc>
        <w:tc>
          <w:tcPr>
            <w:tcW w:w="4491" w:type="dxa"/>
          </w:tcPr>
          <w:p w:rsidR="00550551" w:rsidRDefault="00550551">
            <w:pPr>
              <w:tabs>
                <w:tab w:val="left" w:pos="-720"/>
              </w:tabs>
              <w:suppressAutoHyphens/>
              <w:rPr>
                <w:rFonts w:cs="Arial"/>
                <w:spacing w:val="-3"/>
              </w:rPr>
            </w:pPr>
          </w:p>
        </w:tc>
      </w:tr>
    </w:tbl>
    <w:p w:rsidR="00550551" w:rsidRDefault="00550551" w:rsidP="00550551">
      <w:pPr>
        <w:jc w:val="left"/>
        <w:rPr>
          <w:b/>
          <w:bCs/>
          <w:szCs w:val="22"/>
        </w:rPr>
      </w:pPr>
    </w:p>
    <w:p w:rsidR="00B37D2F" w:rsidRPr="00A71B19" w:rsidRDefault="00B37D2F" w:rsidP="00A71B19">
      <w:pPr>
        <w:rPr>
          <w:szCs w:val="22"/>
        </w:rPr>
      </w:pPr>
    </w:p>
    <w:sectPr w:rsidR="00B37D2F" w:rsidRPr="00A71B19" w:rsidSect="00755951">
      <w:headerReference w:type="even" r:id="rId28"/>
      <w:headerReference w:type="default" r:id="rId29"/>
      <w:footerReference w:type="even" r:id="rId30"/>
      <w:footerReference w:type="default" r:id="rId31"/>
      <w:headerReference w:type="first" r:id="rId32"/>
      <w:footerReference w:type="first" r:id="rId33"/>
      <w:pgSz w:w="12242" w:h="18722" w:code="123"/>
      <w:pgMar w:top="2341" w:right="1185" w:bottom="175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D9" w:rsidRDefault="000E07D9">
      <w:r>
        <w:separator/>
      </w:r>
    </w:p>
  </w:endnote>
  <w:endnote w:type="continuationSeparator" w:id="0">
    <w:p w:rsidR="000E07D9" w:rsidRDefault="000E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DejaVu Sans">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D9" w:rsidRDefault="000E07D9">
      <w:r>
        <w:separator/>
      </w:r>
    </w:p>
  </w:footnote>
  <w:footnote w:type="continuationSeparator" w:id="0">
    <w:p w:rsidR="000E07D9" w:rsidRDefault="000E0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rsidP="0020511E"/>
  <w:p w:rsidR="000E07D9" w:rsidRPr="00951F79" w:rsidRDefault="000E07D9" w:rsidP="0020511E">
    <w:r w:rsidRPr="00654384">
      <w:t>RESOLUCIÓN No.</w:t>
    </w:r>
    <w:r>
      <w:t xml:space="preserve">  ________________</w:t>
    </w:r>
    <w:r w:rsidRPr="00654384">
      <w:tab/>
    </w:r>
    <w:r>
      <w:t>DE ________________</w:t>
    </w:r>
    <w:r>
      <w:tab/>
    </w:r>
    <w:r w:rsidRPr="00654384">
      <w:t xml:space="preserve">HOJA No. </w:t>
    </w:r>
    <w:fldSimple w:instr=" PAGE   \* MERGEFORMAT ">
      <w:r w:rsidR="00174A37">
        <w:rPr>
          <w:noProof/>
        </w:rPr>
        <w:t>52</w:t>
      </w:r>
    </w:fldSimple>
    <w:r w:rsidRPr="00654384">
      <w:t>/</w:t>
    </w:r>
    <w:fldSimple w:instr=" NUMPAGES  \* MERGEFORMAT ">
      <w:r w:rsidR="00174A37">
        <w:rPr>
          <w:noProof/>
        </w:rPr>
        <w:t>52</w:t>
      </w:r>
    </w:fldSimple>
  </w:p>
  <w:p w:rsidR="000E07D9" w:rsidRDefault="00822579" w:rsidP="00AD01E4">
    <w:pPr>
      <w:ind w:left="142" w:right="148"/>
      <w:rPr>
        <w:rFonts w:cs="Arial"/>
      </w:rPr>
    </w:pPr>
    <w:r w:rsidRPr="00822579">
      <w:rPr>
        <w:noProof/>
      </w:rPr>
      <w:pict>
        <v:rect id="_x0000_s2049" style="position:absolute;left:0;text-align:left;margin-left:-13.8pt;margin-top:10.95pt;width:493.5pt;height:779.6pt;z-index:251657216" filled="f" strokeweight="1.5pt"/>
      </w:pict>
    </w:r>
  </w:p>
  <w:p w:rsidR="000E07D9" w:rsidRPr="00DF40E1" w:rsidRDefault="000E07D9" w:rsidP="00A7746B">
    <w:pPr>
      <w:pBdr>
        <w:bottom w:val="single" w:sz="4" w:space="1" w:color="auto"/>
      </w:pBdr>
      <w:tabs>
        <w:tab w:val="left" w:pos="-851"/>
        <w:tab w:val="left" w:pos="-720"/>
        <w:tab w:val="left" w:pos="-567"/>
      </w:tabs>
      <w:rPr>
        <w:rFonts w:cs="Arial"/>
        <w:spacing w:val="-3"/>
        <w:sz w:val="16"/>
        <w:szCs w:val="22"/>
      </w:rPr>
    </w:pPr>
    <w:r w:rsidRPr="00F82AD7">
      <w:rPr>
        <w:rFonts w:cs="Arial"/>
        <w:spacing w:val="-3"/>
        <w:sz w:val="22"/>
        <w:szCs w:val="22"/>
      </w:rPr>
      <w:t>Por la cual se ordena hacer público tres proyectos de resolución de carácter general, para definir la metodología para el establecimiento de los planes de reducción de pérdidas no técnicas en los Sistemas de Distribución Local.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D9" w:rsidRDefault="000E07D9" w:rsidP="00413A60">
    <w:pPr>
      <w:pStyle w:val="Encabezado"/>
      <w:tabs>
        <w:tab w:val="clear" w:pos="4252"/>
        <w:tab w:val="center" w:pos="4395"/>
      </w:tabs>
      <w:rPr>
        <w:rFonts w:ascii="Arial" w:hAnsi="Arial" w:cs="Arial"/>
        <w:spacing w:val="20"/>
        <w:sz w:val="20"/>
      </w:rPr>
    </w:pPr>
    <w:r>
      <w:rPr>
        <w:rFonts w:ascii="Arial" w:hAnsi="Arial" w:cs="Arial"/>
        <w:spacing w:val="20"/>
        <w:sz w:val="20"/>
      </w:rPr>
      <w:tab/>
      <w:t>República de Colombia</w:t>
    </w:r>
  </w:p>
  <w:p w:rsidR="000E07D9" w:rsidRDefault="000E07D9">
    <w:pPr>
      <w:pStyle w:val="Encabezado"/>
      <w:jc w:val="center"/>
      <w:rPr>
        <w:rFonts w:ascii="Arial" w:hAnsi="Arial" w:cs="Arial"/>
        <w:spacing w:val="20"/>
        <w:sz w:val="20"/>
      </w:rPr>
    </w:pPr>
  </w:p>
  <w:p w:rsidR="000E07D9" w:rsidRDefault="00822579" w:rsidP="00CA77FB">
    <w:pPr>
      <w:pStyle w:val="Encabezado"/>
      <w:jc w:val="center"/>
    </w:pPr>
    <w:r w:rsidRPr="00822579">
      <w:rPr>
        <w:rFonts w:ascii="Arial" w:hAnsi="Arial" w:cs="Arial"/>
        <w:noProof/>
        <w:spacing w:val="20"/>
        <w:sz w:val="20"/>
        <w:lang w:val="es-ES"/>
      </w:rPr>
      <w:pict>
        <v:rect id="_x0000_s2050" style="position:absolute;left:0;text-align:left;margin-left:-16.8pt;margin-top:29.7pt;width:499.5pt;height:774.75pt;z-index:251658240" filled="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
    <w:nsid w:val="16033740"/>
    <w:multiLevelType w:val="hybridMultilevel"/>
    <w:tmpl w:val="87B47EC4"/>
    <w:lvl w:ilvl="0" w:tplc="24E005AE">
      <w:start w:val="1"/>
      <w:numFmt w:val="bullet"/>
      <w:pStyle w:val="Prrafodelista"/>
      <w:lvlText w:val=""/>
      <w:lvlJc w:val="left"/>
      <w:pPr>
        <w:ind w:left="720" w:hanging="360"/>
      </w:pPr>
      <w:rPr>
        <w:rFonts w:ascii="Symbol" w:hAnsi="Symbol" w:hint="default"/>
      </w:rPr>
    </w:lvl>
    <w:lvl w:ilvl="1" w:tplc="252A424C">
      <w:start w:val="1"/>
      <w:numFmt w:val="bullet"/>
      <w:lvlText w:val="o"/>
      <w:lvlJc w:val="left"/>
      <w:pPr>
        <w:ind w:left="1440" w:hanging="360"/>
      </w:pPr>
      <w:rPr>
        <w:rFonts w:ascii="Courier New" w:hAnsi="Courier New" w:cs="Courier New" w:hint="default"/>
      </w:rPr>
    </w:lvl>
    <w:lvl w:ilvl="2" w:tplc="BC861566" w:tentative="1">
      <w:start w:val="1"/>
      <w:numFmt w:val="bullet"/>
      <w:lvlText w:val=""/>
      <w:lvlJc w:val="left"/>
      <w:pPr>
        <w:ind w:left="2160" w:hanging="360"/>
      </w:pPr>
      <w:rPr>
        <w:rFonts w:ascii="Wingdings" w:hAnsi="Wingdings" w:hint="default"/>
      </w:rPr>
    </w:lvl>
    <w:lvl w:ilvl="3" w:tplc="532C128E" w:tentative="1">
      <w:start w:val="1"/>
      <w:numFmt w:val="bullet"/>
      <w:lvlText w:val=""/>
      <w:lvlJc w:val="left"/>
      <w:pPr>
        <w:ind w:left="2880" w:hanging="360"/>
      </w:pPr>
      <w:rPr>
        <w:rFonts w:ascii="Symbol" w:hAnsi="Symbol" w:hint="default"/>
      </w:rPr>
    </w:lvl>
    <w:lvl w:ilvl="4" w:tplc="2A4022FE" w:tentative="1">
      <w:start w:val="1"/>
      <w:numFmt w:val="bullet"/>
      <w:lvlText w:val="o"/>
      <w:lvlJc w:val="left"/>
      <w:pPr>
        <w:ind w:left="3600" w:hanging="360"/>
      </w:pPr>
      <w:rPr>
        <w:rFonts w:ascii="Courier New" w:hAnsi="Courier New" w:cs="Courier New" w:hint="default"/>
      </w:rPr>
    </w:lvl>
    <w:lvl w:ilvl="5" w:tplc="BC941F30" w:tentative="1">
      <w:start w:val="1"/>
      <w:numFmt w:val="bullet"/>
      <w:lvlText w:val=""/>
      <w:lvlJc w:val="left"/>
      <w:pPr>
        <w:ind w:left="4320" w:hanging="360"/>
      </w:pPr>
      <w:rPr>
        <w:rFonts w:ascii="Wingdings" w:hAnsi="Wingdings" w:hint="default"/>
      </w:rPr>
    </w:lvl>
    <w:lvl w:ilvl="6" w:tplc="F8708C06" w:tentative="1">
      <w:start w:val="1"/>
      <w:numFmt w:val="bullet"/>
      <w:lvlText w:val=""/>
      <w:lvlJc w:val="left"/>
      <w:pPr>
        <w:ind w:left="5040" w:hanging="360"/>
      </w:pPr>
      <w:rPr>
        <w:rFonts w:ascii="Symbol" w:hAnsi="Symbol" w:hint="default"/>
      </w:rPr>
    </w:lvl>
    <w:lvl w:ilvl="7" w:tplc="247E4F06" w:tentative="1">
      <w:start w:val="1"/>
      <w:numFmt w:val="bullet"/>
      <w:lvlText w:val="o"/>
      <w:lvlJc w:val="left"/>
      <w:pPr>
        <w:ind w:left="5760" w:hanging="360"/>
      </w:pPr>
      <w:rPr>
        <w:rFonts w:ascii="Courier New" w:hAnsi="Courier New" w:cs="Courier New" w:hint="default"/>
      </w:rPr>
    </w:lvl>
    <w:lvl w:ilvl="8" w:tplc="EF16B678" w:tentative="1">
      <w:start w:val="1"/>
      <w:numFmt w:val="bullet"/>
      <w:lvlText w:val=""/>
      <w:lvlJc w:val="left"/>
      <w:pPr>
        <w:ind w:left="6480" w:hanging="360"/>
      </w:pPr>
      <w:rPr>
        <w:rFonts w:ascii="Wingdings" w:hAnsi="Wingdings" w:hint="default"/>
      </w:rPr>
    </w:lvl>
  </w:abstractNum>
  <w:abstractNum w:abstractNumId="2">
    <w:nsid w:val="17526398"/>
    <w:multiLevelType w:val="multilevel"/>
    <w:tmpl w:val="D884D35C"/>
    <w:lvl w:ilvl="0">
      <w:start w:val="1"/>
      <w:numFmt w:val="decimal"/>
      <w:pStyle w:val="Ttulo1"/>
      <w:lvlText w:val="ANEXO %1"/>
      <w:lvlJc w:val="left"/>
      <w:pPr>
        <w:ind w:left="360" w:hanging="360"/>
      </w:pPr>
      <w:rPr>
        <w:rFonts w:hint="default"/>
        <w:b/>
        <w:i w:val="0"/>
      </w:rPr>
    </w:lvl>
    <w:lvl w:ilvl="1">
      <w:start w:val="1"/>
      <w:numFmt w:val="decimal"/>
      <w:pStyle w:val="Ttulo2"/>
      <w:lvlText w:val="%1.%2"/>
      <w:lvlJc w:val="left"/>
      <w:pPr>
        <w:ind w:left="576" w:hanging="576"/>
      </w:pPr>
    </w:lvl>
    <w:lvl w:ilvl="2">
      <w:start w:val="1"/>
      <w:numFmt w:val="decimal"/>
      <w:pStyle w:val="Ttulo3"/>
      <w:lvlText w:val="%1.%2.%3"/>
      <w:lvlJc w:val="left"/>
      <w:pPr>
        <w:ind w:left="3839"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BF00E26"/>
    <w:multiLevelType w:val="hybridMultilevel"/>
    <w:tmpl w:val="94FE3786"/>
    <w:lvl w:ilvl="0" w:tplc="C7D84174">
      <w:start w:val="1"/>
      <w:numFmt w:val="bullet"/>
      <w:lvlText w:val=""/>
      <w:lvlJc w:val="left"/>
      <w:pPr>
        <w:ind w:left="1080" w:hanging="360"/>
      </w:pPr>
      <w:rPr>
        <w:rFonts w:ascii="Wingdings" w:eastAsia="Times New Roman"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B3663F1"/>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CE51660"/>
    <w:multiLevelType w:val="hybridMultilevel"/>
    <w:tmpl w:val="4A18FE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9550E3"/>
    <w:multiLevelType w:val="hybridMultilevel"/>
    <w:tmpl w:val="FDAC7B44"/>
    <w:lvl w:ilvl="0" w:tplc="240A000B">
      <w:start w:val="1"/>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BE9207C"/>
    <w:multiLevelType w:val="hybridMultilevel"/>
    <w:tmpl w:val="A3161AD8"/>
    <w:lvl w:ilvl="0" w:tplc="BC1638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E71D8A"/>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FF734CB"/>
    <w:multiLevelType w:val="hybridMultilevel"/>
    <w:tmpl w:val="F91A105E"/>
    <w:lvl w:ilvl="0" w:tplc="240A0001">
      <w:start w:val="1"/>
      <w:numFmt w:val="bullet"/>
      <w:lvlText w:val=""/>
      <w:lvlJc w:val="left"/>
      <w:pPr>
        <w:ind w:left="1232" w:hanging="360"/>
      </w:pPr>
      <w:rPr>
        <w:rFonts w:ascii="Symbol" w:hAnsi="Symbol" w:hint="default"/>
      </w:rPr>
    </w:lvl>
    <w:lvl w:ilvl="1" w:tplc="240A0003" w:tentative="1">
      <w:start w:val="1"/>
      <w:numFmt w:val="bullet"/>
      <w:lvlText w:val="o"/>
      <w:lvlJc w:val="left"/>
      <w:pPr>
        <w:ind w:left="1952" w:hanging="360"/>
      </w:pPr>
      <w:rPr>
        <w:rFonts w:ascii="Courier New" w:hAnsi="Courier New" w:cs="Courier New" w:hint="default"/>
      </w:rPr>
    </w:lvl>
    <w:lvl w:ilvl="2" w:tplc="240A0005" w:tentative="1">
      <w:start w:val="1"/>
      <w:numFmt w:val="bullet"/>
      <w:lvlText w:val=""/>
      <w:lvlJc w:val="left"/>
      <w:pPr>
        <w:ind w:left="2672" w:hanging="360"/>
      </w:pPr>
      <w:rPr>
        <w:rFonts w:ascii="Wingdings" w:hAnsi="Wingdings" w:hint="default"/>
      </w:rPr>
    </w:lvl>
    <w:lvl w:ilvl="3" w:tplc="240A0001" w:tentative="1">
      <w:start w:val="1"/>
      <w:numFmt w:val="bullet"/>
      <w:lvlText w:val=""/>
      <w:lvlJc w:val="left"/>
      <w:pPr>
        <w:ind w:left="3392" w:hanging="360"/>
      </w:pPr>
      <w:rPr>
        <w:rFonts w:ascii="Symbol" w:hAnsi="Symbol" w:hint="default"/>
      </w:rPr>
    </w:lvl>
    <w:lvl w:ilvl="4" w:tplc="240A0003" w:tentative="1">
      <w:start w:val="1"/>
      <w:numFmt w:val="bullet"/>
      <w:lvlText w:val="o"/>
      <w:lvlJc w:val="left"/>
      <w:pPr>
        <w:ind w:left="4112" w:hanging="360"/>
      </w:pPr>
      <w:rPr>
        <w:rFonts w:ascii="Courier New" w:hAnsi="Courier New" w:cs="Courier New" w:hint="default"/>
      </w:rPr>
    </w:lvl>
    <w:lvl w:ilvl="5" w:tplc="240A0005" w:tentative="1">
      <w:start w:val="1"/>
      <w:numFmt w:val="bullet"/>
      <w:lvlText w:val=""/>
      <w:lvlJc w:val="left"/>
      <w:pPr>
        <w:ind w:left="4832" w:hanging="360"/>
      </w:pPr>
      <w:rPr>
        <w:rFonts w:ascii="Wingdings" w:hAnsi="Wingdings" w:hint="default"/>
      </w:rPr>
    </w:lvl>
    <w:lvl w:ilvl="6" w:tplc="240A0001" w:tentative="1">
      <w:start w:val="1"/>
      <w:numFmt w:val="bullet"/>
      <w:lvlText w:val=""/>
      <w:lvlJc w:val="left"/>
      <w:pPr>
        <w:ind w:left="5552" w:hanging="360"/>
      </w:pPr>
      <w:rPr>
        <w:rFonts w:ascii="Symbol" w:hAnsi="Symbol" w:hint="default"/>
      </w:rPr>
    </w:lvl>
    <w:lvl w:ilvl="7" w:tplc="240A0003" w:tentative="1">
      <w:start w:val="1"/>
      <w:numFmt w:val="bullet"/>
      <w:lvlText w:val="o"/>
      <w:lvlJc w:val="left"/>
      <w:pPr>
        <w:ind w:left="6272" w:hanging="360"/>
      </w:pPr>
      <w:rPr>
        <w:rFonts w:ascii="Courier New" w:hAnsi="Courier New" w:cs="Courier New" w:hint="default"/>
      </w:rPr>
    </w:lvl>
    <w:lvl w:ilvl="8" w:tplc="240A0005" w:tentative="1">
      <w:start w:val="1"/>
      <w:numFmt w:val="bullet"/>
      <w:lvlText w:val=""/>
      <w:lvlJc w:val="left"/>
      <w:pPr>
        <w:ind w:left="6992" w:hanging="360"/>
      </w:pPr>
      <w:rPr>
        <w:rFonts w:ascii="Wingdings" w:hAnsi="Wingdings" w:hint="default"/>
      </w:rPr>
    </w:lvl>
  </w:abstractNum>
  <w:abstractNum w:abstractNumId="10">
    <w:nsid w:val="40D44A35"/>
    <w:multiLevelType w:val="multilevel"/>
    <w:tmpl w:val="C36C83EA"/>
    <w:name w:val="Lista4"/>
    <w:lvl w:ilvl="0">
      <w:start w:val="1"/>
      <w:numFmt w:val="decimal"/>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12">
    <w:nsid w:val="52EF74C9"/>
    <w:multiLevelType w:val="hybridMultilevel"/>
    <w:tmpl w:val="2F2ADD2A"/>
    <w:lvl w:ilvl="0" w:tplc="541AFCAA">
      <w:start w:val="1"/>
      <w:numFmt w:val="decimal"/>
      <w:lvlText w:val="Artículo %1."/>
      <w:lvlJc w:val="left"/>
      <w:pPr>
        <w:ind w:left="2204" w:hanging="360"/>
      </w:pPr>
      <w:rPr>
        <w:rFonts w:ascii="Bookman Old Style" w:hAnsi="Bookman Old Style"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57620DE6"/>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8382328"/>
    <w:multiLevelType w:val="hybridMultilevel"/>
    <w:tmpl w:val="4C585FF0"/>
    <w:lvl w:ilvl="0" w:tplc="CBC85DEC">
      <w:start w:val="1"/>
      <w:numFmt w:val="bullet"/>
      <w:lvlText w:val=""/>
      <w:lvlJc w:val="left"/>
      <w:pPr>
        <w:ind w:left="720" w:hanging="360"/>
      </w:pPr>
      <w:rPr>
        <w:rFonts w:ascii="Symbol" w:hAnsi="Symbol" w:hint="default"/>
      </w:rPr>
    </w:lvl>
    <w:lvl w:ilvl="1" w:tplc="BFD4B60A" w:tentative="1">
      <w:start w:val="1"/>
      <w:numFmt w:val="bullet"/>
      <w:lvlText w:val="o"/>
      <w:lvlJc w:val="left"/>
      <w:pPr>
        <w:ind w:left="1440" w:hanging="360"/>
      </w:pPr>
      <w:rPr>
        <w:rFonts w:ascii="Courier New" w:hAnsi="Courier New" w:cs="Courier New" w:hint="default"/>
      </w:rPr>
    </w:lvl>
    <w:lvl w:ilvl="2" w:tplc="4A82F082" w:tentative="1">
      <w:start w:val="1"/>
      <w:numFmt w:val="bullet"/>
      <w:lvlText w:val=""/>
      <w:lvlJc w:val="left"/>
      <w:pPr>
        <w:ind w:left="2160" w:hanging="360"/>
      </w:pPr>
      <w:rPr>
        <w:rFonts w:ascii="Wingdings" w:hAnsi="Wingdings" w:hint="default"/>
      </w:rPr>
    </w:lvl>
    <w:lvl w:ilvl="3" w:tplc="2AF8BFBC" w:tentative="1">
      <w:start w:val="1"/>
      <w:numFmt w:val="bullet"/>
      <w:lvlText w:val=""/>
      <w:lvlJc w:val="left"/>
      <w:pPr>
        <w:ind w:left="2880" w:hanging="360"/>
      </w:pPr>
      <w:rPr>
        <w:rFonts w:ascii="Symbol" w:hAnsi="Symbol" w:hint="default"/>
      </w:rPr>
    </w:lvl>
    <w:lvl w:ilvl="4" w:tplc="22BE3160" w:tentative="1">
      <w:start w:val="1"/>
      <w:numFmt w:val="bullet"/>
      <w:lvlText w:val="o"/>
      <w:lvlJc w:val="left"/>
      <w:pPr>
        <w:ind w:left="3600" w:hanging="360"/>
      </w:pPr>
      <w:rPr>
        <w:rFonts w:ascii="Courier New" w:hAnsi="Courier New" w:cs="Courier New" w:hint="default"/>
      </w:rPr>
    </w:lvl>
    <w:lvl w:ilvl="5" w:tplc="BD74931A" w:tentative="1">
      <w:start w:val="1"/>
      <w:numFmt w:val="bullet"/>
      <w:lvlText w:val=""/>
      <w:lvlJc w:val="left"/>
      <w:pPr>
        <w:ind w:left="4320" w:hanging="360"/>
      </w:pPr>
      <w:rPr>
        <w:rFonts w:ascii="Wingdings" w:hAnsi="Wingdings" w:hint="default"/>
      </w:rPr>
    </w:lvl>
    <w:lvl w:ilvl="6" w:tplc="DCD2EF04" w:tentative="1">
      <w:start w:val="1"/>
      <w:numFmt w:val="bullet"/>
      <w:lvlText w:val=""/>
      <w:lvlJc w:val="left"/>
      <w:pPr>
        <w:ind w:left="5040" w:hanging="360"/>
      </w:pPr>
      <w:rPr>
        <w:rFonts w:ascii="Symbol" w:hAnsi="Symbol" w:hint="default"/>
      </w:rPr>
    </w:lvl>
    <w:lvl w:ilvl="7" w:tplc="EC10B622" w:tentative="1">
      <w:start w:val="1"/>
      <w:numFmt w:val="bullet"/>
      <w:lvlText w:val="o"/>
      <w:lvlJc w:val="left"/>
      <w:pPr>
        <w:ind w:left="5760" w:hanging="360"/>
      </w:pPr>
      <w:rPr>
        <w:rFonts w:ascii="Courier New" w:hAnsi="Courier New" w:cs="Courier New" w:hint="default"/>
      </w:rPr>
    </w:lvl>
    <w:lvl w:ilvl="8" w:tplc="D44CEC3A" w:tentative="1">
      <w:start w:val="1"/>
      <w:numFmt w:val="bullet"/>
      <w:lvlText w:val=""/>
      <w:lvlJc w:val="left"/>
      <w:pPr>
        <w:ind w:left="6480" w:hanging="360"/>
      </w:pPr>
      <w:rPr>
        <w:rFonts w:ascii="Wingdings" w:hAnsi="Wingdings" w:hint="default"/>
      </w:rPr>
    </w:lvl>
  </w:abstractNum>
  <w:abstractNum w:abstractNumId="15">
    <w:nsid w:val="5AAB13D7"/>
    <w:multiLevelType w:val="hybridMultilevel"/>
    <w:tmpl w:val="7FEAD01E"/>
    <w:name w:val="Lista4322"/>
    <w:lvl w:ilvl="0" w:tplc="A2B81818">
      <w:start w:val="1"/>
      <w:numFmt w:val="decimal"/>
      <w:lvlText w:val="CAPÍTULO %1."/>
      <w:lvlJc w:val="left"/>
      <w:pPr>
        <w:ind w:left="360" w:hanging="360"/>
      </w:pPr>
      <w:rPr>
        <w:rFonts w:ascii="Bookman Old Style" w:hAnsi="Bookman Old Style" w:hint="default"/>
        <w:b/>
        <w:i w:val="0"/>
        <w:sz w:val="24"/>
      </w:rPr>
    </w:lvl>
    <w:lvl w:ilvl="1" w:tplc="BC7212C6" w:tentative="1">
      <w:start w:val="1"/>
      <w:numFmt w:val="lowerLetter"/>
      <w:lvlText w:val="%2."/>
      <w:lvlJc w:val="left"/>
      <w:pPr>
        <w:ind w:left="1080" w:hanging="360"/>
      </w:pPr>
    </w:lvl>
    <w:lvl w:ilvl="2" w:tplc="A446BFEE" w:tentative="1">
      <w:start w:val="1"/>
      <w:numFmt w:val="lowerRoman"/>
      <w:lvlText w:val="%3."/>
      <w:lvlJc w:val="right"/>
      <w:pPr>
        <w:ind w:left="1800" w:hanging="180"/>
      </w:pPr>
    </w:lvl>
    <w:lvl w:ilvl="3" w:tplc="AA4A5ACA" w:tentative="1">
      <w:start w:val="1"/>
      <w:numFmt w:val="decimal"/>
      <w:lvlText w:val="%4."/>
      <w:lvlJc w:val="left"/>
      <w:pPr>
        <w:ind w:left="2520" w:hanging="360"/>
      </w:pPr>
    </w:lvl>
    <w:lvl w:ilvl="4" w:tplc="4DB8D95A" w:tentative="1">
      <w:start w:val="1"/>
      <w:numFmt w:val="lowerLetter"/>
      <w:lvlText w:val="%5."/>
      <w:lvlJc w:val="left"/>
      <w:pPr>
        <w:ind w:left="3240" w:hanging="360"/>
      </w:pPr>
    </w:lvl>
    <w:lvl w:ilvl="5" w:tplc="D4DC958A" w:tentative="1">
      <w:start w:val="1"/>
      <w:numFmt w:val="lowerRoman"/>
      <w:lvlText w:val="%6."/>
      <w:lvlJc w:val="right"/>
      <w:pPr>
        <w:ind w:left="3960" w:hanging="180"/>
      </w:pPr>
    </w:lvl>
    <w:lvl w:ilvl="6" w:tplc="67940270" w:tentative="1">
      <w:start w:val="1"/>
      <w:numFmt w:val="decimal"/>
      <w:lvlText w:val="%7."/>
      <w:lvlJc w:val="left"/>
      <w:pPr>
        <w:ind w:left="4680" w:hanging="360"/>
      </w:pPr>
    </w:lvl>
    <w:lvl w:ilvl="7" w:tplc="CBDC6ABC" w:tentative="1">
      <w:start w:val="1"/>
      <w:numFmt w:val="lowerLetter"/>
      <w:lvlText w:val="%8."/>
      <w:lvlJc w:val="left"/>
      <w:pPr>
        <w:ind w:left="5400" w:hanging="360"/>
      </w:pPr>
    </w:lvl>
    <w:lvl w:ilvl="8" w:tplc="318638EC" w:tentative="1">
      <w:start w:val="1"/>
      <w:numFmt w:val="lowerRoman"/>
      <w:lvlText w:val="%9."/>
      <w:lvlJc w:val="right"/>
      <w:pPr>
        <w:ind w:left="6120" w:hanging="180"/>
      </w:pPr>
    </w:lvl>
  </w:abstractNum>
  <w:abstractNum w:abstractNumId="16">
    <w:nsid w:val="66DB3F5A"/>
    <w:multiLevelType w:val="hybridMultilevel"/>
    <w:tmpl w:val="0E7E6E2E"/>
    <w:lvl w:ilvl="0" w:tplc="240A000B">
      <w:start w:val="1"/>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C6644F4"/>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EE34111"/>
    <w:multiLevelType w:val="hybridMultilevel"/>
    <w:tmpl w:val="BA447440"/>
    <w:lvl w:ilvl="0" w:tplc="89808780">
      <w:start w:val="9"/>
      <w:numFmt w:val="lowerLetter"/>
      <w:lvlText w:val="%1)"/>
      <w:lvlJc w:val="left"/>
      <w:pPr>
        <w:tabs>
          <w:tab w:val="num" w:pos="2520"/>
        </w:tabs>
        <w:ind w:left="2520" w:hanging="360"/>
      </w:pPr>
      <w:rPr>
        <w:rFonts w:hint="default"/>
      </w:rPr>
    </w:lvl>
    <w:lvl w:ilvl="1" w:tplc="972C07A0">
      <w:start w:val="2"/>
      <w:numFmt w:val="lowerRoman"/>
      <w:lvlText w:val="%2)"/>
      <w:lvlJc w:val="left"/>
      <w:pPr>
        <w:tabs>
          <w:tab w:val="num" w:pos="3600"/>
        </w:tabs>
        <w:ind w:left="3600" w:hanging="720"/>
      </w:pPr>
      <w:rPr>
        <w:rFonts w:hint="default"/>
      </w:rPr>
    </w:lvl>
    <w:lvl w:ilvl="2" w:tplc="CE80B39C">
      <w:start w:val="1"/>
      <w:numFmt w:val="lowerLetter"/>
      <w:lvlText w:val="%3."/>
      <w:lvlJc w:val="left"/>
      <w:pPr>
        <w:ind w:left="4140" w:hanging="360"/>
      </w:pPr>
      <w:rPr>
        <w:rFonts w:hint="default"/>
      </w:rPr>
    </w:lvl>
    <w:lvl w:ilvl="3" w:tplc="364EA008">
      <w:start w:val="1"/>
      <w:numFmt w:val="decimal"/>
      <w:lvlText w:val="%4."/>
      <w:lvlJc w:val="left"/>
      <w:pPr>
        <w:ind w:left="4680" w:hanging="360"/>
      </w:pPr>
      <w:rPr>
        <w:rFonts w:hint="default"/>
      </w:r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num w:numId="1">
    <w:abstractNumId w:val="1"/>
  </w:num>
  <w:num w:numId="2">
    <w:abstractNumId w:val="12"/>
  </w:num>
  <w:num w:numId="3">
    <w:abstractNumId w:val="7"/>
  </w:num>
  <w:num w:numId="4">
    <w:abstractNumId w:val="11"/>
  </w:num>
  <w:num w:numId="5">
    <w:abstractNumId w:val="14"/>
  </w:num>
  <w:num w:numId="6">
    <w:abstractNumId w:val="9"/>
  </w:num>
  <w:num w:numId="7">
    <w:abstractNumId w:val="2"/>
  </w:num>
  <w:num w:numId="8">
    <w:abstractNumId w:val="17"/>
  </w:num>
  <w:num w:numId="9">
    <w:abstractNumId w:val="4"/>
  </w:num>
  <w:num w:numId="10">
    <w:abstractNumId w:val="8"/>
  </w:num>
  <w:num w:numId="11">
    <w:abstractNumId w:val="5"/>
  </w:num>
  <w:num w:numId="12">
    <w:abstractNumId w:val="6"/>
  </w:num>
  <w:num w:numId="13">
    <w:abstractNumId w:val="3"/>
  </w:num>
  <w:num w:numId="14">
    <w:abstractNumId w:val="16"/>
  </w:num>
  <w:num w:numId="15">
    <w:abstractNumId w:val="18"/>
  </w:num>
  <w:num w:numId="16">
    <w:abstractNumId w:val="0"/>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E7340"/>
    <w:rsid w:val="00001FB3"/>
    <w:rsid w:val="0000308B"/>
    <w:rsid w:val="00004A40"/>
    <w:rsid w:val="00006AE2"/>
    <w:rsid w:val="000076A1"/>
    <w:rsid w:val="00012259"/>
    <w:rsid w:val="0001575E"/>
    <w:rsid w:val="00025383"/>
    <w:rsid w:val="00037D8A"/>
    <w:rsid w:val="00045BDF"/>
    <w:rsid w:val="00050E53"/>
    <w:rsid w:val="00051727"/>
    <w:rsid w:val="00052ED2"/>
    <w:rsid w:val="00052EE4"/>
    <w:rsid w:val="00052F77"/>
    <w:rsid w:val="00057118"/>
    <w:rsid w:val="000611C9"/>
    <w:rsid w:val="00062922"/>
    <w:rsid w:val="00063657"/>
    <w:rsid w:val="00065B12"/>
    <w:rsid w:val="00066279"/>
    <w:rsid w:val="00070CA9"/>
    <w:rsid w:val="00071FF8"/>
    <w:rsid w:val="00076680"/>
    <w:rsid w:val="0008073E"/>
    <w:rsid w:val="00080B91"/>
    <w:rsid w:val="000813E1"/>
    <w:rsid w:val="00090960"/>
    <w:rsid w:val="00091CDB"/>
    <w:rsid w:val="00095772"/>
    <w:rsid w:val="0009633E"/>
    <w:rsid w:val="000A0835"/>
    <w:rsid w:val="000A19AC"/>
    <w:rsid w:val="000A532F"/>
    <w:rsid w:val="000B1B94"/>
    <w:rsid w:val="000B762B"/>
    <w:rsid w:val="000C1A48"/>
    <w:rsid w:val="000C24D1"/>
    <w:rsid w:val="000C4CAE"/>
    <w:rsid w:val="000D1A42"/>
    <w:rsid w:val="000D26F8"/>
    <w:rsid w:val="000D27C3"/>
    <w:rsid w:val="000E07D9"/>
    <w:rsid w:val="000E0839"/>
    <w:rsid w:val="000E1EA6"/>
    <w:rsid w:val="000E34A6"/>
    <w:rsid w:val="000E40A4"/>
    <w:rsid w:val="000F06E1"/>
    <w:rsid w:val="000F0917"/>
    <w:rsid w:val="000F53CA"/>
    <w:rsid w:val="000F606F"/>
    <w:rsid w:val="00100074"/>
    <w:rsid w:val="001026D4"/>
    <w:rsid w:val="00103B01"/>
    <w:rsid w:val="00103E6B"/>
    <w:rsid w:val="00113281"/>
    <w:rsid w:val="00114B2E"/>
    <w:rsid w:val="00126129"/>
    <w:rsid w:val="00127FEB"/>
    <w:rsid w:val="00130044"/>
    <w:rsid w:val="00137417"/>
    <w:rsid w:val="001405C6"/>
    <w:rsid w:val="00141013"/>
    <w:rsid w:val="001412F7"/>
    <w:rsid w:val="00143F16"/>
    <w:rsid w:val="00161392"/>
    <w:rsid w:val="00161F75"/>
    <w:rsid w:val="001644AD"/>
    <w:rsid w:val="0017324C"/>
    <w:rsid w:val="0017385E"/>
    <w:rsid w:val="00174A37"/>
    <w:rsid w:val="001777E4"/>
    <w:rsid w:val="00181810"/>
    <w:rsid w:val="00185B53"/>
    <w:rsid w:val="00192CBF"/>
    <w:rsid w:val="00192F8A"/>
    <w:rsid w:val="00192FF1"/>
    <w:rsid w:val="00194FA9"/>
    <w:rsid w:val="0019686C"/>
    <w:rsid w:val="001A1063"/>
    <w:rsid w:val="001A15DA"/>
    <w:rsid w:val="001A2B0F"/>
    <w:rsid w:val="001A2B19"/>
    <w:rsid w:val="001A2E92"/>
    <w:rsid w:val="001A5F1B"/>
    <w:rsid w:val="001A6051"/>
    <w:rsid w:val="001A62C6"/>
    <w:rsid w:val="001A6AE9"/>
    <w:rsid w:val="001B1C22"/>
    <w:rsid w:val="001B34C6"/>
    <w:rsid w:val="001B61F1"/>
    <w:rsid w:val="001C72BB"/>
    <w:rsid w:val="001D16E6"/>
    <w:rsid w:val="001D7832"/>
    <w:rsid w:val="001D7BB5"/>
    <w:rsid w:val="001E30A0"/>
    <w:rsid w:val="001E5710"/>
    <w:rsid w:val="001E5738"/>
    <w:rsid w:val="001E58BC"/>
    <w:rsid w:val="001E72DA"/>
    <w:rsid w:val="001E7D33"/>
    <w:rsid w:val="001F3643"/>
    <w:rsid w:val="001F7C24"/>
    <w:rsid w:val="00201C5F"/>
    <w:rsid w:val="0020511E"/>
    <w:rsid w:val="0020712C"/>
    <w:rsid w:val="00207B63"/>
    <w:rsid w:val="00210CF4"/>
    <w:rsid w:val="00211D34"/>
    <w:rsid w:val="002142C6"/>
    <w:rsid w:val="00214F04"/>
    <w:rsid w:val="002208C4"/>
    <w:rsid w:val="00221D16"/>
    <w:rsid w:val="00224C89"/>
    <w:rsid w:val="00226382"/>
    <w:rsid w:val="00233926"/>
    <w:rsid w:val="00236069"/>
    <w:rsid w:val="00237980"/>
    <w:rsid w:val="00237BCA"/>
    <w:rsid w:val="00241F6A"/>
    <w:rsid w:val="002425A8"/>
    <w:rsid w:val="00242633"/>
    <w:rsid w:val="002456A9"/>
    <w:rsid w:val="00256952"/>
    <w:rsid w:val="00260039"/>
    <w:rsid w:val="00266CD6"/>
    <w:rsid w:val="00273218"/>
    <w:rsid w:val="00277918"/>
    <w:rsid w:val="0028778C"/>
    <w:rsid w:val="00290430"/>
    <w:rsid w:val="00290936"/>
    <w:rsid w:val="00294352"/>
    <w:rsid w:val="0029476F"/>
    <w:rsid w:val="002A1661"/>
    <w:rsid w:val="002A4945"/>
    <w:rsid w:val="002A5675"/>
    <w:rsid w:val="002A5A04"/>
    <w:rsid w:val="002A77CA"/>
    <w:rsid w:val="002B11E2"/>
    <w:rsid w:val="002B24B8"/>
    <w:rsid w:val="002B25FF"/>
    <w:rsid w:val="002B29BD"/>
    <w:rsid w:val="002B2BDB"/>
    <w:rsid w:val="002B4DC6"/>
    <w:rsid w:val="002B5B77"/>
    <w:rsid w:val="002C073B"/>
    <w:rsid w:val="002C31EC"/>
    <w:rsid w:val="002C5298"/>
    <w:rsid w:val="002D0129"/>
    <w:rsid w:val="002D3AE9"/>
    <w:rsid w:val="002D3CC7"/>
    <w:rsid w:val="002D4793"/>
    <w:rsid w:val="002D6087"/>
    <w:rsid w:val="002D6CE6"/>
    <w:rsid w:val="002D6E5C"/>
    <w:rsid w:val="002D732C"/>
    <w:rsid w:val="002E7F07"/>
    <w:rsid w:val="002F0734"/>
    <w:rsid w:val="002F1EFE"/>
    <w:rsid w:val="002F3960"/>
    <w:rsid w:val="002F46E7"/>
    <w:rsid w:val="002F48D2"/>
    <w:rsid w:val="002F4FD0"/>
    <w:rsid w:val="002F5FEA"/>
    <w:rsid w:val="00306719"/>
    <w:rsid w:val="003101DA"/>
    <w:rsid w:val="00311A75"/>
    <w:rsid w:val="003146EB"/>
    <w:rsid w:val="00314757"/>
    <w:rsid w:val="00315185"/>
    <w:rsid w:val="0031763B"/>
    <w:rsid w:val="00320872"/>
    <w:rsid w:val="003211CE"/>
    <w:rsid w:val="00322DB3"/>
    <w:rsid w:val="00323F10"/>
    <w:rsid w:val="00330806"/>
    <w:rsid w:val="00332519"/>
    <w:rsid w:val="00341540"/>
    <w:rsid w:val="00341C5E"/>
    <w:rsid w:val="0035403A"/>
    <w:rsid w:val="003553B8"/>
    <w:rsid w:val="0036055C"/>
    <w:rsid w:val="003607FC"/>
    <w:rsid w:val="00361FFC"/>
    <w:rsid w:val="0036394B"/>
    <w:rsid w:val="00367196"/>
    <w:rsid w:val="00370379"/>
    <w:rsid w:val="003709B5"/>
    <w:rsid w:val="00371673"/>
    <w:rsid w:val="00372B11"/>
    <w:rsid w:val="003730B0"/>
    <w:rsid w:val="003759C2"/>
    <w:rsid w:val="0037748B"/>
    <w:rsid w:val="003778A8"/>
    <w:rsid w:val="00386A41"/>
    <w:rsid w:val="00387CA8"/>
    <w:rsid w:val="003911FD"/>
    <w:rsid w:val="003912AA"/>
    <w:rsid w:val="003915AF"/>
    <w:rsid w:val="00394334"/>
    <w:rsid w:val="00397365"/>
    <w:rsid w:val="00397AAC"/>
    <w:rsid w:val="003A2753"/>
    <w:rsid w:val="003A29B2"/>
    <w:rsid w:val="003A31F6"/>
    <w:rsid w:val="003B0C12"/>
    <w:rsid w:val="003B2F52"/>
    <w:rsid w:val="003B3201"/>
    <w:rsid w:val="003B4096"/>
    <w:rsid w:val="003B526C"/>
    <w:rsid w:val="003C15CF"/>
    <w:rsid w:val="003C2C74"/>
    <w:rsid w:val="003C3447"/>
    <w:rsid w:val="003C65D7"/>
    <w:rsid w:val="003C6D4C"/>
    <w:rsid w:val="003C77D8"/>
    <w:rsid w:val="003D076C"/>
    <w:rsid w:val="003E0C6A"/>
    <w:rsid w:val="003E21A4"/>
    <w:rsid w:val="003E3FC6"/>
    <w:rsid w:val="003E5659"/>
    <w:rsid w:val="003F1772"/>
    <w:rsid w:val="003F2E01"/>
    <w:rsid w:val="00400A12"/>
    <w:rsid w:val="00406DF9"/>
    <w:rsid w:val="00411C16"/>
    <w:rsid w:val="00413A60"/>
    <w:rsid w:val="00415BAB"/>
    <w:rsid w:val="00415ED2"/>
    <w:rsid w:val="0042068C"/>
    <w:rsid w:val="004228F7"/>
    <w:rsid w:val="00424637"/>
    <w:rsid w:val="004249D2"/>
    <w:rsid w:val="00432422"/>
    <w:rsid w:val="00433586"/>
    <w:rsid w:val="0043421B"/>
    <w:rsid w:val="004347C4"/>
    <w:rsid w:val="00441813"/>
    <w:rsid w:val="00446B9F"/>
    <w:rsid w:val="00447DD0"/>
    <w:rsid w:val="00452CAE"/>
    <w:rsid w:val="00452E1C"/>
    <w:rsid w:val="00454DB2"/>
    <w:rsid w:val="00455868"/>
    <w:rsid w:val="00455C01"/>
    <w:rsid w:val="00457622"/>
    <w:rsid w:val="00457A02"/>
    <w:rsid w:val="0046041E"/>
    <w:rsid w:val="0046041F"/>
    <w:rsid w:val="00462DFE"/>
    <w:rsid w:val="0046528E"/>
    <w:rsid w:val="00467F57"/>
    <w:rsid w:val="00470616"/>
    <w:rsid w:val="0047122B"/>
    <w:rsid w:val="00473B7A"/>
    <w:rsid w:val="00481379"/>
    <w:rsid w:val="00481AEB"/>
    <w:rsid w:val="00483A70"/>
    <w:rsid w:val="00486E57"/>
    <w:rsid w:val="004905F0"/>
    <w:rsid w:val="00491B5D"/>
    <w:rsid w:val="00493AAA"/>
    <w:rsid w:val="00495854"/>
    <w:rsid w:val="004960E9"/>
    <w:rsid w:val="00496605"/>
    <w:rsid w:val="00497131"/>
    <w:rsid w:val="0049775B"/>
    <w:rsid w:val="00497FD2"/>
    <w:rsid w:val="004A0082"/>
    <w:rsid w:val="004A2E88"/>
    <w:rsid w:val="004A3AFA"/>
    <w:rsid w:val="004A5305"/>
    <w:rsid w:val="004A5FED"/>
    <w:rsid w:val="004A6B5F"/>
    <w:rsid w:val="004B7C71"/>
    <w:rsid w:val="004C3016"/>
    <w:rsid w:val="004C3691"/>
    <w:rsid w:val="004C5C00"/>
    <w:rsid w:val="004C68AC"/>
    <w:rsid w:val="004D5883"/>
    <w:rsid w:val="004D7634"/>
    <w:rsid w:val="004E09FA"/>
    <w:rsid w:val="004E570E"/>
    <w:rsid w:val="004F19AC"/>
    <w:rsid w:val="004F1CA9"/>
    <w:rsid w:val="004F6941"/>
    <w:rsid w:val="00500E96"/>
    <w:rsid w:val="005038F0"/>
    <w:rsid w:val="00504CE5"/>
    <w:rsid w:val="005114E4"/>
    <w:rsid w:val="00514B51"/>
    <w:rsid w:val="00521BBE"/>
    <w:rsid w:val="005221B9"/>
    <w:rsid w:val="005300D3"/>
    <w:rsid w:val="005312CE"/>
    <w:rsid w:val="00531933"/>
    <w:rsid w:val="00541377"/>
    <w:rsid w:val="00544F7E"/>
    <w:rsid w:val="00544F82"/>
    <w:rsid w:val="00550551"/>
    <w:rsid w:val="00553302"/>
    <w:rsid w:val="0055598B"/>
    <w:rsid w:val="00555E6A"/>
    <w:rsid w:val="005614BA"/>
    <w:rsid w:val="00565FCB"/>
    <w:rsid w:val="00567681"/>
    <w:rsid w:val="00567F63"/>
    <w:rsid w:val="00571E48"/>
    <w:rsid w:val="00574351"/>
    <w:rsid w:val="00577D0A"/>
    <w:rsid w:val="00593491"/>
    <w:rsid w:val="00593C4F"/>
    <w:rsid w:val="005946A8"/>
    <w:rsid w:val="00597496"/>
    <w:rsid w:val="005A0C10"/>
    <w:rsid w:val="005A28E2"/>
    <w:rsid w:val="005A4407"/>
    <w:rsid w:val="005A59EF"/>
    <w:rsid w:val="005A5A59"/>
    <w:rsid w:val="005A64C5"/>
    <w:rsid w:val="005B11E5"/>
    <w:rsid w:val="005B133C"/>
    <w:rsid w:val="005C1E1A"/>
    <w:rsid w:val="005C2376"/>
    <w:rsid w:val="005C246F"/>
    <w:rsid w:val="005C3234"/>
    <w:rsid w:val="005C4CC1"/>
    <w:rsid w:val="005D4D4C"/>
    <w:rsid w:val="005D7408"/>
    <w:rsid w:val="005E4C39"/>
    <w:rsid w:val="005E5177"/>
    <w:rsid w:val="005F161A"/>
    <w:rsid w:val="006003F6"/>
    <w:rsid w:val="0060256E"/>
    <w:rsid w:val="006043CB"/>
    <w:rsid w:val="0061213A"/>
    <w:rsid w:val="0061567E"/>
    <w:rsid w:val="00617C62"/>
    <w:rsid w:val="00624F14"/>
    <w:rsid w:val="00625DC6"/>
    <w:rsid w:val="006277CD"/>
    <w:rsid w:val="00627F8D"/>
    <w:rsid w:val="006320D8"/>
    <w:rsid w:val="00634CDE"/>
    <w:rsid w:val="00635BBB"/>
    <w:rsid w:val="00635FA7"/>
    <w:rsid w:val="0064063A"/>
    <w:rsid w:val="00643C18"/>
    <w:rsid w:val="00645821"/>
    <w:rsid w:val="00650733"/>
    <w:rsid w:val="00651821"/>
    <w:rsid w:val="0065215F"/>
    <w:rsid w:val="00654384"/>
    <w:rsid w:val="00656577"/>
    <w:rsid w:val="006675CD"/>
    <w:rsid w:val="00676BE1"/>
    <w:rsid w:val="00684D9B"/>
    <w:rsid w:val="00685997"/>
    <w:rsid w:val="006904F3"/>
    <w:rsid w:val="00691C02"/>
    <w:rsid w:val="00694EBF"/>
    <w:rsid w:val="00697556"/>
    <w:rsid w:val="006A2FFF"/>
    <w:rsid w:val="006A3285"/>
    <w:rsid w:val="006A4223"/>
    <w:rsid w:val="006A6D70"/>
    <w:rsid w:val="006B0FE2"/>
    <w:rsid w:val="006B4638"/>
    <w:rsid w:val="006B4C2B"/>
    <w:rsid w:val="006B6D47"/>
    <w:rsid w:val="006B7728"/>
    <w:rsid w:val="006C46F3"/>
    <w:rsid w:val="006C5F03"/>
    <w:rsid w:val="006D1099"/>
    <w:rsid w:val="006D7162"/>
    <w:rsid w:val="006E1613"/>
    <w:rsid w:val="006E2889"/>
    <w:rsid w:val="006E2C9C"/>
    <w:rsid w:val="006E525C"/>
    <w:rsid w:val="006E56AD"/>
    <w:rsid w:val="006E69E7"/>
    <w:rsid w:val="006F2D7A"/>
    <w:rsid w:val="006F46B4"/>
    <w:rsid w:val="006F57DA"/>
    <w:rsid w:val="006F6C20"/>
    <w:rsid w:val="006F6D95"/>
    <w:rsid w:val="006F6DDA"/>
    <w:rsid w:val="006F780C"/>
    <w:rsid w:val="006F7BB7"/>
    <w:rsid w:val="00701D3E"/>
    <w:rsid w:val="00701F00"/>
    <w:rsid w:val="00706F13"/>
    <w:rsid w:val="007072E8"/>
    <w:rsid w:val="00712CE2"/>
    <w:rsid w:val="00713159"/>
    <w:rsid w:val="0071618D"/>
    <w:rsid w:val="00716318"/>
    <w:rsid w:val="00716636"/>
    <w:rsid w:val="00716C00"/>
    <w:rsid w:val="0072161E"/>
    <w:rsid w:val="00725FA4"/>
    <w:rsid w:val="00733123"/>
    <w:rsid w:val="00734934"/>
    <w:rsid w:val="00740446"/>
    <w:rsid w:val="0074136D"/>
    <w:rsid w:val="0074179C"/>
    <w:rsid w:val="00743101"/>
    <w:rsid w:val="007438A9"/>
    <w:rsid w:val="0074491E"/>
    <w:rsid w:val="007475D8"/>
    <w:rsid w:val="00753BD4"/>
    <w:rsid w:val="00755951"/>
    <w:rsid w:val="007571D6"/>
    <w:rsid w:val="00761917"/>
    <w:rsid w:val="00765F3F"/>
    <w:rsid w:val="00771E3A"/>
    <w:rsid w:val="007725C4"/>
    <w:rsid w:val="00774B7D"/>
    <w:rsid w:val="00775964"/>
    <w:rsid w:val="00776FC2"/>
    <w:rsid w:val="007802F9"/>
    <w:rsid w:val="00780714"/>
    <w:rsid w:val="007822A8"/>
    <w:rsid w:val="007856F8"/>
    <w:rsid w:val="0078613E"/>
    <w:rsid w:val="00790FB5"/>
    <w:rsid w:val="00795BFB"/>
    <w:rsid w:val="007A15B9"/>
    <w:rsid w:val="007A3DD6"/>
    <w:rsid w:val="007A7AB0"/>
    <w:rsid w:val="007B2760"/>
    <w:rsid w:val="007B2A3F"/>
    <w:rsid w:val="007B5B7C"/>
    <w:rsid w:val="007C0224"/>
    <w:rsid w:val="007C38DD"/>
    <w:rsid w:val="007C6AD7"/>
    <w:rsid w:val="007C6E1E"/>
    <w:rsid w:val="007D251F"/>
    <w:rsid w:val="007E379C"/>
    <w:rsid w:val="007E4682"/>
    <w:rsid w:val="007E618E"/>
    <w:rsid w:val="007E6DA4"/>
    <w:rsid w:val="007E6E52"/>
    <w:rsid w:val="007E7BC1"/>
    <w:rsid w:val="007F4339"/>
    <w:rsid w:val="008023DE"/>
    <w:rsid w:val="008028CC"/>
    <w:rsid w:val="00806970"/>
    <w:rsid w:val="00806C01"/>
    <w:rsid w:val="008100EF"/>
    <w:rsid w:val="008121D0"/>
    <w:rsid w:val="00813870"/>
    <w:rsid w:val="008148CC"/>
    <w:rsid w:val="00817264"/>
    <w:rsid w:val="008207F3"/>
    <w:rsid w:val="0082109B"/>
    <w:rsid w:val="008211A4"/>
    <w:rsid w:val="00822579"/>
    <w:rsid w:val="00850308"/>
    <w:rsid w:val="008523B5"/>
    <w:rsid w:val="00860395"/>
    <w:rsid w:val="008631C1"/>
    <w:rsid w:val="00863487"/>
    <w:rsid w:val="00865F6E"/>
    <w:rsid w:val="008714DA"/>
    <w:rsid w:val="00873150"/>
    <w:rsid w:val="0087657D"/>
    <w:rsid w:val="008807D5"/>
    <w:rsid w:val="00880832"/>
    <w:rsid w:val="00881232"/>
    <w:rsid w:val="008837D1"/>
    <w:rsid w:val="008852D1"/>
    <w:rsid w:val="00886EE1"/>
    <w:rsid w:val="0088727D"/>
    <w:rsid w:val="00893C8A"/>
    <w:rsid w:val="00897C75"/>
    <w:rsid w:val="008A5756"/>
    <w:rsid w:val="008B0E54"/>
    <w:rsid w:val="008B405B"/>
    <w:rsid w:val="008C1130"/>
    <w:rsid w:val="008C2424"/>
    <w:rsid w:val="008C463D"/>
    <w:rsid w:val="008C6ED5"/>
    <w:rsid w:val="008D1723"/>
    <w:rsid w:val="008D18E6"/>
    <w:rsid w:val="008D2B16"/>
    <w:rsid w:val="008D7A9B"/>
    <w:rsid w:val="008E1DBA"/>
    <w:rsid w:val="008E5D2B"/>
    <w:rsid w:val="008E7051"/>
    <w:rsid w:val="008E7397"/>
    <w:rsid w:val="008E76AC"/>
    <w:rsid w:val="008E7B86"/>
    <w:rsid w:val="008F21F6"/>
    <w:rsid w:val="00900465"/>
    <w:rsid w:val="00900FF5"/>
    <w:rsid w:val="009027D4"/>
    <w:rsid w:val="009112C5"/>
    <w:rsid w:val="00911FBC"/>
    <w:rsid w:val="00923512"/>
    <w:rsid w:val="00925E3E"/>
    <w:rsid w:val="00927D21"/>
    <w:rsid w:val="00927F59"/>
    <w:rsid w:val="00934DE6"/>
    <w:rsid w:val="00934E08"/>
    <w:rsid w:val="00943CD3"/>
    <w:rsid w:val="0094578D"/>
    <w:rsid w:val="00946E6A"/>
    <w:rsid w:val="009505AB"/>
    <w:rsid w:val="00951D46"/>
    <w:rsid w:val="00951F79"/>
    <w:rsid w:val="00953B40"/>
    <w:rsid w:val="00953B7B"/>
    <w:rsid w:val="00960BAC"/>
    <w:rsid w:val="0096378D"/>
    <w:rsid w:val="00967F2C"/>
    <w:rsid w:val="00970A3D"/>
    <w:rsid w:val="00974AB5"/>
    <w:rsid w:val="009773CC"/>
    <w:rsid w:val="0098280B"/>
    <w:rsid w:val="0098706D"/>
    <w:rsid w:val="009935FB"/>
    <w:rsid w:val="0099550B"/>
    <w:rsid w:val="009A1770"/>
    <w:rsid w:val="009A1A06"/>
    <w:rsid w:val="009A6EF7"/>
    <w:rsid w:val="009B4313"/>
    <w:rsid w:val="009C0B48"/>
    <w:rsid w:val="009C1389"/>
    <w:rsid w:val="009C7DC7"/>
    <w:rsid w:val="009D1DA5"/>
    <w:rsid w:val="009D293A"/>
    <w:rsid w:val="009E0C95"/>
    <w:rsid w:val="009E0CE7"/>
    <w:rsid w:val="009E50EF"/>
    <w:rsid w:val="009E65E5"/>
    <w:rsid w:val="009F0152"/>
    <w:rsid w:val="009F2E0E"/>
    <w:rsid w:val="009F4366"/>
    <w:rsid w:val="009F4883"/>
    <w:rsid w:val="009F4A54"/>
    <w:rsid w:val="009F4BEC"/>
    <w:rsid w:val="00A106E9"/>
    <w:rsid w:val="00A12BAF"/>
    <w:rsid w:val="00A25B4A"/>
    <w:rsid w:val="00A25FD7"/>
    <w:rsid w:val="00A33003"/>
    <w:rsid w:val="00A335C1"/>
    <w:rsid w:val="00A341A6"/>
    <w:rsid w:val="00A3665A"/>
    <w:rsid w:val="00A374F7"/>
    <w:rsid w:val="00A41308"/>
    <w:rsid w:val="00A43AFF"/>
    <w:rsid w:val="00A47D61"/>
    <w:rsid w:val="00A51E8A"/>
    <w:rsid w:val="00A543E2"/>
    <w:rsid w:val="00A55A2F"/>
    <w:rsid w:val="00A55B34"/>
    <w:rsid w:val="00A66F16"/>
    <w:rsid w:val="00A67F33"/>
    <w:rsid w:val="00A71AFD"/>
    <w:rsid w:val="00A71B19"/>
    <w:rsid w:val="00A747F7"/>
    <w:rsid w:val="00A7746B"/>
    <w:rsid w:val="00A7793A"/>
    <w:rsid w:val="00A86D0F"/>
    <w:rsid w:val="00A90F3F"/>
    <w:rsid w:val="00A91655"/>
    <w:rsid w:val="00A92565"/>
    <w:rsid w:val="00A92ED3"/>
    <w:rsid w:val="00A94687"/>
    <w:rsid w:val="00AA109F"/>
    <w:rsid w:val="00AA4C02"/>
    <w:rsid w:val="00AA4DC6"/>
    <w:rsid w:val="00AA664C"/>
    <w:rsid w:val="00AA7609"/>
    <w:rsid w:val="00AB186A"/>
    <w:rsid w:val="00AB29FD"/>
    <w:rsid w:val="00AB3F7F"/>
    <w:rsid w:val="00AB6CA7"/>
    <w:rsid w:val="00AC51C0"/>
    <w:rsid w:val="00AC6DD8"/>
    <w:rsid w:val="00AD01E4"/>
    <w:rsid w:val="00AD0858"/>
    <w:rsid w:val="00AD3689"/>
    <w:rsid w:val="00AE3404"/>
    <w:rsid w:val="00AE413E"/>
    <w:rsid w:val="00AE7340"/>
    <w:rsid w:val="00AF1B3B"/>
    <w:rsid w:val="00AF1BBD"/>
    <w:rsid w:val="00AF6C1F"/>
    <w:rsid w:val="00B03460"/>
    <w:rsid w:val="00B0528E"/>
    <w:rsid w:val="00B07387"/>
    <w:rsid w:val="00B10207"/>
    <w:rsid w:val="00B10341"/>
    <w:rsid w:val="00B1071D"/>
    <w:rsid w:val="00B12A73"/>
    <w:rsid w:val="00B131D9"/>
    <w:rsid w:val="00B141E7"/>
    <w:rsid w:val="00B15F9D"/>
    <w:rsid w:val="00B173D4"/>
    <w:rsid w:val="00B266F7"/>
    <w:rsid w:val="00B27B7F"/>
    <w:rsid w:val="00B27CD9"/>
    <w:rsid w:val="00B3329A"/>
    <w:rsid w:val="00B351B4"/>
    <w:rsid w:val="00B35332"/>
    <w:rsid w:val="00B3689E"/>
    <w:rsid w:val="00B37B6F"/>
    <w:rsid w:val="00B37D2F"/>
    <w:rsid w:val="00B46BCA"/>
    <w:rsid w:val="00B51EB2"/>
    <w:rsid w:val="00B53E44"/>
    <w:rsid w:val="00B623CD"/>
    <w:rsid w:val="00B627D6"/>
    <w:rsid w:val="00B66E81"/>
    <w:rsid w:val="00B70038"/>
    <w:rsid w:val="00B77462"/>
    <w:rsid w:val="00B813AF"/>
    <w:rsid w:val="00B87806"/>
    <w:rsid w:val="00B87DD6"/>
    <w:rsid w:val="00B87EC9"/>
    <w:rsid w:val="00B92E84"/>
    <w:rsid w:val="00B93B92"/>
    <w:rsid w:val="00BA1013"/>
    <w:rsid w:val="00BA3384"/>
    <w:rsid w:val="00BA37EF"/>
    <w:rsid w:val="00BB27B3"/>
    <w:rsid w:val="00BB53DC"/>
    <w:rsid w:val="00BB6D74"/>
    <w:rsid w:val="00BB7038"/>
    <w:rsid w:val="00BB74A4"/>
    <w:rsid w:val="00BC12ED"/>
    <w:rsid w:val="00BC38FD"/>
    <w:rsid w:val="00BC4C62"/>
    <w:rsid w:val="00BD0125"/>
    <w:rsid w:val="00BD1D08"/>
    <w:rsid w:val="00BE0B95"/>
    <w:rsid w:val="00BE232F"/>
    <w:rsid w:val="00BF2BB4"/>
    <w:rsid w:val="00C0100B"/>
    <w:rsid w:val="00C034CB"/>
    <w:rsid w:val="00C03570"/>
    <w:rsid w:val="00C051A8"/>
    <w:rsid w:val="00C054BC"/>
    <w:rsid w:val="00C0556A"/>
    <w:rsid w:val="00C055A3"/>
    <w:rsid w:val="00C055B9"/>
    <w:rsid w:val="00C06EB7"/>
    <w:rsid w:val="00C138C7"/>
    <w:rsid w:val="00C1452F"/>
    <w:rsid w:val="00C163C0"/>
    <w:rsid w:val="00C17897"/>
    <w:rsid w:val="00C216DD"/>
    <w:rsid w:val="00C25730"/>
    <w:rsid w:val="00C26C6F"/>
    <w:rsid w:val="00C27278"/>
    <w:rsid w:val="00C37254"/>
    <w:rsid w:val="00C409D5"/>
    <w:rsid w:val="00C40C58"/>
    <w:rsid w:val="00C43C68"/>
    <w:rsid w:val="00C46940"/>
    <w:rsid w:val="00C47EC6"/>
    <w:rsid w:val="00C572AD"/>
    <w:rsid w:val="00C60403"/>
    <w:rsid w:val="00C622D8"/>
    <w:rsid w:val="00C6234B"/>
    <w:rsid w:val="00C63EAE"/>
    <w:rsid w:val="00C7629F"/>
    <w:rsid w:val="00C8661B"/>
    <w:rsid w:val="00C90B53"/>
    <w:rsid w:val="00C92269"/>
    <w:rsid w:val="00C93379"/>
    <w:rsid w:val="00C9596B"/>
    <w:rsid w:val="00C95AFC"/>
    <w:rsid w:val="00C9708B"/>
    <w:rsid w:val="00CA139A"/>
    <w:rsid w:val="00CA2899"/>
    <w:rsid w:val="00CA43D9"/>
    <w:rsid w:val="00CA5090"/>
    <w:rsid w:val="00CA75B9"/>
    <w:rsid w:val="00CA77FB"/>
    <w:rsid w:val="00CB2A18"/>
    <w:rsid w:val="00CB2FD6"/>
    <w:rsid w:val="00CB379B"/>
    <w:rsid w:val="00CB3863"/>
    <w:rsid w:val="00CB50AD"/>
    <w:rsid w:val="00CB5DD0"/>
    <w:rsid w:val="00CC1E82"/>
    <w:rsid w:val="00CC51D4"/>
    <w:rsid w:val="00CC65DA"/>
    <w:rsid w:val="00CC6D48"/>
    <w:rsid w:val="00CC6DC6"/>
    <w:rsid w:val="00CC7940"/>
    <w:rsid w:val="00CD1A8F"/>
    <w:rsid w:val="00CE742A"/>
    <w:rsid w:val="00CF0FC7"/>
    <w:rsid w:val="00CF21B9"/>
    <w:rsid w:val="00CF4544"/>
    <w:rsid w:val="00CF5946"/>
    <w:rsid w:val="00CF6BF9"/>
    <w:rsid w:val="00D01388"/>
    <w:rsid w:val="00D02F3D"/>
    <w:rsid w:val="00D03800"/>
    <w:rsid w:val="00D039E1"/>
    <w:rsid w:val="00D065D3"/>
    <w:rsid w:val="00D1075C"/>
    <w:rsid w:val="00D11524"/>
    <w:rsid w:val="00D14C94"/>
    <w:rsid w:val="00D15240"/>
    <w:rsid w:val="00D166A4"/>
    <w:rsid w:val="00D20714"/>
    <w:rsid w:val="00D2105E"/>
    <w:rsid w:val="00D21531"/>
    <w:rsid w:val="00D2342A"/>
    <w:rsid w:val="00D23C1D"/>
    <w:rsid w:val="00D32306"/>
    <w:rsid w:val="00D33D50"/>
    <w:rsid w:val="00D3425E"/>
    <w:rsid w:val="00D342A6"/>
    <w:rsid w:val="00D3435A"/>
    <w:rsid w:val="00D448B7"/>
    <w:rsid w:val="00D464BF"/>
    <w:rsid w:val="00D47AB5"/>
    <w:rsid w:val="00D47EDB"/>
    <w:rsid w:val="00D53E26"/>
    <w:rsid w:val="00D56DB2"/>
    <w:rsid w:val="00D5792F"/>
    <w:rsid w:val="00D72BC6"/>
    <w:rsid w:val="00D749E1"/>
    <w:rsid w:val="00D7732F"/>
    <w:rsid w:val="00D8130F"/>
    <w:rsid w:val="00D8689E"/>
    <w:rsid w:val="00D903F9"/>
    <w:rsid w:val="00D91823"/>
    <w:rsid w:val="00D94F76"/>
    <w:rsid w:val="00DA25D7"/>
    <w:rsid w:val="00DB2B1C"/>
    <w:rsid w:val="00DB5E93"/>
    <w:rsid w:val="00DB774F"/>
    <w:rsid w:val="00DD2E40"/>
    <w:rsid w:val="00DD4F0E"/>
    <w:rsid w:val="00DE3F7C"/>
    <w:rsid w:val="00DE62E3"/>
    <w:rsid w:val="00DF28BB"/>
    <w:rsid w:val="00DF3A3E"/>
    <w:rsid w:val="00DF40E1"/>
    <w:rsid w:val="00DF40E2"/>
    <w:rsid w:val="00DF500C"/>
    <w:rsid w:val="00E03224"/>
    <w:rsid w:val="00E034F6"/>
    <w:rsid w:val="00E05162"/>
    <w:rsid w:val="00E05E0A"/>
    <w:rsid w:val="00E10CEF"/>
    <w:rsid w:val="00E16FA0"/>
    <w:rsid w:val="00E213CE"/>
    <w:rsid w:val="00E32726"/>
    <w:rsid w:val="00E334F8"/>
    <w:rsid w:val="00E41912"/>
    <w:rsid w:val="00E42045"/>
    <w:rsid w:val="00E534CF"/>
    <w:rsid w:val="00E56109"/>
    <w:rsid w:val="00E5689C"/>
    <w:rsid w:val="00E569F0"/>
    <w:rsid w:val="00E638DD"/>
    <w:rsid w:val="00E76C35"/>
    <w:rsid w:val="00E80DF8"/>
    <w:rsid w:val="00E81CB4"/>
    <w:rsid w:val="00E85752"/>
    <w:rsid w:val="00E8585B"/>
    <w:rsid w:val="00E85956"/>
    <w:rsid w:val="00E8683E"/>
    <w:rsid w:val="00E902AC"/>
    <w:rsid w:val="00E908C3"/>
    <w:rsid w:val="00E90C58"/>
    <w:rsid w:val="00E92B5C"/>
    <w:rsid w:val="00E92E92"/>
    <w:rsid w:val="00E95545"/>
    <w:rsid w:val="00EA3F15"/>
    <w:rsid w:val="00EA4984"/>
    <w:rsid w:val="00EA4DAC"/>
    <w:rsid w:val="00EA7847"/>
    <w:rsid w:val="00EB0E8B"/>
    <w:rsid w:val="00EB1546"/>
    <w:rsid w:val="00EB77F2"/>
    <w:rsid w:val="00EC016A"/>
    <w:rsid w:val="00EC23E5"/>
    <w:rsid w:val="00EC2815"/>
    <w:rsid w:val="00EE1E89"/>
    <w:rsid w:val="00EE2E6E"/>
    <w:rsid w:val="00EF081B"/>
    <w:rsid w:val="00EF6607"/>
    <w:rsid w:val="00EF70E4"/>
    <w:rsid w:val="00F009C9"/>
    <w:rsid w:val="00F03868"/>
    <w:rsid w:val="00F03968"/>
    <w:rsid w:val="00F0759E"/>
    <w:rsid w:val="00F1011E"/>
    <w:rsid w:val="00F151E2"/>
    <w:rsid w:val="00F160D9"/>
    <w:rsid w:val="00F166FD"/>
    <w:rsid w:val="00F16D68"/>
    <w:rsid w:val="00F17E8D"/>
    <w:rsid w:val="00F202E1"/>
    <w:rsid w:val="00F27275"/>
    <w:rsid w:val="00F27942"/>
    <w:rsid w:val="00F30E45"/>
    <w:rsid w:val="00F356E5"/>
    <w:rsid w:val="00F3582D"/>
    <w:rsid w:val="00F55DC3"/>
    <w:rsid w:val="00F627A0"/>
    <w:rsid w:val="00F62A77"/>
    <w:rsid w:val="00F6671A"/>
    <w:rsid w:val="00F7776D"/>
    <w:rsid w:val="00F77A2C"/>
    <w:rsid w:val="00F821A3"/>
    <w:rsid w:val="00F82AD7"/>
    <w:rsid w:val="00F836A3"/>
    <w:rsid w:val="00F84878"/>
    <w:rsid w:val="00F8499F"/>
    <w:rsid w:val="00F84E70"/>
    <w:rsid w:val="00F90815"/>
    <w:rsid w:val="00F91533"/>
    <w:rsid w:val="00F9314A"/>
    <w:rsid w:val="00F97183"/>
    <w:rsid w:val="00FA1C52"/>
    <w:rsid w:val="00FA2B73"/>
    <w:rsid w:val="00FA4201"/>
    <w:rsid w:val="00FA46AB"/>
    <w:rsid w:val="00FB20F3"/>
    <w:rsid w:val="00FB2BC2"/>
    <w:rsid w:val="00FB7670"/>
    <w:rsid w:val="00FC0C9A"/>
    <w:rsid w:val="00FC58EF"/>
    <w:rsid w:val="00FC6E96"/>
    <w:rsid w:val="00FD0ADF"/>
    <w:rsid w:val="00FD1205"/>
    <w:rsid w:val="00FD33DF"/>
    <w:rsid w:val="00FD3992"/>
    <w:rsid w:val="00FD58D1"/>
    <w:rsid w:val="00FD711F"/>
    <w:rsid w:val="00FE2849"/>
    <w:rsid w:val="00FE39D7"/>
    <w:rsid w:val="00FE59C5"/>
    <w:rsid w:val="00FF02A2"/>
    <w:rsid w:val="00FF690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F3"/>
    <w:pPr>
      <w:jc w:val="both"/>
    </w:pPr>
    <w:rPr>
      <w:rFonts w:ascii="Bookman Old Style" w:hAnsi="Bookman Old Style"/>
      <w:sz w:val="24"/>
      <w:szCs w:val="24"/>
    </w:rPr>
  </w:style>
  <w:style w:type="paragraph" w:styleId="Ttulo1">
    <w:name w:val="heading 1"/>
    <w:aliases w:val="ANEXO"/>
    <w:basedOn w:val="Prrafodelista"/>
    <w:next w:val="Normal"/>
    <w:link w:val="Ttulo1Car"/>
    <w:qFormat/>
    <w:rsid w:val="00221D16"/>
    <w:pPr>
      <w:keepNext/>
      <w:numPr>
        <w:numId w:val="7"/>
      </w:numPr>
      <w:spacing w:before="240" w:after="360"/>
      <w:ind w:left="357" w:hanging="357"/>
      <w:jc w:val="center"/>
      <w:outlineLvl w:val="0"/>
    </w:pPr>
    <w:rPr>
      <w:b/>
      <w:caps/>
      <w:spacing w:val="4"/>
      <w:szCs w:val="24"/>
      <w:lang w:val="es-ES"/>
    </w:rPr>
  </w:style>
  <w:style w:type="paragraph" w:styleId="Ttulo2">
    <w:name w:val="heading 2"/>
    <w:basedOn w:val="Ttulo1"/>
    <w:next w:val="Normal"/>
    <w:link w:val="Ttulo2Car"/>
    <w:autoRedefine/>
    <w:qFormat/>
    <w:rsid w:val="00221D16"/>
    <w:pPr>
      <w:numPr>
        <w:ilvl w:val="1"/>
      </w:numPr>
      <w:ind w:left="578" w:hanging="578"/>
      <w:jc w:val="left"/>
      <w:outlineLvl w:val="1"/>
    </w:pPr>
    <w:rPr>
      <w:caps w:val="0"/>
    </w:rPr>
  </w:style>
  <w:style w:type="paragraph" w:styleId="Ttulo3">
    <w:name w:val="heading 3"/>
    <w:basedOn w:val="Ttulo2"/>
    <w:next w:val="Normal"/>
    <w:link w:val="Ttulo3Car"/>
    <w:uiPriority w:val="9"/>
    <w:qFormat/>
    <w:rsid w:val="00E213CE"/>
    <w:pPr>
      <w:numPr>
        <w:ilvl w:val="2"/>
      </w:numPr>
      <w:ind w:left="993" w:hanging="993"/>
      <w:outlineLvl w:val="2"/>
    </w:pPr>
  </w:style>
  <w:style w:type="paragraph" w:styleId="Ttulo4">
    <w:name w:val="heading 4"/>
    <w:basedOn w:val="Normal"/>
    <w:next w:val="Normal"/>
    <w:link w:val="Ttulo4Car"/>
    <w:qFormat/>
    <w:rsid w:val="003101DA"/>
    <w:pPr>
      <w:keepNext/>
      <w:numPr>
        <w:ilvl w:val="3"/>
        <w:numId w:val="7"/>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7"/>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7"/>
      </w:num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6E56AD"/>
    <w:pPr>
      <w:keepNext/>
      <w:numPr>
        <w:ilvl w:val="6"/>
        <w:numId w:val="7"/>
      </w:numPr>
      <w:spacing w:before="160" w:after="160"/>
      <w:jc w:val="center"/>
      <w:outlineLvl w:val="6"/>
    </w:pPr>
    <w:rPr>
      <w:rFonts w:ascii="Arial" w:hAnsi="Arial"/>
      <w:b/>
      <w:sz w:val="22"/>
      <w:szCs w:val="20"/>
      <w:lang w:val="es-CO"/>
    </w:rPr>
  </w:style>
  <w:style w:type="paragraph" w:styleId="Ttulo8">
    <w:name w:val="heading 8"/>
    <w:basedOn w:val="Normal"/>
    <w:next w:val="Normal"/>
    <w:link w:val="Ttulo8Car"/>
    <w:uiPriority w:val="9"/>
    <w:qFormat/>
    <w:rsid w:val="006E56AD"/>
    <w:pPr>
      <w:keepNext/>
      <w:numPr>
        <w:ilvl w:val="7"/>
        <w:numId w:val="7"/>
      </w:numPr>
      <w:spacing w:before="160" w:after="160"/>
      <w:jc w:val="center"/>
      <w:outlineLvl w:val="7"/>
    </w:pPr>
    <w:rPr>
      <w:rFonts w:ascii="Arial" w:hAnsi="Arial" w:cs="Arial"/>
      <w:b/>
      <w:sz w:val="22"/>
      <w:szCs w:val="20"/>
      <w:lang w:val="es-CO"/>
    </w:rPr>
  </w:style>
  <w:style w:type="paragraph" w:styleId="Ttulo9">
    <w:name w:val="heading 9"/>
    <w:basedOn w:val="Normal"/>
    <w:next w:val="Normal"/>
    <w:link w:val="Ttulo9Car"/>
    <w:qFormat/>
    <w:rsid w:val="006E56AD"/>
    <w:pPr>
      <w:keepNext/>
      <w:numPr>
        <w:ilvl w:val="8"/>
        <w:numId w:val="7"/>
      </w:numPr>
      <w:spacing w:before="160" w:after="160"/>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NEXO Car"/>
    <w:basedOn w:val="Fuentedeprrafopredeter"/>
    <w:link w:val="Ttulo1"/>
    <w:rsid w:val="00221D16"/>
    <w:rPr>
      <w:rFonts w:ascii="Bookman Old Style" w:hAnsi="Bookman Old Style"/>
      <w:b/>
      <w:caps/>
      <w:spacing w:val="4"/>
      <w:sz w:val="24"/>
      <w:szCs w:val="24"/>
    </w:rPr>
  </w:style>
  <w:style w:type="character" w:customStyle="1" w:styleId="Ttulo2Car">
    <w:name w:val="Título 2 Car"/>
    <w:basedOn w:val="Fuentedeprrafopredeter"/>
    <w:link w:val="Ttulo2"/>
    <w:rsid w:val="00221D16"/>
    <w:rPr>
      <w:rFonts w:ascii="Bookman Old Style" w:hAnsi="Bookman Old Style"/>
      <w:b/>
      <w:spacing w:val="4"/>
      <w:sz w:val="24"/>
      <w:szCs w:val="24"/>
    </w:rPr>
  </w:style>
  <w:style w:type="character" w:customStyle="1" w:styleId="Ttulo3Car">
    <w:name w:val="Título 3 Car"/>
    <w:basedOn w:val="Fuentedeprrafopredeter"/>
    <w:link w:val="Ttulo3"/>
    <w:uiPriority w:val="9"/>
    <w:rsid w:val="00E213CE"/>
    <w:rPr>
      <w:rFonts w:ascii="Bookman Old Style" w:hAnsi="Bookman Old Style"/>
      <w:b/>
      <w:spacing w:val="4"/>
      <w:sz w:val="24"/>
      <w:szCs w:val="24"/>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tulo6Car">
    <w:name w:val="Título 6 Car"/>
    <w:basedOn w:val="Fuentedeprrafopredeter"/>
    <w:link w:val="Ttulo6"/>
    <w:uiPriority w:val="9"/>
    <w:rsid w:val="00795BFB"/>
    <w:rPr>
      <w:rFonts w:ascii="Calibri" w:hAnsi="Calibri"/>
      <w:b/>
      <w:bCs/>
      <w:sz w:val="22"/>
      <w:szCs w:val="22"/>
    </w:rPr>
  </w:style>
  <w:style w:type="character" w:customStyle="1" w:styleId="Ttulo7Car">
    <w:name w:val="Título 7 Car"/>
    <w:basedOn w:val="Fuentedeprrafopredeter"/>
    <w:link w:val="Ttulo7"/>
    <w:uiPriority w:val="9"/>
    <w:rsid w:val="006E56AD"/>
    <w:rPr>
      <w:rFonts w:ascii="Arial" w:hAnsi="Arial"/>
      <w:b/>
      <w:sz w:val="22"/>
      <w:lang w:val="es-CO"/>
    </w:rPr>
  </w:style>
  <w:style w:type="character" w:customStyle="1" w:styleId="Ttulo8Car">
    <w:name w:val="Título 8 Car"/>
    <w:basedOn w:val="Fuentedeprrafopredeter"/>
    <w:link w:val="Ttulo8"/>
    <w:uiPriority w:val="9"/>
    <w:rsid w:val="006E56AD"/>
    <w:rPr>
      <w:rFonts w:ascii="Arial" w:hAnsi="Arial" w:cs="Arial"/>
      <w:b/>
      <w:sz w:val="22"/>
      <w:lang w:val="es-CO"/>
    </w:rPr>
  </w:style>
  <w:style w:type="character" w:customStyle="1" w:styleId="Ttulo9Car">
    <w:name w:val="Título 9 Car"/>
    <w:basedOn w:val="Fuentedeprrafopredeter"/>
    <w:link w:val="Ttulo9"/>
    <w:rsid w:val="006E56AD"/>
    <w:rPr>
      <w:rFonts w:ascii="Arial" w:hAnsi="Arial"/>
      <w:sz w:val="22"/>
      <w:lang w:val="es-CO"/>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basedOn w:val="Fuentedeprrafopredete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character" w:customStyle="1" w:styleId="PiedepginaCar">
    <w:name w:val="Pie de página Car"/>
    <w:basedOn w:val="Fuentedeprrafopredeter"/>
    <w:link w:val="Piedepgina"/>
    <w:rsid w:val="006E56AD"/>
    <w:rPr>
      <w:sz w:val="24"/>
      <w:szCs w:val="24"/>
    </w:rPr>
  </w:style>
  <w:style w:type="paragraph" w:customStyle="1" w:styleId="Estilo1">
    <w:name w:val="Estilo1"/>
    <w:basedOn w:val="Normal"/>
    <w:qFormat/>
    <w:rsid w:val="003101DA"/>
    <w:pPr>
      <w:shd w:val="clear" w:color="auto" w:fill="C0C0C0"/>
      <w:jc w:val="center"/>
    </w:pPr>
    <w:rPr>
      <w:rFonts w:ascii="Comic Sans MS" w:hAnsi="Comic Sans MS"/>
      <w:emboss/>
      <w:color w:val="0000FF"/>
      <w:sz w:val="36"/>
      <w:szCs w:val="20"/>
      <w:lang w:val="es-CO"/>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character" w:customStyle="1" w:styleId="TextoindependienteCar">
    <w:name w:val="Texto independiente Car"/>
    <w:basedOn w:val="Fuentedeprrafopredeter"/>
    <w:link w:val="Textoindependiente"/>
    <w:rsid w:val="00141013"/>
    <w:rPr>
      <w:rFonts w:ascii="Arial" w:hAnsi="Arial" w:cs="Arial"/>
      <w:b/>
      <w:bCs/>
      <w:sz w:val="24"/>
      <w:szCs w:val="24"/>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character" w:customStyle="1" w:styleId="Textoindependiente3Car">
    <w:name w:val="Texto independiente 3 Car"/>
    <w:basedOn w:val="Fuentedeprrafopredeter"/>
    <w:link w:val="Textoindependiente3"/>
    <w:uiPriority w:val="99"/>
    <w:rsid w:val="00141013"/>
    <w:rPr>
      <w:rFonts w:ascii="Arial" w:hAnsi="Arial" w:cs="Arial"/>
      <w:b/>
      <w:bCs/>
      <w:spacing w:val="-3"/>
      <w:sz w:val="24"/>
      <w:szCs w:val="24"/>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rsid w:val="00725FA4"/>
    <w:rPr>
      <w:rFonts w:ascii="Tahoma" w:hAnsi="Tahoma" w:cs="Tahoma"/>
      <w:sz w:val="16"/>
      <w:szCs w:val="16"/>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BF2BB4"/>
    <w:pPr>
      <w:numPr>
        <w:numId w:val="1"/>
      </w:numPr>
    </w:pPr>
    <w:rPr>
      <w:szCs w:val="20"/>
      <w:lang w:val="es-CO"/>
    </w:rPr>
  </w:style>
  <w:style w:type="character" w:customStyle="1" w:styleId="PrrafodelistaCar">
    <w:name w:val="Párrafo de lista Car"/>
    <w:basedOn w:val="Fuentedeprrafopredeter"/>
    <w:link w:val="Prrafodelista"/>
    <w:rsid w:val="00BF2BB4"/>
    <w:rPr>
      <w:rFonts w:ascii="Bookman Old Style" w:hAnsi="Bookman Old Style"/>
      <w:sz w:val="24"/>
      <w:lang w:val="es-CO"/>
    </w:rPr>
  </w:style>
  <w:style w:type="paragraph" w:styleId="TDC1">
    <w:name w:val="toc 1"/>
    <w:basedOn w:val="Normal"/>
    <w:next w:val="Normal"/>
    <w:autoRedefine/>
    <w:uiPriority w:val="39"/>
    <w:qFormat/>
    <w:rsid w:val="00CC6DC6"/>
    <w:pPr>
      <w:tabs>
        <w:tab w:val="left" w:pos="480"/>
        <w:tab w:val="right" w:leader="dot" w:pos="9214"/>
      </w:tabs>
      <w:spacing w:before="120"/>
      <w:ind w:left="1418" w:right="142" w:hanging="1418"/>
    </w:pPr>
    <w:rPr>
      <w:b/>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semiHidden/>
    <w:rsid w:val="00006AE2"/>
    <w:rPr>
      <w:sz w:val="24"/>
      <w:szCs w:val="24"/>
    </w:rPr>
  </w:style>
  <w:style w:type="paragraph" w:styleId="Epgrafe">
    <w:name w:val="caption"/>
    <w:basedOn w:val="Normal"/>
    <w:next w:val="Normal"/>
    <w:link w:val="EpgrafeCar"/>
    <w:qFormat/>
    <w:rsid w:val="003A31F6"/>
    <w:pPr>
      <w:widowControl w:val="0"/>
      <w:adjustRightInd w:val="0"/>
      <w:spacing w:before="120" w:after="120" w:line="360" w:lineRule="atLeast"/>
      <w:jc w:val="center"/>
      <w:textAlignment w:val="baseline"/>
    </w:pPr>
    <w:rPr>
      <w:rFonts w:ascii="Arial" w:hAnsi="Arial"/>
      <w:sz w:val="20"/>
      <w:szCs w:val="20"/>
    </w:rPr>
  </w:style>
  <w:style w:type="character" w:customStyle="1" w:styleId="EpgrafeCar">
    <w:name w:val="Epígrafe Car"/>
    <w:basedOn w:val="Fuentedeprrafopredeter"/>
    <w:link w:val="Epgrafe"/>
    <w:rsid w:val="008207F3"/>
    <w:rPr>
      <w:rFonts w:ascii="Arial" w:hAnsi="Arial"/>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paragraph" w:customStyle="1" w:styleId="Artculo">
    <w:name w:val="Artículo"/>
    <w:basedOn w:val="Normal"/>
    <w:link w:val="ArtculoCar"/>
    <w:autoRedefine/>
    <w:qFormat/>
    <w:rsid w:val="005C2376"/>
    <w:rPr>
      <w:rFonts w:cs="Arial"/>
      <w:b/>
    </w:rPr>
  </w:style>
  <w:style w:type="character" w:customStyle="1" w:styleId="ArtculoCar">
    <w:name w:val="Artículo Car"/>
    <w:basedOn w:val="Fuentedeprrafopredeter"/>
    <w:link w:val="Artculo"/>
    <w:rsid w:val="005C2376"/>
    <w:rPr>
      <w:rFonts w:ascii="Bookman Old Style" w:hAnsi="Bookman Old Style" w:cs="Arial"/>
      <w:b/>
      <w:sz w:val="24"/>
      <w:szCs w:val="24"/>
    </w:rPr>
  </w:style>
  <w:style w:type="character" w:styleId="Hipervnculo">
    <w:name w:val="Hyperlink"/>
    <w:basedOn w:val="Fuentedeprrafopredeter"/>
    <w:uiPriority w:val="99"/>
    <w:rsid w:val="006E56AD"/>
    <w:rPr>
      <w:color w:val="0000FF"/>
      <w:u w:val="single"/>
    </w:rPr>
  </w:style>
  <w:style w:type="character" w:styleId="Hipervnculovisitado">
    <w:name w:val="FollowedHyperlink"/>
    <w:basedOn w:val="Fuentedeprrafopredeter"/>
    <w:rsid w:val="006E56AD"/>
    <w:rPr>
      <w:color w:val="800080"/>
      <w:u w:val="single"/>
    </w:rPr>
  </w:style>
  <w:style w:type="paragraph" w:styleId="Textonotapie">
    <w:name w:val="footnote text"/>
    <w:basedOn w:val="Normal"/>
    <w:link w:val="TextonotapieCar"/>
    <w:semiHidden/>
    <w:rsid w:val="006E56AD"/>
    <w:pPr>
      <w:spacing w:before="160" w:after="160"/>
    </w:pPr>
    <w:rPr>
      <w:rFonts w:ascii="Arial" w:hAnsi="Arial"/>
      <w:sz w:val="22"/>
      <w:szCs w:val="20"/>
      <w:lang w:val="es-CO"/>
    </w:rPr>
  </w:style>
  <w:style w:type="character" w:customStyle="1" w:styleId="TextonotapieCar">
    <w:name w:val="Texto nota pie Car"/>
    <w:basedOn w:val="Fuentedeprrafopredeter"/>
    <w:link w:val="Textonotapie"/>
    <w:semiHidden/>
    <w:rsid w:val="006E56AD"/>
    <w:rPr>
      <w:rFonts w:ascii="Arial" w:hAnsi="Arial"/>
      <w:sz w:val="22"/>
      <w:lang w:val="es-CO"/>
    </w:rPr>
  </w:style>
  <w:style w:type="character" w:styleId="Refdenotaalpie">
    <w:name w:val="footnote reference"/>
    <w:basedOn w:val="Fuentedeprrafopredeter"/>
    <w:uiPriority w:val="99"/>
    <w:semiHidden/>
    <w:rsid w:val="006E56AD"/>
    <w:rPr>
      <w:vertAlign w:val="superscript"/>
    </w:rPr>
  </w:style>
  <w:style w:type="paragraph" w:styleId="Listaconvietas">
    <w:name w:val="List Bullet"/>
    <w:basedOn w:val="Normal"/>
    <w:autoRedefine/>
    <w:rsid w:val="006E56AD"/>
    <w:pPr>
      <w:tabs>
        <w:tab w:val="num" w:pos="360"/>
      </w:tabs>
      <w:spacing w:before="160" w:after="160"/>
      <w:ind w:left="360" w:hanging="360"/>
    </w:pPr>
    <w:rPr>
      <w:rFonts w:ascii="CG Times" w:hAnsi="CG Times"/>
      <w:sz w:val="22"/>
      <w:szCs w:val="20"/>
      <w:lang w:val="es-CO"/>
    </w:rPr>
  </w:style>
  <w:style w:type="paragraph" w:styleId="Listaconvietas2">
    <w:name w:val="List Bullet 2"/>
    <w:basedOn w:val="Normal"/>
    <w:autoRedefine/>
    <w:semiHidden/>
    <w:rsid w:val="006E56AD"/>
    <w:pPr>
      <w:tabs>
        <w:tab w:val="num" w:pos="643"/>
      </w:tabs>
      <w:spacing w:before="160" w:after="160"/>
      <w:ind w:left="643" w:hanging="360"/>
    </w:pPr>
    <w:rPr>
      <w:rFonts w:ascii="CG Times" w:hAnsi="CG Times"/>
      <w:sz w:val="22"/>
      <w:szCs w:val="20"/>
      <w:lang w:val="es-CO"/>
    </w:rPr>
  </w:style>
  <w:style w:type="paragraph" w:styleId="Listaconvietas4">
    <w:name w:val="List Bullet 4"/>
    <w:basedOn w:val="Normal"/>
    <w:autoRedefine/>
    <w:semiHidden/>
    <w:rsid w:val="006E56AD"/>
    <w:pPr>
      <w:tabs>
        <w:tab w:val="num" w:pos="1209"/>
      </w:tabs>
      <w:spacing w:before="160" w:after="160"/>
      <w:ind w:left="1209" w:hanging="360"/>
    </w:pPr>
    <w:rPr>
      <w:rFonts w:ascii="CG Times" w:hAnsi="CG Times"/>
      <w:sz w:val="22"/>
      <w:szCs w:val="20"/>
      <w:lang w:val="es-CO"/>
    </w:rPr>
  </w:style>
  <w:style w:type="paragraph" w:styleId="Sangra2detindependiente">
    <w:name w:val="Body Text Indent 2"/>
    <w:basedOn w:val="Normal"/>
    <w:link w:val="Sangra2detindependienteCar"/>
    <w:rsid w:val="006E56AD"/>
    <w:pPr>
      <w:spacing w:before="160" w:after="160"/>
      <w:ind w:hanging="567"/>
      <w:outlineLvl w:val="0"/>
    </w:pPr>
    <w:rPr>
      <w:b/>
      <w:sz w:val="22"/>
      <w:szCs w:val="20"/>
      <w:lang w:val="es-CO"/>
    </w:rPr>
  </w:style>
  <w:style w:type="character" w:customStyle="1" w:styleId="Sangra2detindependienteCar">
    <w:name w:val="Sangría 2 de t. independiente Car"/>
    <w:basedOn w:val="Fuentedeprrafopredeter"/>
    <w:link w:val="Sangra2detindependiente"/>
    <w:rsid w:val="006E56AD"/>
    <w:rPr>
      <w:rFonts w:ascii="Bookman Old Style" w:hAnsi="Bookman Old Style"/>
      <w:b/>
      <w:sz w:val="22"/>
      <w:lang w:val="es-CO"/>
    </w:rPr>
  </w:style>
  <w:style w:type="paragraph" w:styleId="Sangradetextonormal">
    <w:name w:val="Body Text Indent"/>
    <w:basedOn w:val="Normal"/>
    <w:link w:val="SangradetextonormalCar"/>
    <w:rsid w:val="006E56AD"/>
    <w:pPr>
      <w:numPr>
        <w:ilvl w:val="12"/>
      </w:numPr>
      <w:tabs>
        <w:tab w:val="left" w:pos="0"/>
      </w:tabs>
      <w:spacing w:before="160" w:after="160"/>
    </w:pPr>
    <w:rPr>
      <w:rFonts w:ascii="Arial" w:hAnsi="Arial"/>
      <w:b/>
      <w:sz w:val="22"/>
      <w:szCs w:val="20"/>
      <w:lang w:val="es-CO"/>
    </w:rPr>
  </w:style>
  <w:style w:type="character" w:customStyle="1" w:styleId="SangradetextonormalCar">
    <w:name w:val="Sangría de texto normal Car"/>
    <w:basedOn w:val="Fuentedeprrafopredeter"/>
    <w:link w:val="Sangradetextonormal"/>
    <w:rsid w:val="006E56AD"/>
    <w:rPr>
      <w:rFonts w:ascii="Arial" w:hAnsi="Arial"/>
      <w:b/>
      <w:sz w:val="22"/>
      <w:lang w:val="es-CO"/>
    </w:rPr>
  </w:style>
  <w:style w:type="paragraph" w:styleId="TDC2">
    <w:name w:val="toc 2"/>
    <w:basedOn w:val="Normal"/>
    <w:next w:val="Normal"/>
    <w:autoRedefine/>
    <w:uiPriority w:val="39"/>
    <w:qFormat/>
    <w:rsid w:val="00B0528E"/>
    <w:pPr>
      <w:tabs>
        <w:tab w:val="left" w:pos="1418"/>
        <w:tab w:val="right" w:leader="dot" w:pos="9214"/>
      </w:tabs>
      <w:spacing w:before="160"/>
      <w:ind w:left="1418" w:hanging="709"/>
      <w:jc w:val="left"/>
    </w:pPr>
    <w:rPr>
      <w:bCs/>
      <w:noProof/>
      <w:szCs w:val="20"/>
      <w:lang w:val="es-CO"/>
    </w:rPr>
  </w:style>
  <w:style w:type="paragraph" w:styleId="TDC3">
    <w:name w:val="toc 3"/>
    <w:basedOn w:val="Normal"/>
    <w:next w:val="Normal"/>
    <w:autoRedefine/>
    <w:uiPriority w:val="39"/>
    <w:qFormat/>
    <w:rsid w:val="00CC6DC6"/>
    <w:pPr>
      <w:tabs>
        <w:tab w:val="left" w:pos="2126"/>
        <w:tab w:val="right" w:leader="dot" w:pos="9214"/>
      </w:tabs>
      <w:spacing w:before="100"/>
      <w:ind w:left="1418"/>
    </w:pPr>
    <w:rPr>
      <w:szCs w:val="20"/>
      <w:lang w:val="es-CO"/>
    </w:rPr>
  </w:style>
  <w:style w:type="paragraph" w:styleId="TDC4">
    <w:name w:val="toc 4"/>
    <w:basedOn w:val="Normal"/>
    <w:next w:val="Normal"/>
    <w:autoRedefine/>
    <w:uiPriority w:val="39"/>
    <w:rsid w:val="006E56AD"/>
    <w:pPr>
      <w:ind w:left="480"/>
    </w:pPr>
    <w:rPr>
      <w:rFonts w:ascii="Calibri" w:hAnsi="Calibri"/>
      <w:sz w:val="20"/>
      <w:szCs w:val="20"/>
      <w:lang w:val="es-CO"/>
    </w:rPr>
  </w:style>
  <w:style w:type="paragraph" w:styleId="TDC5">
    <w:name w:val="toc 5"/>
    <w:basedOn w:val="Normal"/>
    <w:next w:val="Normal"/>
    <w:autoRedefine/>
    <w:uiPriority w:val="39"/>
    <w:rsid w:val="006E56AD"/>
    <w:pPr>
      <w:ind w:left="720"/>
    </w:pPr>
    <w:rPr>
      <w:rFonts w:ascii="Calibri" w:hAnsi="Calibri"/>
      <w:sz w:val="20"/>
      <w:szCs w:val="20"/>
      <w:lang w:val="es-CO"/>
    </w:rPr>
  </w:style>
  <w:style w:type="paragraph" w:styleId="TDC6">
    <w:name w:val="toc 6"/>
    <w:basedOn w:val="Normal"/>
    <w:next w:val="Normal"/>
    <w:autoRedefine/>
    <w:uiPriority w:val="39"/>
    <w:rsid w:val="006E56AD"/>
    <w:pPr>
      <w:ind w:left="960"/>
    </w:pPr>
    <w:rPr>
      <w:rFonts w:ascii="Calibri" w:hAnsi="Calibri"/>
      <w:sz w:val="20"/>
      <w:szCs w:val="20"/>
      <w:lang w:val="es-CO"/>
    </w:rPr>
  </w:style>
  <w:style w:type="paragraph" w:styleId="TDC7">
    <w:name w:val="toc 7"/>
    <w:basedOn w:val="Normal"/>
    <w:next w:val="Normal"/>
    <w:autoRedefine/>
    <w:uiPriority w:val="39"/>
    <w:rsid w:val="006E56AD"/>
    <w:pPr>
      <w:tabs>
        <w:tab w:val="right" w:pos="9111"/>
      </w:tabs>
      <w:spacing w:before="240"/>
    </w:pPr>
    <w:rPr>
      <w:rFonts w:ascii="Arial" w:hAnsi="Arial"/>
      <w:b/>
      <w:sz w:val="22"/>
      <w:szCs w:val="20"/>
      <w:lang w:val="es-CO"/>
    </w:rPr>
  </w:style>
  <w:style w:type="paragraph" w:styleId="TDC8">
    <w:name w:val="toc 8"/>
    <w:basedOn w:val="Normal"/>
    <w:next w:val="Normal"/>
    <w:autoRedefine/>
    <w:uiPriority w:val="39"/>
    <w:rsid w:val="006E56AD"/>
    <w:pPr>
      <w:tabs>
        <w:tab w:val="right" w:leader="dot" w:pos="9111"/>
      </w:tabs>
    </w:pPr>
    <w:rPr>
      <w:rFonts w:ascii="Arial" w:hAnsi="Arial"/>
      <w:b/>
      <w:sz w:val="22"/>
      <w:szCs w:val="20"/>
      <w:lang w:val="es-CO"/>
    </w:rPr>
  </w:style>
  <w:style w:type="paragraph" w:styleId="TDC9">
    <w:name w:val="toc 9"/>
    <w:basedOn w:val="Normal"/>
    <w:next w:val="Normal"/>
    <w:autoRedefine/>
    <w:uiPriority w:val="39"/>
    <w:rsid w:val="006E56AD"/>
    <w:pPr>
      <w:ind w:left="1680"/>
    </w:pPr>
    <w:rPr>
      <w:rFonts w:ascii="Calibri" w:hAnsi="Calibri"/>
      <w:sz w:val="20"/>
      <w:szCs w:val="20"/>
      <w:lang w:val="es-CO"/>
    </w:rPr>
  </w:style>
  <w:style w:type="paragraph" w:customStyle="1" w:styleId="Textodenotaalfinal">
    <w:name w:val="Texto de nota al final"/>
    <w:basedOn w:val="Normal"/>
    <w:rsid w:val="006E56A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6E56A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6E56AD"/>
    <w:rPr>
      <w:rFonts w:ascii="Bookman Old Style" w:hAnsi="Bookman Old Style"/>
      <w:spacing w:val="-4"/>
      <w:sz w:val="22"/>
      <w:lang w:val="es-CO"/>
    </w:rPr>
  </w:style>
  <w:style w:type="paragraph" w:styleId="Cita">
    <w:name w:val="Quote"/>
    <w:basedOn w:val="Normal"/>
    <w:next w:val="Normal"/>
    <w:link w:val="CitaCar"/>
    <w:uiPriority w:val="29"/>
    <w:qFormat/>
    <w:rsid w:val="006E56AD"/>
    <w:pPr>
      <w:spacing w:after="12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6E56AD"/>
    <w:rPr>
      <w:rFonts w:ascii="Arial" w:eastAsia="Calibri" w:hAnsi="Arial" w:cs="Arial"/>
      <w:i/>
      <w:iCs/>
      <w:color w:val="000000"/>
      <w:szCs w:val="22"/>
      <w:lang w:val="es-CO" w:eastAsia="en-US"/>
    </w:rPr>
  </w:style>
  <w:style w:type="character" w:styleId="Refdecomentario">
    <w:name w:val="annotation reference"/>
    <w:basedOn w:val="Fuentedeprrafopredeter"/>
    <w:uiPriority w:val="99"/>
    <w:semiHidden/>
    <w:unhideWhenUsed/>
    <w:rsid w:val="006E56AD"/>
    <w:rPr>
      <w:sz w:val="16"/>
      <w:szCs w:val="16"/>
    </w:rPr>
  </w:style>
  <w:style w:type="paragraph" w:styleId="Textocomentario">
    <w:name w:val="annotation text"/>
    <w:basedOn w:val="Normal"/>
    <w:link w:val="TextocomentarioCar"/>
    <w:uiPriority w:val="99"/>
    <w:unhideWhenUsed/>
    <w:rsid w:val="006E56AD"/>
    <w:pPr>
      <w:spacing w:before="160" w:after="160"/>
    </w:pPr>
    <w:rPr>
      <w:rFonts w:ascii="Arial" w:hAnsi="Arial"/>
      <w:sz w:val="20"/>
      <w:szCs w:val="20"/>
      <w:lang w:val="es-CO"/>
    </w:rPr>
  </w:style>
  <w:style w:type="character" w:customStyle="1" w:styleId="TextocomentarioCar">
    <w:name w:val="Texto comentario Car"/>
    <w:basedOn w:val="Fuentedeprrafopredeter"/>
    <w:link w:val="Textocomentario"/>
    <w:uiPriority w:val="99"/>
    <w:rsid w:val="006E56AD"/>
    <w:rPr>
      <w:rFonts w:ascii="Arial" w:hAnsi="Arial"/>
      <w:lang w:val="es-CO"/>
    </w:rPr>
  </w:style>
  <w:style w:type="paragraph" w:styleId="Asuntodelcomentario">
    <w:name w:val="annotation subject"/>
    <w:basedOn w:val="Textocomentario"/>
    <w:next w:val="Textocomentario"/>
    <w:link w:val="AsuntodelcomentarioCar"/>
    <w:semiHidden/>
    <w:unhideWhenUsed/>
    <w:rsid w:val="006E56AD"/>
    <w:rPr>
      <w:b/>
      <w:bCs/>
    </w:rPr>
  </w:style>
  <w:style w:type="character" w:customStyle="1" w:styleId="AsuntodelcomentarioCar">
    <w:name w:val="Asunto del comentario Car"/>
    <w:basedOn w:val="TextocomentarioCar"/>
    <w:link w:val="Asuntodelcomentario"/>
    <w:semiHidden/>
    <w:rsid w:val="006E56AD"/>
    <w:rPr>
      <w:b/>
      <w:bCs/>
    </w:rPr>
  </w:style>
  <w:style w:type="character" w:styleId="Textoennegrita">
    <w:name w:val="Strong"/>
    <w:basedOn w:val="Fuentedeprrafopredeter"/>
    <w:uiPriority w:val="22"/>
    <w:qFormat/>
    <w:rsid w:val="006E56AD"/>
    <w:rPr>
      <w:b/>
      <w:bCs/>
    </w:rPr>
  </w:style>
  <w:style w:type="paragraph" w:styleId="TtulodeTDC">
    <w:name w:val="TOC Heading"/>
    <w:basedOn w:val="Ttulo1"/>
    <w:next w:val="Normal"/>
    <w:uiPriority w:val="39"/>
    <w:unhideWhenUsed/>
    <w:qFormat/>
    <w:rsid w:val="006E56AD"/>
    <w:pPr>
      <w:keepLines/>
      <w:spacing w:before="480" w:line="276" w:lineRule="auto"/>
      <w:ind w:left="0"/>
      <w:jc w:val="left"/>
      <w:outlineLvl w:val="9"/>
    </w:pPr>
    <w:rPr>
      <w:rFonts w:ascii="Cambria" w:hAnsi="Cambria"/>
      <w:bCs/>
      <w:color w:val="365F91"/>
      <w:sz w:val="28"/>
      <w:szCs w:val="28"/>
      <w:lang w:eastAsia="en-US"/>
    </w:rPr>
  </w:style>
  <w:style w:type="paragraph" w:styleId="Mapadeldocumento">
    <w:name w:val="Document Map"/>
    <w:basedOn w:val="Normal"/>
    <w:link w:val="MapadeldocumentoCar"/>
    <w:uiPriority w:val="99"/>
    <w:unhideWhenUsed/>
    <w:rsid w:val="006E56A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6E56AD"/>
    <w:rPr>
      <w:rFonts w:ascii="Tahoma" w:hAnsi="Tahoma" w:cs="Tahoma"/>
      <w:sz w:val="16"/>
      <w:szCs w:val="16"/>
      <w:lang w:val="es-CO"/>
    </w:rPr>
  </w:style>
  <w:style w:type="paragraph" w:customStyle="1" w:styleId="Anexo">
    <w:name w:val="Anexo"/>
    <w:basedOn w:val="Normal"/>
    <w:link w:val="AnexoCar"/>
    <w:qFormat/>
    <w:rsid w:val="008207F3"/>
    <w:pPr>
      <w:suppressAutoHyphens/>
      <w:ind w:left="1429" w:hanging="360"/>
    </w:pPr>
    <w:rPr>
      <w:rFonts w:cs="Arial"/>
      <w:b/>
      <w:bCs/>
      <w:spacing w:val="-4"/>
    </w:rPr>
  </w:style>
  <w:style w:type="character" w:customStyle="1" w:styleId="AnexoCar">
    <w:name w:val="Anexo Car"/>
    <w:basedOn w:val="Fuentedeprrafopredeter"/>
    <w:link w:val="Anexo"/>
    <w:rsid w:val="008207F3"/>
    <w:rPr>
      <w:rFonts w:ascii="Bookman Old Style" w:hAnsi="Bookman Old Style" w:cs="Arial"/>
      <w:b/>
      <w:bCs/>
      <w:spacing w:val="-4"/>
      <w:sz w:val="24"/>
      <w:szCs w:val="24"/>
    </w:rPr>
  </w:style>
  <w:style w:type="paragraph" w:customStyle="1" w:styleId="PliegoTitulo1">
    <w:name w:val="Pliego_Titulo1"/>
    <w:basedOn w:val="Pliego-Normal"/>
    <w:next w:val="Pliego-Normal"/>
    <w:rsid w:val="008207F3"/>
    <w:pPr>
      <w:tabs>
        <w:tab w:val="num" w:pos="432"/>
      </w:tabs>
      <w:ind w:left="432" w:hanging="432"/>
      <w:jc w:val="center"/>
    </w:pPr>
    <w:rPr>
      <w:b/>
    </w:rPr>
  </w:style>
  <w:style w:type="paragraph" w:customStyle="1" w:styleId="Pliego-Normal">
    <w:name w:val="Pliego-Normal"/>
    <w:basedOn w:val="Normal"/>
    <w:rsid w:val="008207F3"/>
    <w:pPr>
      <w:widowControl w:val="0"/>
      <w:adjustRightInd w:val="0"/>
      <w:textAlignment w:val="baseline"/>
    </w:pPr>
    <w:rPr>
      <w:rFonts w:ascii="Garamond" w:hAnsi="Garamond"/>
      <w:bCs/>
      <w:sz w:val="22"/>
      <w:szCs w:val="20"/>
      <w:lang w:val="es-ES_tradnl"/>
    </w:rPr>
  </w:style>
  <w:style w:type="paragraph" w:styleId="NormalWeb">
    <w:name w:val="Normal (Web)"/>
    <w:basedOn w:val="Normal"/>
    <w:uiPriority w:val="99"/>
    <w:rsid w:val="008207F3"/>
    <w:pPr>
      <w:widowControl w:val="0"/>
      <w:adjustRightInd w:val="0"/>
      <w:spacing w:before="100" w:beforeAutospacing="1" w:after="100" w:afterAutospacing="1"/>
      <w:textAlignment w:val="baseline"/>
    </w:pPr>
  </w:style>
  <w:style w:type="paragraph" w:styleId="ndice1">
    <w:name w:val="index 1"/>
    <w:basedOn w:val="Normal"/>
    <w:next w:val="Normal"/>
    <w:autoRedefine/>
    <w:semiHidden/>
    <w:rsid w:val="008207F3"/>
    <w:pPr>
      <w:widowControl w:val="0"/>
      <w:adjustRightInd w:val="0"/>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8207F3"/>
    <w:pPr>
      <w:widowControl w:val="0"/>
      <w:pBdr>
        <w:top w:val="single" w:sz="6" w:space="1" w:color="auto"/>
      </w:pBdr>
      <w:adjustRightInd w:val="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207F3"/>
    <w:rPr>
      <w:rFonts w:ascii="Arial" w:hAnsi="Arial" w:cs="Arial"/>
      <w:vanish/>
      <w:color w:val="000000"/>
      <w:sz w:val="16"/>
      <w:szCs w:val="16"/>
    </w:rPr>
  </w:style>
  <w:style w:type="paragraph" w:customStyle="1" w:styleId="NormalTesis">
    <w:name w:val="Normal Tesis"/>
    <w:basedOn w:val="Textoindependiente"/>
    <w:rsid w:val="008207F3"/>
    <w:pPr>
      <w:widowControl w:val="0"/>
      <w:adjustRightInd w:val="0"/>
      <w:spacing w:line="360" w:lineRule="auto"/>
      <w:jc w:val="both"/>
      <w:textAlignment w:val="baseline"/>
    </w:pPr>
    <w:rPr>
      <w:b w:val="0"/>
      <w:bCs w:val="0"/>
      <w:sz w:val="22"/>
    </w:rPr>
  </w:style>
  <w:style w:type="paragraph" w:customStyle="1" w:styleId="Citas">
    <w:name w:val="Citas"/>
    <w:basedOn w:val="Normal"/>
    <w:rsid w:val="008207F3"/>
    <w:pPr>
      <w:ind w:left="708" w:right="618"/>
    </w:pPr>
    <w:rPr>
      <w:rFonts w:cs="Arial"/>
      <w:i/>
      <w:iCs/>
      <w:szCs w:val="20"/>
    </w:rPr>
  </w:style>
  <w:style w:type="paragraph" w:customStyle="1" w:styleId="articulo">
    <w:name w:val="articulo"/>
    <w:basedOn w:val="Normal"/>
    <w:next w:val="Normal"/>
    <w:autoRedefine/>
    <w:rsid w:val="008207F3"/>
    <w:pPr>
      <w:tabs>
        <w:tab w:val="left" w:pos="-720"/>
        <w:tab w:val="num" w:pos="1440"/>
        <w:tab w:val="left" w:pos="1620"/>
      </w:tabs>
      <w:suppressAutoHyphens/>
      <w:spacing w:before="240"/>
    </w:pPr>
    <w:rPr>
      <w:rFonts w:cs="Arial"/>
      <w:bCs/>
      <w:spacing w:val="-4"/>
    </w:rPr>
  </w:style>
  <w:style w:type="character" w:styleId="Textodelmarcadordeposicin">
    <w:name w:val="Placeholder Text"/>
    <w:basedOn w:val="Fuentedeprrafopredeter"/>
    <w:uiPriority w:val="99"/>
    <w:semiHidden/>
    <w:rsid w:val="008207F3"/>
    <w:rPr>
      <w:color w:val="808080"/>
    </w:rPr>
  </w:style>
  <w:style w:type="paragraph" w:customStyle="1" w:styleId="EstiloPrrafodelistaJustificado">
    <w:name w:val="Estilo Párrafo de lista + Justificado"/>
    <w:basedOn w:val="Prrafodelista"/>
    <w:rsid w:val="008207F3"/>
    <w:pPr>
      <w:spacing w:before="120"/>
    </w:pPr>
    <w:rPr>
      <w:spacing w:val="4"/>
      <w:lang w:val="es-ES"/>
    </w:rPr>
  </w:style>
  <w:style w:type="paragraph" w:customStyle="1" w:styleId="Vietas">
    <w:name w:val="Viñetas"/>
    <w:basedOn w:val="Prrafodelista"/>
    <w:rsid w:val="008207F3"/>
    <w:pPr>
      <w:spacing w:before="120"/>
    </w:pPr>
    <w:rPr>
      <w:spacing w:val="4"/>
      <w:lang w:val="es-ES"/>
    </w:rPr>
  </w:style>
  <w:style w:type="paragraph" w:customStyle="1" w:styleId="Listaletras">
    <w:name w:val="Lista letras"/>
    <w:basedOn w:val="Sangra2detindependiente"/>
    <w:link w:val="ListaletrasCar"/>
    <w:qFormat/>
    <w:rsid w:val="008207F3"/>
  </w:style>
  <w:style w:type="character" w:customStyle="1" w:styleId="ListaletrasCar">
    <w:name w:val="Lista letras Car"/>
    <w:basedOn w:val="Sangra2detindependienteCar"/>
    <w:link w:val="Listaletras"/>
    <w:rsid w:val="008207F3"/>
    <w:rPr>
      <w:b/>
    </w:rPr>
  </w:style>
  <w:style w:type="paragraph" w:customStyle="1" w:styleId="Textoindependiente31">
    <w:name w:val="Texto independiente 31"/>
    <w:basedOn w:val="Normal"/>
    <w:rsid w:val="008207F3"/>
    <w:pPr>
      <w:tabs>
        <w:tab w:val="left" w:pos="-720"/>
      </w:tabs>
      <w:suppressAutoHyphens/>
      <w:overflowPunct w:val="0"/>
      <w:autoSpaceDE w:val="0"/>
      <w:autoSpaceDN w:val="0"/>
      <w:adjustRightInd w:val="0"/>
      <w:spacing w:after="240"/>
      <w:ind w:right="45"/>
      <w:textAlignment w:val="baseline"/>
    </w:pPr>
    <w:rPr>
      <w:sz w:val="22"/>
      <w:szCs w:val="20"/>
    </w:rPr>
  </w:style>
  <w:style w:type="paragraph" w:customStyle="1" w:styleId="Estilo2">
    <w:name w:val="Estilo2"/>
    <w:basedOn w:val="Ttulo1"/>
    <w:rsid w:val="008207F3"/>
    <w:pPr>
      <w:numPr>
        <w:numId w:val="0"/>
      </w:numPr>
      <w:adjustRightInd w:val="0"/>
      <w:textAlignment w:val="baseline"/>
    </w:pPr>
    <w:rPr>
      <w:bCs/>
    </w:rPr>
  </w:style>
  <w:style w:type="paragraph" w:styleId="Continuarlista">
    <w:name w:val="List Continue"/>
    <w:basedOn w:val="Normal"/>
    <w:rsid w:val="008207F3"/>
    <w:pPr>
      <w:widowControl w:val="0"/>
      <w:adjustRightInd w:val="0"/>
      <w:spacing w:after="120"/>
      <w:ind w:left="283"/>
      <w:contextualSpacing/>
      <w:textAlignment w:val="baseline"/>
    </w:pPr>
  </w:style>
  <w:style w:type="character" w:customStyle="1" w:styleId="Fuentedeprrafopredeter1">
    <w:name w:val="Fuente de párrafo predeter.1"/>
    <w:rsid w:val="008207F3"/>
  </w:style>
  <w:style w:type="character" w:customStyle="1" w:styleId="FootnoteCharacters">
    <w:name w:val="Footnote Characters"/>
    <w:basedOn w:val="Fuentedeprrafopredeter"/>
    <w:rsid w:val="008207F3"/>
    <w:rPr>
      <w:vertAlign w:val="superscript"/>
    </w:rPr>
  </w:style>
  <w:style w:type="character" w:customStyle="1" w:styleId="Refdenotaalpie1">
    <w:name w:val="Ref. de nota al pie1"/>
    <w:rsid w:val="008207F3"/>
    <w:rPr>
      <w:vertAlign w:val="superscript"/>
    </w:rPr>
  </w:style>
  <w:style w:type="character" w:customStyle="1" w:styleId="Refdecomentario1">
    <w:name w:val="Ref. de comentario1"/>
    <w:basedOn w:val="Fuentedeprrafopredeter"/>
    <w:rsid w:val="008207F3"/>
    <w:rPr>
      <w:sz w:val="16"/>
    </w:rPr>
  </w:style>
  <w:style w:type="paragraph" w:customStyle="1" w:styleId="Heading">
    <w:name w:val="Heading"/>
    <w:basedOn w:val="Normal"/>
    <w:next w:val="Textoindependiente"/>
    <w:rsid w:val="008207F3"/>
    <w:pPr>
      <w:keepNext/>
      <w:suppressAutoHyphens/>
      <w:spacing w:before="240" w:after="120"/>
    </w:pPr>
    <w:rPr>
      <w:rFonts w:ascii="Arial" w:eastAsia="DejaVu Sans" w:hAnsi="Arial" w:cs="DejaVu Sans"/>
      <w:sz w:val="28"/>
      <w:szCs w:val="28"/>
      <w:lang w:val="es-CO" w:eastAsia="ar-SA"/>
    </w:rPr>
  </w:style>
  <w:style w:type="paragraph" w:styleId="Lista">
    <w:name w:val="List"/>
    <w:basedOn w:val="Normal"/>
    <w:rsid w:val="008207F3"/>
    <w:pPr>
      <w:suppressAutoHyphens/>
      <w:ind w:left="283" w:hanging="283"/>
    </w:pPr>
    <w:rPr>
      <w:sz w:val="22"/>
      <w:szCs w:val="20"/>
      <w:lang w:val="es-CO" w:eastAsia="ar-SA"/>
    </w:rPr>
  </w:style>
  <w:style w:type="paragraph" w:customStyle="1" w:styleId="Index">
    <w:name w:val="Index"/>
    <w:basedOn w:val="Normal"/>
    <w:rsid w:val="008207F3"/>
    <w:pPr>
      <w:suppressLineNumbers/>
      <w:suppressAutoHyphens/>
    </w:pPr>
    <w:rPr>
      <w:sz w:val="22"/>
      <w:szCs w:val="20"/>
      <w:lang w:val="es-CO" w:eastAsia="ar-SA"/>
    </w:rPr>
  </w:style>
  <w:style w:type="paragraph" w:styleId="Ttulodendice">
    <w:name w:val="index heading"/>
    <w:basedOn w:val="Normal"/>
    <w:next w:val="ndice1"/>
    <w:rsid w:val="008207F3"/>
    <w:pPr>
      <w:suppressAutoHyphens/>
      <w:spacing w:before="120" w:after="120"/>
    </w:pPr>
    <w:rPr>
      <w:rFonts w:ascii="Times New Roman" w:hAnsi="Times New Roman"/>
      <w:b/>
      <w:i/>
      <w:sz w:val="20"/>
      <w:szCs w:val="20"/>
      <w:lang w:val="es-CO" w:eastAsia="ar-SA"/>
    </w:rPr>
  </w:style>
  <w:style w:type="paragraph" w:styleId="ndice2">
    <w:name w:val="index 2"/>
    <w:basedOn w:val="Normal"/>
    <w:next w:val="Normal"/>
    <w:rsid w:val="008207F3"/>
    <w:pPr>
      <w:suppressAutoHyphens/>
      <w:ind w:left="480" w:hanging="240"/>
    </w:pPr>
    <w:rPr>
      <w:rFonts w:ascii="Times New Roman" w:hAnsi="Times New Roman"/>
      <w:sz w:val="20"/>
      <w:szCs w:val="20"/>
      <w:lang w:val="es-CO" w:eastAsia="ar-SA"/>
    </w:rPr>
  </w:style>
  <w:style w:type="paragraph" w:styleId="ndice3">
    <w:name w:val="index 3"/>
    <w:basedOn w:val="Normal"/>
    <w:next w:val="Normal"/>
    <w:rsid w:val="008207F3"/>
    <w:pPr>
      <w:suppressAutoHyphens/>
      <w:ind w:left="720" w:hanging="240"/>
    </w:pPr>
    <w:rPr>
      <w:rFonts w:ascii="Times New Roman" w:hAnsi="Times New Roman"/>
      <w:sz w:val="20"/>
      <w:szCs w:val="20"/>
      <w:lang w:val="es-CO" w:eastAsia="ar-SA"/>
    </w:rPr>
  </w:style>
  <w:style w:type="paragraph" w:customStyle="1" w:styleId="Figuras">
    <w:name w:val="Figuras"/>
    <w:basedOn w:val="Textoindependiente"/>
    <w:rsid w:val="008207F3"/>
    <w:pPr>
      <w:suppressAutoHyphens/>
    </w:pPr>
    <w:rPr>
      <w:rFonts w:cs="Times New Roman"/>
      <w:b w:val="0"/>
      <w:bCs w:val="0"/>
      <w:i/>
      <w:iCs/>
      <w:sz w:val="22"/>
      <w:szCs w:val="20"/>
      <w:lang w:val="es-CO" w:eastAsia="ar-SA"/>
    </w:rPr>
  </w:style>
  <w:style w:type="paragraph" w:customStyle="1" w:styleId="Text">
    <w:name w:val="Text"/>
    <w:basedOn w:val="Normal"/>
    <w:rsid w:val="008207F3"/>
    <w:pPr>
      <w:suppressLineNumbers/>
      <w:suppressAutoHyphens/>
      <w:spacing w:before="120" w:after="120"/>
    </w:pPr>
    <w:rPr>
      <w:i/>
      <w:iCs/>
      <w:lang w:val="es-CO" w:eastAsia="ar-SA"/>
    </w:rPr>
  </w:style>
  <w:style w:type="paragraph" w:styleId="Textoindependienteprimerasangra">
    <w:name w:val="Body Text First Indent"/>
    <w:basedOn w:val="Textoindependiente"/>
    <w:link w:val="TextoindependienteprimerasangraCar"/>
    <w:rsid w:val="008207F3"/>
    <w:pPr>
      <w:suppressAutoHyphens/>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207F3"/>
    <w:rPr>
      <w:b/>
      <w:i/>
      <w:sz w:val="28"/>
      <w:lang w:val="es-CO" w:eastAsia="ar-SA"/>
    </w:rPr>
  </w:style>
  <w:style w:type="paragraph" w:customStyle="1" w:styleId="Notes">
    <w:name w:val="Notes"/>
    <w:rsid w:val="008207F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val="es-CO"/>
    </w:rPr>
  </w:style>
  <w:style w:type="paragraph" w:customStyle="1" w:styleId="Tabla">
    <w:name w:val="Tabla"/>
    <w:basedOn w:val="Epgrafe"/>
    <w:link w:val="TablaCar"/>
    <w:qFormat/>
    <w:rsid w:val="008207F3"/>
    <w:pPr>
      <w:keepNext/>
      <w:widowControl/>
      <w:suppressAutoHyphens/>
      <w:adjustRightInd/>
      <w:spacing w:after="200" w:line="240" w:lineRule="auto"/>
      <w:textAlignment w:val="auto"/>
    </w:pPr>
    <w:rPr>
      <w:b/>
      <w:bCs/>
      <w:iCs/>
    </w:rPr>
  </w:style>
  <w:style w:type="character" w:customStyle="1" w:styleId="TablaCar">
    <w:name w:val="Tabla Car"/>
    <w:basedOn w:val="EpgrafeCar"/>
    <w:link w:val="Tabla"/>
    <w:rsid w:val="008207F3"/>
    <w:rPr>
      <w:b/>
      <w:bCs/>
      <w:iCs/>
    </w:rPr>
  </w:style>
  <w:style w:type="paragraph" w:customStyle="1" w:styleId="DatosDocumento">
    <w:name w:val="Datos Documento"/>
    <w:basedOn w:val="Normal"/>
    <w:rsid w:val="008207F3"/>
    <w:pPr>
      <w:jc w:val="right"/>
    </w:pPr>
    <w:rPr>
      <w:rFonts w:ascii="Arial" w:hAnsi="Arial" w:cs="Arial"/>
      <w:szCs w:val="20"/>
    </w:rPr>
  </w:style>
  <w:style w:type="paragraph" w:customStyle="1" w:styleId="TituloDocumento">
    <w:name w:val="Titulo Documento"/>
    <w:basedOn w:val="Normal"/>
    <w:rsid w:val="008207F3"/>
    <w:pPr>
      <w:jc w:val="right"/>
    </w:pPr>
    <w:rPr>
      <w:rFonts w:ascii="Arial Black" w:hAnsi="Arial Black" w:cs="Arial"/>
      <w:sz w:val="48"/>
      <w:szCs w:val="20"/>
    </w:rPr>
  </w:style>
  <w:style w:type="paragraph" w:customStyle="1" w:styleId="SubtituloDocumento">
    <w:name w:val="Subtitulo Documento"/>
    <w:basedOn w:val="Normal"/>
    <w:rsid w:val="008207F3"/>
    <w:pPr>
      <w:jc w:val="right"/>
    </w:pPr>
    <w:rPr>
      <w:rFonts w:ascii="Arial Black" w:hAnsi="Arial Black" w:cs="Arial"/>
      <w:sz w:val="32"/>
      <w:szCs w:val="20"/>
    </w:rPr>
  </w:style>
  <w:style w:type="paragraph" w:customStyle="1" w:styleId="TtuloInforme">
    <w:name w:val="Título Informe"/>
    <w:basedOn w:val="Normal"/>
    <w:next w:val="Normal"/>
    <w:rsid w:val="008207F3"/>
    <w:pPr>
      <w:spacing w:before="120" w:after="120"/>
      <w:jc w:val="center"/>
    </w:pPr>
    <w:rPr>
      <w:rFonts w:ascii="Arial" w:hAnsi="Arial" w:cs="Arial"/>
      <w:color w:val="FF6309"/>
      <w:sz w:val="28"/>
      <w:szCs w:val="28"/>
    </w:rPr>
  </w:style>
  <w:style w:type="character" w:customStyle="1" w:styleId="TtuloInformeChar">
    <w:name w:val="Título Informe Char"/>
    <w:basedOn w:val="Fuentedeprrafopredeter"/>
    <w:rsid w:val="008207F3"/>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207F3"/>
    <w:pPr>
      <w:spacing w:before="120" w:after="120"/>
    </w:pPr>
    <w:rPr>
      <w:rFonts w:ascii="Arial" w:hAnsi="Arial" w:cs="Arial"/>
      <w:color w:val="808080"/>
    </w:rPr>
  </w:style>
  <w:style w:type="character" w:customStyle="1" w:styleId="SubtuloInformeChar">
    <w:name w:val="Subítulo Informe Char"/>
    <w:basedOn w:val="Fuentedeprrafopredeter"/>
    <w:rsid w:val="008207F3"/>
    <w:rPr>
      <w:rFonts w:ascii="Arial" w:hAnsi="Arial" w:cs="Arial"/>
      <w:noProof w:val="0"/>
      <w:color w:val="808080"/>
      <w:sz w:val="24"/>
      <w:szCs w:val="24"/>
      <w:lang w:val="es-ES" w:eastAsia="es-ES" w:bidi="ar-SA"/>
    </w:rPr>
  </w:style>
  <w:style w:type="paragraph" w:customStyle="1" w:styleId="EstiloEpgrafeCentrado">
    <w:name w:val="Estilo Epígrafe + Centrado"/>
    <w:basedOn w:val="Epgrafe"/>
    <w:autoRedefine/>
    <w:rsid w:val="008207F3"/>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207F3"/>
    <w:pPr>
      <w:spacing w:before="120" w:after="120"/>
    </w:pPr>
    <w:rPr>
      <w:rFonts w:ascii="Arial" w:hAnsi="Arial" w:cs="Arial"/>
      <w:sz w:val="20"/>
      <w:szCs w:val="20"/>
    </w:rPr>
  </w:style>
  <w:style w:type="paragraph" w:customStyle="1" w:styleId="CUERPOTEXTO">
    <w:name w:val="CUERPO TEXTO"/>
    <w:rsid w:val="008207F3"/>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Revisin">
    <w:name w:val="Revision"/>
    <w:hidden/>
    <w:uiPriority w:val="99"/>
    <w:semiHidden/>
    <w:rsid w:val="00806970"/>
    <w:rPr>
      <w:rFonts w:ascii="Bookman Old Style" w:hAnsi="Bookman Old Style"/>
      <w:sz w:val="24"/>
      <w:szCs w:val="24"/>
    </w:rPr>
  </w:style>
  <w:style w:type="paragraph" w:styleId="Saludo">
    <w:name w:val="Salutation"/>
    <w:basedOn w:val="Normal"/>
    <w:next w:val="Normal"/>
    <w:link w:val="SaludoCar"/>
    <w:uiPriority w:val="99"/>
    <w:unhideWhenUsed/>
    <w:rsid w:val="00806970"/>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06970"/>
    <w:rPr>
      <w:rFonts w:ascii="Bookman Old Style" w:hAnsi="Bookman Old Style"/>
      <w:sz w:val="24"/>
      <w:szCs w:val="24"/>
      <w:lang w:val="es-CO"/>
    </w:rPr>
  </w:style>
</w:styles>
</file>

<file path=word/webSettings.xml><?xml version="1.0" encoding="utf-8"?>
<w:webSettings xmlns:r="http://schemas.openxmlformats.org/officeDocument/2006/relationships" xmlns:w="http://schemas.openxmlformats.org/wordprocessingml/2006/main">
  <w:divs>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9925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DDA2-3514-4732-B4D7-1C59E398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52</Pages>
  <Words>16946</Words>
  <Characters>92278</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memurillo</cp:lastModifiedBy>
  <cp:revision>2</cp:revision>
  <cp:lastPrinted>2010-12-22T18:24:00Z</cp:lastPrinted>
  <dcterms:created xsi:type="dcterms:W3CDTF">2010-12-29T14:18:00Z</dcterms:created>
  <dcterms:modified xsi:type="dcterms:W3CDTF">2010-12-29T14:18:00Z</dcterms:modified>
</cp:coreProperties>
</file>