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9C30B8"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7728" fillcolor="#0c9">
            <v:imagedata r:id="rId8" o:title=""/>
          </v:shape>
          <o:OLEObject Type="Embed" ProgID="PBrush" ShapeID="_x0000_s1026" DrawAspect="Content" ObjectID="_1383720532" r:id="rId9"/>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65066A" w:rsidRDefault="00CA77FB" w:rsidP="00012259">
      <w:pPr>
        <w:pStyle w:val="Ttulo5"/>
        <w:tabs>
          <w:tab w:val="left" w:pos="0"/>
          <w:tab w:val="right" w:pos="9356"/>
        </w:tabs>
        <w:ind w:left="0"/>
        <w:rPr>
          <w:rFonts w:ascii="Bookman Old Style" w:hAnsi="Bookman Old Style"/>
          <w:sz w:val="24"/>
          <w:szCs w:val="24"/>
        </w:rPr>
      </w:pPr>
      <w:r w:rsidRPr="0065066A">
        <w:rPr>
          <w:rFonts w:ascii="Bookman Old Style" w:hAnsi="Bookman Old Style"/>
          <w:sz w:val="24"/>
          <w:szCs w:val="24"/>
        </w:rPr>
        <w:t xml:space="preserve">RESOLUCIÓN No. </w:t>
      </w:r>
      <w:r w:rsidR="00795BFB" w:rsidRPr="0065066A">
        <w:rPr>
          <w:rFonts w:ascii="Bookman Old Style" w:hAnsi="Bookman Old Style"/>
          <w:sz w:val="24"/>
          <w:szCs w:val="24"/>
        </w:rPr>
        <w:t xml:space="preserve">                  </w:t>
      </w:r>
      <w:r w:rsidRPr="0065066A">
        <w:rPr>
          <w:rFonts w:ascii="Bookman Old Style" w:hAnsi="Bookman Old Style"/>
          <w:sz w:val="24"/>
          <w:szCs w:val="24"/>
        </w:rPr>
        <w:t>DE 20</w:t>
      </w:r>
      <w:r w:rsidR="00795BFB" w:rsidRPr="0065066A">
        <w:rPr>
          <w:rFonts w:ascii="Bookman Old Style" w:hAnsi="Bookman Old Style"/>
          <w:sz w:val="24"/>
          <w:szCs w:val="24"/>
        </w:rPr>
        <w:t>1</w:t>
      </w:r>
      <w:r w:rsidR="005F6F41" w:rsidRPr="0065066A">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280DF2" w:rsidRDefault="00280DF2" w:rsidP="00012259">
      <w:pPr>
        <w:ind w:left="0"/>
        <w:rPr>
          <w:rFonts w:ascii="Bookman Old Style" w:hAnsi="Bookman Old Style"/>
          <w:bCs/>
          <w:lang w:val="es-CO"/>
        </w:rPr>
      </w:pPr>
    </w:p>
    <w:p w:rsidR="00C435C3" w:rsidRPr="00C435C3" w:rsidRDefault="00C435C3" w:rsidP="008C5CCE">
      <w:pPr>
        <w:ind w:left="0"/>
        <w:jc w:val="center"/>
        <w:rPr>
          <w:rFonts w:ascii="Bookman Old Style" w:hAnsi="Bookman Old Style"/>
        </w:rPr>
      </w:pPr>
      <w:r w:rsidRPr="00C435C3">
        <w:rPr>
          <w:rFonts w:ascii="Bookman Old Style" w:hAnsi="Bookman Old Style"/>
        </w:rPr>
        <w:t xml:space="preserve">Por </w:t>
      </w:r>
      <w:r w:rsidR="008C5CCE">
        <w:rPr>
          <w:rFonts w:ascii="Bookman Old Style" w:hAnsi="Bookman Old Style"/>
        </w:rPr>
        <w:t xml:space="preserve">la cual se modifican algunas reglas </w:t>
      </w:r>
      <w:r w:rsidR="00BB4751">
        <w:rPr>
          <w:rFonts w:ascii="Bookman Old Style" w:hAnsi="Bookman Old Style"/>
        </w:rPr>
        <w:t>de los Anillos de Seguridad del Cargo por Confiabilidad</w:t>
      </w:r>
      <w:r w:rsidR="00876380">
        <w:rPr>
          <w:rFonts w:ascii="Bookman Old Style" w:hAnsi="Bookman Old Style"/>
        </w:rPr>
        <w:t>.</w:t>
      </w:r>
    </w:p>
    <w:p w:rsidR="002F27B5" w:rsidRDefault="002F27B5" w:rsidP="00C435C3">
      <w:pPr>
        <w:ind w:right="51"/>
        <w:rPr>
          <w:rFonts w:ascii="Bookman Old Style" w:hAnsi="Bookman Old Style"/>
        </w:rPr>
      </w:pPr>
    </w:p>
    <w:p w:rsidR="0065066A" w:rsidRPr="00C435C3" w:rsidRDefault="0065066A"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Default="00C435C3" w:rsidP="00C435C3">
      <w:pPr>
        <w:ind w:right="51"/>
        <w:rPr>
          <w:rFonts w:ascii="Bookman Old Style" w:hAnsi="Bookman Old Style"/>
        </w:rPr>
      </w:pPr>
    </w:p>
    <w:p w:rsidR="002F27B5" w:rsidRPr="00C435C3" w:rsidRDefault="002F27B5"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CON</w:t>
      </w:r>
      <w:r w:rsidR="00280DF2">
        <w:rPr>
          <w:rFonts w:ascii="Bookman Old Style" w:hAnsi="Bookman Old Style"/>
          <w:b/>
        </w:rPr>
        <w:t>S</w:t>
      </w:r>
      <w:r w:rsidRPr="00C435C3">
        <w:rPr>
          <w:rFonts w:ascii="Bookman Old Style" w:hAnsi="Bookman Old Style"/>
          <w:b/>
        </w:rPr>
        <w:t>IDERANDO</w:t>
      </w:r>
      <w:r w:rsidR="00A62919">
        <w:rPr>
          <w:rFonts w:ascii="Bookman Old Style" w:hAnsi="Bookman Old Style"/>
          <w:b/>
        </w:rPr>
        <w:t xml:space="preserve">  QUE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8C5CCE" w:rsidRDefault="008C5CCE" w:rsidP="003C5E9A">
      <w:pPr>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8C5CCE" w:rsidRDefault="008C5CCE" w:rsidP="008C5CCE">
      <w:pPr>
        <w:jc w:val="both"/>
        <w:rPr>
          <w:rFonts w:ascii="Bookman Old Style" w:hAnsi="Bookman Old Style"/>
        </w:rPr>
      </w:pPr>
    </w:p>
    <w:p w:rsidR="008C5CCE" w:rsidRDefault="008C5CCE" w:rsidP="003C5E9A">
      <w:pPr>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rsidR="003C5E9A" w:rsidRDefault="003C5E9A" w:rsidP="003C5E9A">
      <w:pPr>
        <w:ind w:left="0"/>
        <w:jc w:val="both"/>
        <w:rPr>
          <w:rFonts w:ascii="Bookman Old Style" w:hAnsi="Bookman Old Style"/>
        </w:rPr>
      </w:pPr>
    </w:p>
    <w:p w:rsidR="008C5CCE" w:rsidRDefault="008C5CCE" w:rsidP="003C5E9A">
      <w:pPr>
        <w:ind w:left="0"/>
        <w:jc w:val="both"/>
        <w:rPr>
          <w:rFonts w:ascii="Bookman Old Style" w:hAnsi="Bookman Old Style"/>
        </w:rPr>
      </w:pPr>
      <w:r>
        <w:rPr>
          <w:rFonts w:ascii="Bookman Old Style" w:hAnsi="Bookman Old Style"/>
        </w:rPr>
        <w:t>Para el cumplimiento del objetivo señalado, la Ley 143 de 1994, artículo 23, le atribuyó a la Comisión de Regulación de Energía y Gas, entre otras, las siguientes funciones:</w:t>
      </w:r>
    </w:p>
    <w:p w:rsidR="008C5CCE" w:rsidRDefault="008C5CCE" w:rsidP="008C5CCE">
      <w:pPr>
        <w:jc w:val="both"/>
        <w:rPr>
          <w:rFonts w:ascii="Bookman Old Style" w:hAnsi="Bookman Old Style"/>
        </w:rPr>
      </w:pPr>
    </w:p>
    <w:p w:rsidR="008C5CCE" w:rsidRDefault="008C5CCE" w:rsidP="003C5E9A">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 xml:space="preserve">Crear las condiciones para asegurar la disponibilidad de una oferta energética eficiente capaz de abastecer la demanda bajo criterios sociales, económicos, ambientales y de viabilidad financiera, promover y preservar la </w:t>
      </w:r>
      <w:r>
        <w:rPr>
          <w:rFonts w:ascii="Bookman Old Style" w:hAnsi="Bookman Old Style"/>
        </w:rPr>
        <w:lastRenderedPageBreak/>
        <w:t>competencia, para lo cual, la oferta eficiente, en el sector eléctrico, debe tener en cuenta la capacidad de generación de respaldo</w:t>
      </w:r>
      <w:r w:rsidR="00174DE1">
        <w:rPr>
          <w:rFonts w:ascii="Bookman Old Style" w:hAnsi="Bookman Old Style"/>
        </w:rPr>
        <w:t>.</w:t>
      </w:r>
    </w:p>
    <w:p w:rsidR="008C5CCE" w:rsidRDefault="008C5CCE" w:rsidP="003C5E9A">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Valorar la capacidad de generación de respaldo de la oferta eficiente</w:t>
      </w:r>
      <w:r w:rsidR="00174DE1">
        <w:rPr>
          <w:rFonts w:ascii="Bookman Old Style" w:hAnsi="Bookman Old Style"/>
        </w:rPr>
        <w:t>.</w:t>
      </w:r>
    </w:p>
    <w:p w:rsidR="008C5CCE" w:rsidRDefault="008C5CCE" w:rsidP="003C5E9A">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Definir y hacer operativos los criterios técnicos de calidad, confiabilidad y seguridad del servicio de energía</w:t>
      </w:r>
      <w:r w:rsidR="00174DE1">
        <w:rPr>
          <w:rFonts w:ascii="Bookman Old Style" w:hAnsi="Bookman Old Style"/>
        </w:rPr>
        <w:t>.</w:t>
      </w:r>
    </w:p>
    <w:p w:rsidR="008C5CCE" w:rsidRDefault="008C5CCE" w:rsidP="003C5E9A">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w:t>
      </w:r>
      <w:r w:rsidR="00174DE1">
        <w:rPr>
          <w:rFonts w:ascii="Bookman Old Style" w:hAnsi="Bookman Old Style"/>
        </w:rPr>
        <w:t>.</w:t>
      </w:r>
    </w:p>
    <w:p w:rsidR="008C5CCE" w:rsidRDefault="008C5CCE" w:rsidP="008C5CCE">
      <w:pPr>
        <w:jc w:val="both"/>
        <w:rPr>
          <w:rFonts w:ascii="Bookman Old Style" w:hAnsi="Bookman Old Style"/>
        </w:rPr>
      </w:pPr>
    </w:p>
    <w:p w:rsidR="008C5CCE" w:rsidRDefault="008C5CCE" w:rsidP="003C5E9A">
      <w:pPr>
        <w:ind w:left="0"/>
        <w:jc w:val="both"/>
        <w:rPr>
          <w:rFonts w:ascii="Bookman Old Style" w:hAnsi="Bookman Old Style"/>
        </w:rPr>
      </w:pPr>
      <w:r>
        <w:rPr>
          <w:rFonts w:ascii="Bookman Old Style" w:hAnsi="Bookman Old Style"/>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r w:rsidR="00174DE1">
        <w:rPr>
          <w:rFonts w:ascii="Bookman Old Style" w:hAnsi="Bookman Old Style"/>
        </w:rPr>
        <w:t>.</w:t>
      </w:r>
      <w:r>
        <w:rPr>
          <w:rFonts w:ascii="Bookman Old Style" w:hAnsi="Bookman Old Style"/>
        </w:rPr>
        <w:t xml:space="preserve"> </w:t>
      </w:r>
    </w:p>
    <w:p w:rsidR="008C5CCE" w:rsidRDefault="008C5CCE" w:rsidP="008C5CCE">
      <w:pPr>
        <w:jc w:val="both"/>
        <w:rPr>
          <w:rFonts w:ascii="Bookman Old Style" w:hAnsi="Bookman Old Style"/>
        </w:rPr>
      </w:pPr>
    </w:p>
    <w:p w:rsidR="008C5CCE" w:rsidRDefault="008C5CCE" w:rsidP="003C5E9A">
      <w:pPr>
        <w:ind w:left="0"/>
        <w:jc w:val="both"/>
        <w:rPr>
          <w:rFonts w:ascii="Bookman Old Style" w:hAnsi="Bookman Old Style"/>
        </w:rPr>
      </w:pPr>
      <w:r>
        <w:rPr>
          <w:rFonts w:ascii="Bookman Old Style" w:hAnsi="Bookman Old Style"/>
        </w:rPr>
        <w:t>La ley 142 de 1994, artículo 74, también le asignó a la Comisión de Regulación de Energía y Gas, la función de expedir el Reglamento de Operación para regular el funcionamiento del Mercado Mayorista de energía</w:t>
      </w:r>
      <w:r w:rsidR="00174DE1">
        <w:rPr>
          <w:rFonts w:ascii="Bookman Old Style" w:hAnsi="Bookman Old Style"/>
        </w:rPr>
        <w:t>.</w:t>
      </w:r>
    </w:p>
    <w:p w:rsidR="008C5CCE" w:rsidRDefault="008C5CCE" w:rsidP="008C5CCE">
      <w:pPr>
        <w:jc w:val="both"/>
        <w:rPr>
          <w:rFonts w:ascii="Bookman Old Style" w:hAnsi="Bookman Old Style"/>
        </w:rPr>
      </w:pPr>
    </w:p>
    <w:p w:rsidR="008C5CCE" w:rsidRDefault="008C5CCE" w:rsidP="003C5E9A">
      <w:pPr>
        <w:ind w:left="0"/>
        <w:jc w:val="both"/>
        <w:rPr>
          <w:rFonts w:ascii="Bookman Old Style" w:hAnsi="Bookman Old Style"/>
        </w:rPr>
      </w:pPr>
      <w:r>
        <w:rPr>
          <w:rFonts w:ascii="Bookman Old Style" w:hAnsi="Bookman Old Style"/>
        </w:rPr>
        <w:t>La Comisión de Regulación de Energía y Gas, en desarrollo de los objetivos y funciones señalad</w:t>
      </w:r>
      <w:r w:rsidR="004B2C29">
        <w:rPr>
          <w:rFonts w:ascii="Bookman Old Style" w:hAnsi="Bookman Old Style"/>
        </w:rPr>
        <w:t>os, mediante la Resolución CREG</w:t>
      </w:r>
      <w:r w:rsidR="007E3F66">
        <w:rPr>
          <w:rFonts w:ascii="Bookman Old Style" w:hAnsi="Bookman Old Style"/>
        </w:rPr>
        <w:t xml:space="preserve"> </w:t>
      </w:r>
      <w:r>
        <w:rPr>
          <w:rFonts w:ascii="Bookman Old Style" w:hAnsi="Bookman Old Style"/>
        </w:rPr>
        <w:t>071 de 2006, adoptó la metodología para la remuneración del Cargo por Confiabilidad en el Mercado Mayorista.</w:t>
      </w:r>
    </w:p>
    <w:p w:rsidR="008C5CCE" w:rsidRDefault="008C5CCE" w:rsidP="008C5CCE">
      <w:pPr>
        <w:jc w:val="both"/>
        <w:rPr>
          <w:rFonts w:ascii="Bookman Old Style" w:hAnsi="Bookman Old Style"/>
        </w:rPr>
      </w:pPr>
    </w:p>
    <w:p w:rsidR="00BB4751" w:rsidRDefault="00BB4751" w:rsidP="00BB4751">
      <w:pPr>
        <w:ind w:left="0"/>
        <w:jc w:val="both"/>
        <w:rPr>
          <w:rFonts w:ascii="Bookman Old Style" w:hAnsi="Bookman Old Style"/>
        </w:rPr>
      </w:pPr>
      <w:r>
        <w:rPr>
          <w:rFonts w:ascii="Bookman Old Style" w:hAnsi="Bookman Old Style"/>
        </w:rPr>
        <w:t>La Comisión de Regulación de Energía y Gas, mediante la Resolución CREG</w:t>
      </w:r>
      <w:r w:rsidR="007E3F66">
        <w:rPr>
          <w:rFonts w:ascii="Bookman Old Style" w:hAnsi="Bookman Old Style"/>
        </w:rPr>
        <w:t xml:space="preserve"> </w:t>
      </w:r>
      <w:r>
        <w:rPr>
          <w:rFonts w:ascii="Bookman Old Style" w:hAnsi="Bookman Old Style"/>
        </w:rPr>
        <w:t>061 de 2007, adoptó las normas sobre garantías para el Cargo por Confiabilidad.</w:t>
      </w:r>
    </w:p>
    <w:p w:rsidR="00BB4751" w:rsidRDefault="00BB4751" w:rsidP="00BB4751">
      <w:pPr>
        <w:ind w:left="0"/>
        <w:jc w:val="both"/>
        <w:rPr>
          <w:rFonts w:ascii="Bookman Old Style" w:hAnsi="Bookman Old Style"/>
        </w:rPr>
      </w:pPr>
    </w:p>
    <w:p w:rsidR="00BB4751" w:rsidRDefault="00F16895" w:rsidP="00BB4751">
      <w:pPr>
        <w:ind w:left="0"/>
        <w:jc w:val="both"/>
        <w:rPr>
          <w:rFonts w:ascii="Bookman Old Style" w:hAnsi="Bookman Old Style"/>
        </w:rPr>
      </w:pPr>
      <w:r>
        <w:rPr>
          <w:rFonts w:ascii="Bookman Old Style" w:hAnsi="Bookman Old Style"/>
        </w:rPr>
        <w:t>M</w:t>
      </w:r>
      <w:r w:rsidR="00BB4751">
        <w:rPr>
          <w:rFonts w:ascii="Bookman Old Style" w:hAnsi="Bookman Old Style"/>
        </w:rPr>
        <w:t>ediante la Resolución CREG</w:t>
      </w:r>
      <w:r w:rsidR="007E3F66">
        <w:rPr>
          <w:rFonts w:ascii="Bookman Old Style" w:hAnsi="Bookman Old Style"/>
        </w:rPr>
        <w:t xml:space="preserve"> </w:t>
      </w:r>
      <w:r w:rsidR="00BB4751">
        <w:rPr>
          <w:rFonts w:ascii="Bookman Old Style" w:hAnsi="Bookman Old Style"/>
        </w:rPr>
        <w:t>062 de 2007</w:t>
      </w:r>
      <w:r>
        <w:rPr>
          <w:rFonts w:ascii="Bookman Old Style" w:hAnsi="Bookman Old Style"/>
        </w:rPr>
        <w:t xml:space="preserve"> la Comisión </w:t>
      </w:r>
      <w:r w:rsidR="00BB4751">
        <w:rPr>
          <w:rFonts w:ascii="Bookman Old Style" w:hAnsi="Bookman Old Style"/>
        </w:rPr>
        <w:t xml:space="preserve">adoptó la metodología para estimar la Energía Disponible Adicional de </w:t>
      </w:r>
      <w:r w:rsidR="00234A92">
        <w:rPr>
          <w:rFonts w:ascii="Bookman Old Style" w:hAnsi="Bookman Old Style"/>
        </w:rPr>
        <w:t>Plantas Térmicas para un mes con destino al mercado secundario de energía firme</w:t>
      </w:r>
      <w:r w:rsidR="00BB4751">
        <w:rPr>
          <w:rFonts w:ascii="Bookman Old Style" w:hAnsi="Bookman Old Style"/>
        </w:rPr>
        <w:t>.</w:t>
      </w:r>
    </w:p>
    <w:p w:rsidR="00234A92" w:rsidRDefault="00234A92" w:rsidP="00BB4751">
      <w:pPr>
        <w:ind w:left="0"/>
        <w:jc w:val="both"/>
        <w:rPr>
          <w:rFonts w:ascii="Bookman Old Style" w:hAnsi="Bookman Old Style"/>
        </w:rPr>
      </w:pPr>
    </w:p>
    <w:p w:rsidR="00234A92" w:rsidRDefault="00F16895" w:rsidP="00234A92">
      <w:pPr>
        <w:ind w:left="0"/>
        <w:jc w:val="both"/>
        <w:rPr>
          <w:rFonts w:ascii="Bookman Old Style" w:hAnsi="Bookman Old Style"/>
        </w:rPr>
      </w:pPr>
      <w:r>
        <w:rPr>
          <w:rFonts w:ascii="Bookman Old Style" w:hAnsi="Bookman Old Style"/>
        </w:rPr>
        <w:t xml:space="preserve">En </w:t>
      </w:r>
      <w:r w:rsidR="00234A92">
        <w:rPr>
          <w:rFonts w:ascii="Bookman Old Style" w:hAnsi="Bookman Old Style"/>
        </w:rPr>
        <w:t>la Resolución CREG</w:t>
      </w:r>
      <w:r w:rsidR="007E3F66">
        <w:rPr>
          <w:rFonts w:ascii="Bookman Old Style" w:hAnsi="Bookman Old Style"/>
        </w:rPr>
        <w:t xml:space="preserve"> </w:t>
      </w:r>
      <w:r w:rsidR="00234A92">
        <w:rPr>
          <w:rFonts w:ascii="Bookman Old Style" w:hAnsi="Bookman Old Style"/>
        </w:rPr>
        <w:t>063 de 2010</w:t>
      </w:r>
      <w:r>
        <w:rPr>
          <w:rFonts w:ascii="Bookman Old Style" w:hAnsi="Bookman Old Style"/>
        </w:rPr>
        <w:t xml:space="preserve"> se adoptaron </w:t>
      </w:r>
      <w:r w:rsidR="00234A92">
        <w:rPr>
          <w:rFonts w:ascii="Bookman Old Style" w:hAnsi="Bookman Old Style"/>
        </w:rPr>
        <w:t xml:space="preserve">normas para regular el anillo de seguridad del Cargo por Confiabilidad denominado Demanda </w:t>
      </w:r>
      <w:proofErr w:type="spellStart"/>
      <w:r w:rsidR="00234A92">
        <w:rPr>
          <w:rFonts w:ascii="Bookman Old Style" w:hAnsi="Bookman Old Style"/>
        </w:rPr>
        <w:t>Desconectable</w:t>
      </w:r>
      <w:proofErr w:type="spellEnd"/>
      <w:r w:rsidR="00234A92">
        <w:rPr>
          <w:rFonts w:ascii="Bookman Old Style" w:hAnsi="Bookman Old Style"/>
        </w:rPr>
        <w:t xml:space="preserve"> Voluntariamente.</w:t>
      </w:r>
    </w:p>
    <w:p w:rsidR="00234A92" w:rsidRDefault="00234A92" w:rsidP="00BB4751">
      <w:pPr>
        <w:ind w:left="0"/>
        <w:jc w:val="both"/>
        <w:rPr>
          <w:rFonts w:ascii="Bookman Old Style" w:hAnsi="Bookman Old Style"/>
        </w:rPr>
      </w:pPr>
    </w:p>
    <w:p w:rsidR="00234A92" w:rsidRDefault="00F16895" w:rsidP="00234A92">
      <w:pPr>
        <w:ind w:left="0"/>
        <w:jc w:val="both"/>
        <w:rPr>
          <w:rFonts w:ascii="Bookman Old Style" w:hAnsi="Bookman Old Style"/>
        </w:rPr>
      </w:pPr>
      <w:r>
        <w:rPr>
          <w:rFonts w:ascii="Bookman Old Style" w:hAnsi="Bookman Old Style"/>
        </w:rPr>
        <w:t xml:space="preserve">Con </w:t>
      </w:r>
      <w:r w:rsidR="00234A92">
        <w:rPr>
          <w:rFonts w:ascii="Bookman Old Style" w:hAnsi="Bookman Old Style"/>
        </w:rPr>
        <w:t>la Resolución CREG</w:t>
      </w:r>
      <w:r w:rsidR="007E3F66">
        <w:rPr>
          <w:rFonts w:ascii="Bookman Old Style" w:hAnsi="Bookman Old Style"/>
        </w:rPr>
        <w:t xml:space="preserve"> </w:t>
      </w:r>
      <w:r w:rsidR="00234A92">
        <w:rPr>
          <w:rFonts w:ascii="Bookman Old Style" w:hAnsi="Bookman Old Style"/>
        </w:rPr>
        <w:t>148 de 2010</w:t>
      </w:r>
      <w:r>
        <w:rPr>
          <w:rFonts w:ascii="Bookman Old Style" w:hAnsi="Bookman Old Style"/>
        </w:rPr>
        <w:t xml:space="preserve"> la Comisión </w:t>
      </w:r>
      <w:r w:rsidR="00234A92">
        <w:rPr>
          <w:rFonts w:ascii="Bookman Old Style" w:hAnsi="Bookman Old Style"/>
        </w:rPr>
        <w:t xml:space="preserve">adoptó normas </w:t>
      </w:r>
      <w:r>
        <w:rPr>
          <w:rFonts w:ascii="Bookman Old Style" w:hAnsi="Bookman Old Style"/>
        </w:rPr>
        <w:t xml:space="preserve">que establecen una </w:t>
      </w:r>
      <w:r w:rsidR="00234A92">
        <w:rPr>
          <w:rFonts w:ascii="Bookman Old Style" w:hAnsi="Bookman Old Style"/>
        </w:rPr>
        <w:t>opción a la entrega de contratos de combustible.</w:t>
      </w:r>
    </w:p>
    <w:p w:rsidR="00DE1924" w:rsidRDefault="00DE1924" w:rsidP="005D4DB1">
      <w:pPr>
        <w:ind w:left="0"/>
        <w:jc w:val="both"/>
        <w:rPr>
          <w:rFonts w:ascii="Bookman Old Style" w:hAnsi="Bookman Old Style"/>
        </w:rPr>
      </w:pPr>
    </w:p>
    <w:p w:rsidR="005D4DB1" w:rsidRDefault="005D4DB1" w:rsidP="005D4DB1">
      <w:pPr>
        <w:ind w:left="0"/>
        <w:jc w:val="both"/>
        <w:rPr>
          <w:rFonts w:ascii="Bookman Old Style" w:hAnsi="Bookman Old Style"/>
        </w:rPr>
      </w:pPr>
      <w:r>
        <w:rPr>
          <w:rFonts w:ascii="Bookman Old Style" w:hAnsi="Bookman Old Style"/>
        </w:rPr>
        <w:t xml:space="preserve">Se recibió comunicación de la empresa Generadora y Comercializadora de Energía del Caribe S.A. E.S.P., radicado CREG E-2011-001432, sobre la utilización de los Anillos de Seguridad del Cargo por Confiabilidad como garantía </w:t>
      </w:r>
      <w:r w:rsidR="00F4423E">
        <w:rPr>
          <w:rFonts w:ascii="Bookman Old Style" w:hAnsi="Bookman Old Style"/>
        </w:rPr>
        <w:t>para amparar la construcción y puesta en operación de plantas y/o unidades de generación nuevas que presenten un incumplimiento calificado de cronograma.</w:t>
      </w:r>
    </w:p>
    <w:p w:rsidR="005D4DB1" w:rsidRDefault="005D4DB1" w:rsidP="003C5E9A">
      <w:pPr>
        <w:ind w:left="0"/>
        <w:jc w:val="both"/>
        <w:rPr>
          <w:rFonts w:ascii="Bookman Old Style" w:hAnsi="Bookman Old Style"/>
        </w:rPr>
      </w:pPr>
    </w:p>
    <w:p w:rsidR="00D14975" w:rsidRDefault="00D14975" w:rsidP="003C5E9A">
      <w:pPr>
        <w:ind w:left="0"/>
        <w:jc w:val="both"/>
        <w:rPr>
          <w:rFonts w:ascii="Bookman Old Style" w:hAnsi="Bookman Old Style"/>
        </w:rPr>
      </w:pPr>
      <w:r>
        <w:rPr>
          <w:rFonts w:ascii="Bookman Old Style" w:hAnsi="Bookman Old Style"/>
        </w:rPr>
        <w:t>La CREG publicó para comentarios la Resolución CREG</w:t>
      </w:r>
      <w:r w:rsidR="00F16895">
        <w:rPr>
          <w:rFonts w:ascii="Bookman Old Style" w:hAnsi="Bookman Old Style"/>
        </w:rPr>
        <w:t xml:space="preserve"> </w:t>
      </w:r>
      <w:r>
        <w:rPr>
          <w:rFonts w:ascii="Bookman Old Style" w:hAnsi="Bookman Old Style"/>
        </w:rPr>
        <w:t xml:space="preserve">091 de 2011 “Por la cual ordena hacer público un proyecto de resolución de carácter general, “Por </w:t>
      </w:r>
      <w:r>
        <w:rPr>
          <w:rFonts w:ascii="Bookman Old Style" w:hAnsi="Bookman Old Style"/>
        </w:rPr>
        <w:lastRenderedPageBreak/>
        <w:t>la cual se modifican algunas reglas de los Anillos de Seguridad del Cargo por Confiabilidad”.</w:t>
      </w:r>
    </w:p>
    <w:p w:rsidR="00D14975" w:rsidRDefault="00D14975" w:rsidP="003C5E9A">
      <w:pPr>
        <w:ind w:left="0"/>
        <w:jc w:val="both"/>
        <w:rPr>
          <w:rFonts w:ascii="Bookman Old Style" w:hAnsi="Bookman Old Style"/>
        </w:rPr>
      </w:pPr>
    </w:p>
    <w:p w:rsidR="00D14975" w:rsidRDefault="00D14975" w:rsidP="003C5E9A">
      <w:pPr>
        <w:ind w:left="0"/>
        <w:jc w:val="both"/>
        <w:rPr>
          <w:rFonts w:ascii="Bookman Old Style" w:hAnsi="Bookman Old Style"/>
        </w:rPr>
      </w:pPr>
      <w:r>
        <w:rPr>
          <w:rFonts w:ascii="Bookman Old Style" w:hAnsi="Bookman Old Style"/>
        </w:rPr>
        <w:t xml:space="preserve">Se recibieron comentarios de </w:t>
      </w:r>
      <w:r w:rsidR="00F16895">
        <w:rPr>
          <w:rFonts w:ascii="Bookman Old Style" w:hAnsi="Bookman Old Style"/>
        </w:rPr>
        <w:t xml:space="preserve">los siguientes agentes a la propuesta contenida en la Resolución CREG 091 de 2011: </w:t>
      </w:r>
      <w:r>
        <w:rPr>
          <w:rFonts w:ascii="Bookman Old Style" w:hAnsi="Bookman Old Style"/>
        </w:rPr>
        <w:t xml:space="preserve">ACOLGEN, </w:t>
      </w:r>
      <w:r w:rsidR="00107CEE">
        <w:rPr>
          <w:rFonts w:ascii="Bookman Old Style" w:hAnsi="Bookman Old Style"/>
        </w:rPr>
        <w:t>radicado E-2011-007633, EMGESA E.S.P., radicado E-2011-007727, EPM E.S.P., radicado E-2011-007573, GECELCA E.S.P., radicado E-2011-007516, y XM E.S.P., radicado E-2011-007589.</w:t>
      </w:r>
    </w:p>
    <w:p w:rsidR="00107CEE" w:rsidRDefault="00107CEE" w:rsidP="003C5E9A">
      <w:pPr>
        <w:ind w:left="0"/>
        <w:jc w:val="both"/>
        <w:rPr>
          <w:rFonts w:ascii="Bookman Old Style" w:hAnsi="Bookman Old Style"/>
        </w:rPr>
      </w:pPr>
    </w:p>
    <w:p w:rsidR="00107CEE" w:rsidRDefault="00107CEE" w:rsidP="00107CEE">
      <w:pPr>
        <w:ind w:left="0"/>
        <w:jc w:val="both"/>
        <w:rPr>
          <w:rFonts w:ascii="Bookman Old Style" w:hAnsi="Bookman Old Style"/>
        </w:rPr>
      </w:pPr>
      <w:r>
        <w:rPr>
          <w:rFonts w:ascii="Bookman Old Style" w:hAnsi="Bookman Old Style"/>
        </w:rPr>
        <w:t xml:space="preserve">El Documento CREG </w:t>
      </w:r>
      <w:r w:rsidR="00280DF2">
        <w:rPr>
          <w:rFonts w:ascii="Bookman Old Style" w:hAnsi="Bookman Old Style"/>
        </w:rPr>
        <w:t>120</w:t>
      </w:r>
      <w:r>
        <w:rPr>
          <w:rFonts w:ascii="Bookman Old Style" w:hAnsi="Bookman Old Style"/>
        </w:rPr>
        <w:t xml:space="preserve"> de 2011 contiene los análisis y la respuesta a los comentarios formulados por los agentes, en los cuales se fundamenta esta resolución y en él se responde el cuestionario que trata el Decreto 2897 de 2010.</w:t>
      </w:r>
    </w:p>
    <w:p w:rsidR="00107CEE" w:rsidRDefault="00107CEE" w:rsidP="00107CEE">
      <w:pPr>
        <w:ind w:left="0"/>
        <w:jc w:val="both"/>
        <w:rPr>
          <w:rFonts w:ascii="Bookman Old Style" w:hAnsi="Bookman Old Style"/>
        </w:rPr>
      </w:pPr>
    </w:p>
    <w:p w:rsidR="00107CEE" w:rsidRDefault="00107CEE" w:rsidP="00107CEE">
      <w:pPr>
        <w:ind w:left="0"/>
        <w:jc w:val="both"/>
        <w:rPr>
          <w:rFonts w:ascii="Bookman Old Style" w:hAnsi="Bookman Old Style"/>
        </w:rPr>
      </w:pPr>
      <w:r>
        <w:rPr>
          <w:rFonts w:ascii="Bookman Old Style" w:hAnsi="Bookman Old Style"/>
        </w:rPr>
        <w:t xml:space="preserve">No se informó este acto a la Superintendencia de Industria y Comercio por cuanto no </w:t>
      </w:r>
      <w:r w:rsidR="003D2085">
        <w:rPr>
          <w:rFonts w:ascii="Bookman Old Style" w:hAnsi="Bookman Old Style"/>
        </w:rPr>
        <w:t xml:space="preserve">tiene </w:t>
      </w:r>
      <w:r>
        <w:rPr>
          <w:rFonts w:ascii="Bookman Old Style" w:hAnsi="Bookman Old Style"/>
        </w:rPr>
        <w:t>incidencia sobre la libre competencia según lo señalado en el Decreto 2897 de 2010.</w:t>
      </w:r>
    </w:p>
    <w:p w:rsidR="00107CEE" w:rsidRDefault="00107CEE" w:rsidP="003C5E9A">
      <w:pPr>
        <w:ind w:left="0"/>
        <w:jc w:val="both"/>
        <w:rPr>
          <w:rFonts w:ascii="Bookman Old Style" w:hAnsi="Bookman Old Style"/>
        </w:rPr>
      </w:pPr>
    </w:p>
    <w:p w:rsidR="00107CEE" w:rsidRDefault="00107CEE" w:rsidP="00107CEE">
      <w:pPr>
        <w:ind w:left="0"/>
        <w:jc w:val="both"/>
        <w:rPr>
          <w:rFonts w:ascii="Bookman Old Style" w:hAnsi="Bookman Old Style"/>
        </w:rPr>
      </w:pPr>
      <w:r>
        <w:rPr>
          <w:rFonts w:ascii="Bookman Old Style" w:hAnsi="Bookman Old Style"/>
        </w:rPr>
        <w:t xml:space="preserve">La Comisión de Regulación de Energía y Gas, en su Sesión </w:t>
      </w:r>
      <w:r w:rsidR="00B16631" w:rsidRPr="00280DF2">
        <w:rPr>
          <w:rFonts w:ascii="Bookman Old Style" w:hAnsi="Bookman Old Style"/>
        </w:rPr>
        <w:t>504</w:t>
      </w:r>
      <w:r w:rsidR="00B16631">
        <w:rPr>
          <w:rFonts w:ascii="Bookman Old Style" w:hAnsi="Bookman Old Style"/>
        </w:rPr>
        <w:t xml:space="preserve"> </w:t>
      </w:r>
      <w:r>
        <w:rPr>
          <w:rFonts w:ascii="Bookman Old Style" w:hAnsi="Bookman Old Style"/>
        </w:rPr>
        <w:t xml:space="preserve">del </w:t>
      </w:r>
      <w:r w:rsidR="00B16631">
        <w:rPr>
          <w:rFonts w:ascii="Bookman Old Style" w:hAnsi="Bookman Old Style"/>
        </w:rPr>
        <w:t>10</w:t>
      </w:r>
      <w:r>
        <w:rPr>
          <w:rFonts w:ascii="Bookman Old Style" w:hAnsi="Bookman Old Style"/>
        </w:rPr>
        <w:t xml:space="preserve"> de </w:t>
      </w:r>
      <w:r w:rsidR="00B16631">
        <w:rPr>
          <w:rFonts w:ascii="Bookman Old Style" w:hAnsi="Bookman Old Style"/>
        </w:rPr>
        <w:t xml:space="preserve">noviembre </w:t>
      </w:r>
      <w:r>
        <w:rPr>
          <w:rFonts w:ascii="Bookman Old Style" w:hAnsi="Bookman Old Style"/>
        </w:rPr>
        <w:t>de 2011, acordó expedir esta resolución.</w:t>
      </w:r>
    </w:p>
    <w:p w:rsidR="00107CEE" w:rsidRDefault="00107CEE" w:rsidP="003C5E9A">
      <w:pPr>
        <w:ind w:left="0"/>
        <w:jc w:val="both"/>
        <w:rPr>
          <w:rFonts w:ascii="Bookman Old Style" w:hAnsi="Bookman Old Style"/>
        </w:rPr>
      </w:pPr>
    </w:p>
    <w:p w:rsidR="00C435C3" w:rsidRDefault="00C435C3" w:rsidP="00C435C3">
      <w:pPr>
        <w:ind w:left="0"/>
        <w:jc w:val="both"/>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RESUELVE:</w:t>
      </w:r>
    </w:p>
    <w:p w:rsidR="00C435C3" w:rsidRDefault="00C435C3" w:rsidP="00C435C3">
      <w:pPr>
        <w:jc w:val="center"/>
        <w:rPr>
          <w:rFonts w:ascii="Bookman Old Style" w:hAnsi="Bookman Old Style"/>
        </w:rPr>
      </w:pPr>
    </w:p>
    <w:p w:rsidR="007E3F66" w:rsidRDefault="007E3F66" w:rsidP="00C435C3">
      <w:pPr>
        <w:jc w:val="center"/>
        <w:rPr>
          <w:rFonts w:ascii="Bookman Old Style" w:hAnsi="Bookman Old Style"/>
        </w:rPr>
      </w:pPr>
    </w:p>
    <w:p w:rsidR="00C435C3" w:rsidRDefault="002A782A" w:rsidP="00580F3D">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1. </w:t>
      </w:r>
      <w:r w:rsidR="00580F3D">
        <w:rPr>
          <w:rFonts w:ascii="Bookman Old Style" w:hAnsi="Bookman Old Style"/>
          <w:b/>
        </w:rPr>
        <w:t>Modificación de</w:t>
      </w:r>
      <w:r w:rsidR="0035174E">
        <w:rPr>
          <w:rFonts w:ascii="Bookman Old Style" w:hAnsi="Bookman Old Style"/>
          <w:b/>
        </w:rPr>
        <w:t xml:space="preserve"> </w:t>
      </w:r>
      <w:r w:rsidR="00333A30">
        <w:rPr>
          <w:rFonts w:ascii="Bookman Old Style" w:hAnsi="Bookman Old Style"/>
          <w:b/>
        </w:rPr>
        <w:t>l</w:t>
      </w:r>
      <w:r w:rsidR="0035174E">
        <w:rPr>
          <w:rFonts w:ascii="Bookman Old Style" w:hAnsi="Bookman Old Style"/>
          <w:b/>
        </w:rPr>
        <w:t>os</w:t>
      </w:r>
      <w:r w:rsidR="00333A30">
        <w:rPr>
          <w:rFonts w:ascii="Bookman Old Style" w:hAnsi="Bookman Old Style"/>
          <w:b/>
        </w:rPr>
        <w:t xml:space="preserve"> inciso</w:t>
      </w:r>
      <w:r w:rsidR="0035174E">
        <w:rPr>
          <w:rFonts w:ascii="Bookman Old Style" w:hAnsi="Bookman Old Style"/>
          <w:b/>
        </w:rPr>
        <w:t>s</w:t>
      </w:r>
      <w:r w:rsidR="00333A30">
        <w:rPr>
          <w:rFonts w:ascii="Bookman Old Style" w:hAnsi="Bookman Old Style"/>
          <w:b/>
        </w:rPr>
        <w:t xml:space="preserve"> del numeral 3.4.1 del Anexo 3 de la Resolución CREG 071 de 2006</w:t>
      </w:r>
      <w:r w:rsidR="00B12B4D">
        <w:rPr>
          <w:rFonts w:ascii="Bookman Old Style" w:hAnsi="Bookman Old Style"/>
          <w:b/>
        </w:rPr>
        <w:t>, relativo</w:t>
      </w:r>
      <w:r w:rsidR="0035174E">
        <w:rPr>
          <w:rFonts w:ascii="Bookman Old Style" w:hAnsi="Bookman Old Style"/>
          <w:b/>
        </w:rPr>
        <w:t>s</w:t>
      </w:r>
      <w:r w:rsidR="00B12B4D">
        <w:rPr>
          <w:rFonts w:ascii="Bookman Old Style" w:hAnsi="Bookman Old Style"/>
          <w:b/>
        </w:rPr>
        <w:t xml:space="preserve"> a las condiciones para descontar el mantenimiento programado de las variables HI y HD</w:t>
      </w:r>
      <w:r w:rsidR="00580F3D">
        <w:rPr>
          <w:rFonts w:ascii="Bookman Old Style" w:hAnsi="Bookman Old Style"/>
          <w:b/>
        </w:rPr>
        <w:t xml:space="preserve">. </w:t>
      </w:r>
      <w:r w:rsidR="0035174E">
        <w:rPr>
          <w:rFonts w:ascii="Bookman Old Style" w:hAnsi="Bookman Old Style"/>
        </w:rPr>
        <w:t xml:space="preserve">Los </w:t>
      </w:r>
      <w:r w:rsidR="00B12B4D">
        <w:rPr>
          <w:rFonts w:ascii="Bookman Old Style" w:hAnsi="Bookman Old Style"/>
        </w:rPr>
        <w:t>inciso</w:t>
      </w:r>
      <w:r w:rsidR="0035174E">
        <w:rPr>
          <w:rFonts w:ascii="Bookman Old Style" w:hAnsi="Bookman Old Style"/>
        </w:rPr>
        <w:t>s</w:t>
      </w:r>
      <w:r w:rsidR="00B12B4D">
        <w:rPr>
          <w:rFonts w:ascii="Bookman Old Style" w:hAnsi="Bookman Old Style"/>
        </w:rPr>
        <w:t xml:space="preserve"> del numeral 3.4.1 del Anexo 3 de la Resolución CREG 071 de 2006, que establece</w:t>
      </w:r>
      <w:r w:rsidR="00B313CF">
        <w:rPr>
          <w:rFonts w:ascii="Bookman Old Style" w:hAnsi="Bookman Old Style"/>
        </w:rPr>
        <w:t>n</w:t>
      </w:r>
      <w:r w:rsidR="00B12B4D">
        <w:rPr>
          <w:rFonts w:ascii="Bookman Old Style" w:hAnsi="Bookman Old Style"/>
        </w:rPr>
        <w:t xml:space="preserve"> las condiciones para descontar el mantenimiento programado de las variables HI y HD,</w:t>
      </w:r>
      <w:r w:rsidR="00580F3D">
        <w:rPr>
          <w:rFonts w:ascii="Bookman Old Style" w:hAnsi="Bookman Old Style"/>
        </w:rPr>
        <w:t xml:space="preserve"> quedará</w:t>
      </w:r>
      <w:r w:rsidR="00B313CF">
        <w:rPr>
          <w:rFonts w:ascii="Bookman Old Style" w:hAnsi="Bookman Old Style"/>
        </w:rPr>
        <w:t>n</w:t>
      </w:r>
      <w:r w:rsidR="00580F3D">
        <w:rPr>
          <w:rFonts w:ascii="Bookman Old Style" w:hAnsi="Bookman Old Style"/>
        </w:rPr>
        <w:t xml:space="preserve"> así:</w:t>
      </w:r>
    </w:p>
    <w:p w:rsidR="00580F3D" w:rsidRDefault="00580F3D" w:rsidP="00580F3D">
      <w:pPr>
        <w:ind w:left="0"/>
        <w:jc w:val="both"/>
        <w:rPr>
          <w:rFonts w:ascii="Bookman Old Style" w:hAnsi="Bookman Old Style"/>
        </w:rPr>
      </w:pPr>
    </w:p>
    <w:p w:rsidR="00E01D9D" w:rsidRPr="008865E1" w:rsidRDefault="00E01D9D" w:rsidP="00E01D9D">
      <w:pPr>
        <w:ind w:right="333"/>
        <w:jc w:val="both"/>
        <w:rPr>
          <w:rFonts w:ascii="Bookman Old Style" w:hAnsi="Bookman Old Style"/>
          <w:i/>
          <w:sz w:val="22"/>
          <w:szCs w:val="22"/>
        </w:rPr>
      </w:pPr>
      <w:r>
        <w:rPr>
          <w:rFonts w:ascii="Bookman Old Style" w:hAnsi="Bookman Old Style"/>
          <w:i/>
          <w:sz w:val="22"/>
          <w:szCs w:val="22"/>
        </w:rPr>
        <w:t>“</w:t>
      </w:r>
      <w:r w:rsidRPr="008865E1">
        <w:rPr>
          <w:rFonts w:ascii="Bookman Old Style" w:hAnsi="Bookman Old Style"/>
          <w:i/>
          <w:sz w:val="22"/>
          <w:szCs w:val="22"/>
        </w:rPr>
        <w:t>Los IHF se determinarán empleando la siguiente fórmula:</w:t>
      </w:r>
    </w:p>
    <w:p w:rsidR="00E01D9D" w:rsidRPr="008865E1" w:rsidRDefault="00E01D9D" w:rsidP="00E01D9D">
      <w:pPr>
        <w:ind w:right="333"/>
        <w:jc w:val="both"/>
        <w:rPr>
          <w:rFonts w:ascii="Bookman Old Style" w:hAnsi="Bookman Old Style"/>
          <w:i/>
          <w:sz w:val="22"/>
          <w:szCs w:val="22"/>
        </w:rPr>
      </w:pPr>
    </w:p>
    <w:p w:rsidR="00E01D9D" w:rsidRPr="008865E1" w:rsidRDefault="00E01D9D" w:rsidP="00E01D9D">
      <w:pPr>
        <w:ind w:right="333"/>
        <w:jc w:val="center"/>
        <w:rPr>
          <w:rFonts w:ascii="Bookman Old Style" w:hAnsi="Bookman Old Style"/>
          <w:i/>
          <w:sz w:val="22"/>
          <w:szCs w:val="22"/>
        </w:rPr>
      </w:pPr>
      <w:r w:rsidRPr="008865E1">
        <w:rPr>
          <w:rFonts w:ascii="Bookman Old Style" w:hAnsi="Bookman Old Style"/>
          <w:i/>
          <w:position w:val="-30"/>
          <w:sz w:val="22"/>
          <w:szCs w:val="22"/>
        </w:rPr>
        <w:object w:dxaOrig="1640" w:dyaOrig="680">
          <v:shape id="_x0000_i1026" type="#_x0000_t75" style="width:81.75pt;height:33pt" o:ole="" filled="t">
            <v:fill color2="black"/>
            <v:imagedata r:id="rId10" o:title=""/>
          </v:shape>
          <o:OLEObject Type="Embed" ProgID="Equation.3" ShapeID="_x0000_i1026" DrawAspect="Content" ObjectID="_1383720531" r:id="rId11"/>
        </w:object>
      </w:r>
    </w:p>
    <w:p w:rsidR="00E01D9D" w:rsidRDefault="00E01D9D" w:rsidP="00E01D9D">
      <w:pPr>
        <w:ind w:right="333"/>
        <w:jc w:val="both"/>
        <w:rPr>
          <w:rFonts w:ascii="Bookman Old Style" w:hAnsi="Bookman Old Style"/>
          <w:i/>
          <w:sz w:val="22"/>
          <w:szCs w:val="22"/>
        </w:rPr>
      </w:pPr>
    </w:p>
    <w:p w:rsidR="00E01D9D" w:rsidRDefault="00E01D9D" w:rsidP="00E01D9D">
      <w:pPr>
        <w:ind w:right="333"/>
        <w:jc w:val="both"/>
        <w:rPr>
          <w:rFonts w:ascii="Bookman Old Style" w:hAnsi="Bookman Old Style"/>
          <w:i/>
          <w:sz w:val="22"/>
          <w:szCs w:val="22"/>
        </w:rPr>
      </w:pPr>
    </w:p>
    <w:p w:rsidR="00E01D9D" w:rsidRPr="008865E1" w:rsidRDefault="00E01D9D" w:rsidP="00E01D9D">
      <w:pPr>
        <w:ind w:right="333"/>
        <w:jc w:val="both"/>
        <w:rPr>
          <w:rFonts w:ascii="Bookman Old Style" w:hAnsi="Bookman Old Style"/>
          <w:i/>
          <w:sz w:val="22"/>
          <w:szCs w:val="22"/>
        </w:rPr>
      </w:pPr>
      <w:proofErr w:type="spellStart"/>
      <w:proofErr w:type="gramStart"/>
      <w:r w:rsidRPr="008865E1">
        <w:rPr>
          <w:rFonts w:ascii="Bookman Old Style" w:hAnsi="Bookman Old Style"/>
          <w:i/>
          <w:sz w:val="22"/>
          <w:szCs w:val="22"/>
        </w:rPr>
        <w:t>donde</w:t>
      </w:r>
      <w:proofErr w:type="spellEnd"/>
      <w:proofErr w:type="gramEnd"/>
      <w:r w:rsidRPr="008865E1">
        <w:rPr>
          <w:rFonts w:ascii="Bookman Old Style" w:hAnsi="Bookman Old Style"/>
          <w:i/>
          <w:sz w:val="22"/>
          <w:szCs w:val="22"/>
        </w:rPr>
        <w:t>:</w:t>
      </w:r>
    </w:p>
    <w:p w:rsidR="00E01D9D" w:rsidRPr="008865E1" w:rsidRDefault="00E01D9D" w:rsidP="00E01D9D">
      <w:pPr>
        <w:ind w:right="333"/>
        <w:jc w:val="both"/>
        <w:rPr>
          <w:rFonts w:ascii="Bookman Old Style" w:hAnsi="Bookman Old Style"/>
          <w:i/>
          <w:sz w:val="22"/>
          <w:szCs w:val="22"/>
        </w:rPr>
      </w:pPr>
    </w:p>
    <w:p w:rsidR="00E01D9D" w:rsidRPr="008865E1" w:rsidRDefault="00E01D9D" w:rsidP="00E01D9D">
      <w:pPr>
        <w:ind w:right="333"/>
        <w:jc w:val="both"/>
        <w:rPr>
          <w:rFonts w:ascii="Bookman Old Style" w:hAnsi="Bookman Old Style"/>
          <w:i/>
          <w:sz w:val="22"/>
          <w:szCs w:val="22"/>
        </w:rPr>
      </w:pPr>
      <w:r w:rsidRPr="008865E1">
        <w:rPr>
          <w:rFonts w:ascii="Bookman Old Style" w:hAnsi="Bookman Old Style"/>
          <w:i/>
          <w:sz w:val="22"/>
          <w:szCs w:val="22"/>
        </w:rPr>
        <w:t>IHF:</w:t>
      </w:r>
      <w:r w:rsidRPr="008865E1">
        <w:rPr>
          <w:rFonts w:ascii="Bookman Old Style" w:hAnsi="Bookman Old Style"/>
          <w:i/>
          <w:sz w:val="22"/>
          <w:szCs w:val="22"/>
        </w:rPr>
        <w:tab/>
        <w:t>Indisponibilidad histórica Forzada</w:t>
      </w:r>
    </w:p>
    <w:p w:rsidR="00E01D9D" w:rsidRPr="008865E1" w:rsidRDefault="00E01D9D" w:rsidP="00E01D9D">
      <w:pPr>
        <w:ind w:left="1418" w:right="333" w:hanging="851"/>
        <w:jc w:val="both"/>
        <w:rPr>
          <w:rFonts w:ascii="Bookman Old Style" w:hAnsi="Bookman Old Style"/>
          <w:i/>
          <w:sz w:val="22"/>
          <w:szCs w:val="22"/>
        </w:rPr>
      </w:pPr>
      <w:r w:rsidRPr="008865E1">
        <w:rPr>
          <w:rFonts w:ascii="Bookman Old Style" w:hAnsi="Bookman Old Style"/>
          <w:i/>
          <w:sz w:val="22"/>
          <w:szCs w:val="22"/>
        </w:rPr>
        <w:t>HI:</w:t>
      </w:r>
      <w:r w:rsidRPr="008865E1">
        <w:rPr>
          <w:rFonts w:ascii="Bookman Old Style" w:hAnsi="Bookman Old Style"/>
          <w:i/>
          <w:sz w:val="22"/>
          <w:szCs w:val="22"/>
        </w:rPr>
        <w:tab/>
        <w:t>Horas de indisponibilidad forzada sin considerar horas de mantenimiento programado.</w:t>
      </w:r>
    </w:p>
    <w:p w:rsidR="00E01D9D" w:rsidRDefault="00E01D9D" w:rsidP="00E01D9D">
      <w:pPr>
        <w:ind w:right="333"/>
        <w:jc w:val="both"/>
        <w:rPr>
          <w:rFonts w:ascii="Bookman Old Style" w:hAnsi="Bookman Old Style"/>
          <w:i/>
          <w:sz w:val="22"/>
          <w:szCs w:val="22"/>
        </w:rPr>
      </w:pPr>
      <w:r w:rsidRPr="008865E1">
        <w:rPr>
          <w:rFonts w:ascii="Bookman Old Style" w:hAnsi="Bookman Old Style"/>
          <w:i/>
          <w:sz w:val="22"/>
          <w:szCs w:val="22"/>
        </w:rPr>
        <w:t>HO:</w:t>
      </w:r>
      <w:r w:rsidRPr="008865E1">
        <w:rPr>
          <w:rFonts w:ascii="Bookman Old Style" w:hAnsi="Bookman Old Style"/>
          <w:i/>
          <w:sz w:val="22"/>
          <w:szCs w:val="22"/>
        </w:rPr>
        <w:tab/>
        <w:t>Horas de operación o en línea.</w:t>
      </w:r>
    </w:p>
    <w:p w:rsidR="00E01D9D" w:rsidRPr="008865E1" w:rsidRDefault="00E01D9D" w:rsidP="00280DF2">
      <w:pPr>
        <w:ind w:left="1418" w:right="333" w:hanging="851"/>
        <w:jc w:val="both"/>
        <w:rPr>
          <w:rFonts w:ascii="Bookman Old Style" w:hAnsi="Bookman Old Style"/>
          <w:i/>
          <w:sz w:val="22"/>
          <w:szCs w:val="22"/>
        </w:rPr>
      </w:pPr>
      <w:r w:rsidRPr="008865E1">
        <w:rPr>
          <w:rFonts w:ascii="Bookman Old Style" w:hAnsi="Bookman Old Style"/>
          <w:i/>
          <w:sz w:val="22"/>
          <w:szCs w:val="22"/>
        </w:rPr>
        <w:t>HD:</w:t>
      </w:r>
      <w:r w:rsidRPr="008865E1">
        <w:rPr>
          <w:rFonts w:ascii="Bookman Old Style" w:hAnsi="Bookman Old Style"/>
          <w:i/>
          <w:sz w:val="22"/>
          <w:szCs w:val="22"/>
        </w:rPr>
        <w:tab/>
        <w:t xml:space="preserve">Horas equivalentes de indisponibilidad por </w:t>
      </w:r>
      <w:proofErr w:type="spellStart"/>
      <w:r w:rsidRPr="008865E1">
        <w:rPr>
          <w:rFonts w:ascii="Bookman Old Style" w:hAnsi="Bookman Old Style"/>
          <w:i/>
          <w:sz w:val="22"/>
          <w:szCs w:val="22"/>
        </w:rPr>
        <w:t>derrateos</w:t>
      </w:r>
      <w:proofErr w:type="spellEnd"/>
      <w:r w:rsidRPr="008865E1">
        <w:rPr>
          <w:rFonts w:ascii="Bookman Old Style" w:hAnsi="Bookman Old Style"/>
          <w:i/>
          <w:sz w:val="22"/>
          <w:szCs w:val="22"/>
        </w:rPr>
        <w:t>, sin considerar mantenimientos programados,  calculadas como:</w:t>
      </w:r>
    </w:p>
    <w:p w:rsidR="00E01D9D" w:rsidRPr="00C93325" w:rsidRDefault="00E01D9D" w:rsidP="00E01D9D">
      <w:pPr>
        <w:ind w:left="0" w:right="333"/>
        <w:jc w:val="both"/>
        <w:rPr>
          <w:rFonts w:ascii="Bookman Old Style" w:hAnsi="Bookman Old Style"/>
          <w:i/>
          <w:sz w:val="18"/>
          <w:szCs w:val="22"/>
        </w:rPr>
      </w:pPr>
    </w:p>
    <w:tbl>
      <w:tblPr>
        <w:tblW w:w="0" w:type="auto"/>
        <w:tblInd w:w="851" w:type="dxa"/>
        <w:tblLook w:val="04A0" w:firstRow="1" w:lastRow="0" w:firstColumn="1" w:lastColumn="0" w:noHBand="0" w:noVBand="1"/>
      </w:tblPr>
      <w:tblGrid>
        <w:gridCol w:w="4347"/>
        <w:gridCol w:w="4374"/>
      </w:tblGrid>
      <w:tr w:rsidR="00E01D9D" w:rsidTr="00E01D9D">
        <w:tc>
          <w:tcPr>
            <w:tcW w:w="4347" w:type="dxa"/>
          </w:tcPr>
          <w:p w:rsidR="00E01D9D" w:rsidRPr="00EB4F81" w:rsidRDefault="00E01D9D" w:rsidP="00E01D9D">
            <w:pPr>
              <w:ind w:left="0" w:right="333"/>
              <w:jc w:val="both"/>
              <w:rPr>
                <w:rFonts w:ascii="Bookman Old Style" w:hAnsi="Bookman Old Style"/>
                <w:b/>
                <w:i/>
                <w:sz w:val="22"/>
                <w:szCs w:val="22"/>
              </w:rPr>
            </w:pPr>
          </w:p>
          <w:p w:rsidR="00E01D9D" w:rsidRPr="00E01D9D" w:rsidRDefault="00E01D9D" w:rsidP="00E01D9D">
            <w:pPr>
              <w:tabs>
                <w:tab w:val="left" w:pos="2269"/>
                <w:tab w:val="left" w:pos="6804"/>
              </w:tabs>
              <w:ind w:left="0" w:right="333"/>
              <w:jc w:val="both"/>
              <w:rPr>
                <w:rFonts w:ascii="Bookman Old Style" w:hAnsi="Bookman Old Style"/>
                <w:i/>
                <w:sz w:val="22"/>
                <w:szCs w:val="22"/>
              </w:rPr>
            </w:pPr>
            <m:oMathPara>
              <m:oMath>
                <m:r>
                  <w:rPr>
                    <w:rFonts w:ascii="Cambria Math" w:hAnsi="Cambria Math"/>
                    <w:sz w:val="22"/>
                    <w:szCs w:val="22"/>
                  </w:rPr>
                  <m:t>HD=</m:t>
                </m:r>
                <m:nary>
                  <m:naryPr>
                    <m:chr m:val="∑"/>
                    <m:limLoc m:val="undOvr"/>
                    <m:ctrlPr>
                      <w:rPr>
                        <w:rFonts w:ascii="Cambria Math" w:hAnsi="Cambria Math"/>
                        <w:i/>
                        <w:sz w:val="22"/>
                        <w:szCs w:val="22"/>
                      </w:rPr>
                    </m:ctrlPr>
                  </m:naryPr>
                  <m:sub>
                    <m:r>
                      <w:rPr>
                        <w:rFonts w:ascii="Cambria Math" w:hAnsi="Cambria Math"/>
                        <w:sz w:val="22"/>
                        <w:szCs w:val="22"/>
                      </w:rPr>
                      <m:t>h=</m:t>
                    </m:r>
                    <m:r>
                      <w:rPr>
                        <w:rFonts w:ascii="Cambria Math" w:hAnsi="Cambria Math"/>
                        <w:sz w:val="22"/>
                        <w:szCs w:val="22"/>
                      </w:rPr>
                      <m:t>1</m:t>
                    </m:r>
                  </m:sub>
                  <m:sup>
                    <m:r>
                      <w:rPr>
                        <w:rFonts w:ascii="Cambria Math" w:hAnsi="Cambria Math"/>
                        <w:sz w:val="22"/>
                        <w:szCs w:val="22"/>
                      </w:rPr>
                      <m:t>HO</m:t>
                    </m:r>
                  </m:sup>
                  <m:e>
                    <m:f>
                      <m:fPr>
                        <m:ctrlPr>
                          <w:rPr>
                            <w:rFonts w:ascii="Cambria Math" w:hAnsi="Cambria Math"/>
                            <w:i/>
                            <w:sz w:val="22"/>
                            <w:szCs w:val="22"/>
                          </w:rPr>
                        </m:ctrlPr>
                      </m:fPr>
                      <m:num>
                        <m:r>
                          <w:rPr>
                            <w:rFonts w:ascii="Cambria Math" w:hAnsi="Cambria Math"/>
                            <w:sz w:val="22"/>
                            <w:szCs w:val="22"/>
                          </w:rPr>
                          <m:t>CEN-</m:t>
                        </m:r>
                        <m:sSub>
                          <m:sSubPr>
                            <m:ctrlPr>
                              <w:rPr>
                                <w:rFonts w:ascii="Cambria Math" w:hAnsi="Cambria Math"/>
                                <w:i/>
                                <w:sz w:val="22"/>
                                <w:szCs w:val="22"/>
                              </w:rPr>
                            </m:ctrlPr>
                          </m:sSubPr>
                          <m:e>
                            <m:r>
                              <w:rPr>
                                <w:rFonts w:ascii="Cambria Math" w:hAnsi="Cambria Math"/>
                                <w:sz w:val="22"/>
                                <w:szCs w:val="22"/>
                              </w:rPr>
                              <m:t>CDe</m:t>
                            </m:r>
                          </m:e>
                          <m:sub>
                            <m:r>
                              <w:rPr>
                                <w:rFonts w:ascii="Cambria Math" w:hAnsi="Cambria Math"/>
                                <w:sz w:val="22"/>
                                <w:szCs w:val="22"/>
                              </w:rPr>
                              <m:t>h</m:t>
                            </m:r>
                          </m:sub>
                        </m:sSub>
                      </m:num>
                      <m:den>
                        <m:r>
                          <w:rPr>
                            <w:rFonts w:ascii="Cambria Math" w:hAnsi="Cambria Math"/>
                            <w:sz w:val="22"/>
                            <w:szCs w:val="22"/>
                          </w:rPr>
                          <m:t>CEN</m:t>
                        </m:r>
                      </m:den>
                    </m:f>
                  </m:e>
                </m:nary>
                <m:r>
                  <w:rPr>
                    <w:rFonts w:ascii="Cambria Math" w:hAnsi="Cambria Math"/>
                    <w:sz w:val="22"/>
                    <w:szCs w:val="22"/>
                  </w:rPr>
                  <m:t>×H</m:t>
                </m:r>
              </m:oMath>
            </m:oMathPara>
          </w:p>
          <w:p w:rsidR="00E01D9D" w:rsidRPr="00EB4F81" w:rsidRDefault="00E01D9D" w:rsidP="00E01D9D">
            <w:pPr>
              <w:ind w:left="0" w:right="333"/>
              <w:jc w:val="both"/>
              <w:rPr>
                <w:rFonts w:ascii="Bookman Old Style" w:hAnsi="Bookman Old Style"/>
                <w:b/>
                <w:i/>
                <w:sz w:val="22"/>
                <w:szCs w:val="22"/>
              </w:rPr>
            </w:pPr>
          </w:p>
        </w:tc>
        <w:tc>
          <w:tcPr>
            <w:tcW w:w="4374" w:type="dxa"/>
          </w:tcPr>
          <w:p w:rsidR="00E01D9D" w:rsidRPr="00EB4F81" w:rsidRDefault="00E01D9D" w:rsidP="00E01D9D">
            <w:pPr>
              <w:tabs>
                <w:tab w:val="left" w:pos="2269"/>
                <w:tab w:val="left" w:pos="6804"/>
              </w:tabs>
              <w:ind w:left="0" w:right="333"/>
              <w:jc w:val="both"/>
              <w:rPr>
                <w:rFonts w:ascii="Bookman Old Style" w:hAnsi="Bookman Old Style"/>
                <w:i/>
                <w:sz w:val="22"/>
                <w:szCs w:val="22"/>
              </w:rPr>
            </w:pPr>
          </w:p>
          <w:p w:rsidR="00E01D9D" w:rsidRPr="00E01D9D" w:rsidRDefault="00E01D9D" w:rsidP="00E01D9D">
            <w:pPr>
              <w:tabs>
                <w:tab w:val="left" w:pos="2269"/>
                <w:tab w:val="left" w:pos="6804"/>
              </w:tabs>
              <w:ind w:left="0" w:right="333"/>
              <w:jc w:val="both"/>
              <w:rPr>
                <w:rFonts w:ascii="Bookman Old Style" w:hAnsi="Bookman Old Style"/>
                <w:i/>
                <w:sz w:val="22"/>
                <w:szCs w:val="22"/>
              </w:rPr>
            </w:pPr>
            <m:oMathPara>
              <m:oMath>
                <m:r>
                  <w:rPr>
                    <w:rFonts w:ascii="Cambria Math" w:hAnsi="Cambria Math"/>
                    <w:sz w:val="22"/>
                    <w:szCs w:val="22"/>
                  </w:rPr>
                  <m:t>HI=</m:t>
                </m:r>
                <m:nary>
                  <m:naryPr>
                    <m:chr m:val="∑"/>
                    <m:limLoc m:val="undOvr"/>
                    <m:ctrlPr>
                      <w:rPr>
                        <w:rFonts w:ascii="Cambria Math" w:hAnsi="Cambria Math"/>
                        <w:i/>
                        <w:sz w:val="22"/>
                        <w:szCs w:val="22"/>
                      </w:rPr>
                    </m:ctrlPr>
                  </m:naryPr>
                  <m:sub>
                    <m:r>
                      <w:rPr>
                        <w:rFonts w:ascii="Cambria Math" w:hAnsi="Cambria Math"/>
                        <w:sz w:val="22"/>
                        <w:szCs w:val="22"/>
                      </w:rPr>
                      <m:t>hid=1</m:t>
                    </m:r>
                  </m:sub>
                  <m:sup>
                    <m:r>
                      <w:rPr>
                        <w:rFonts w:ascii="Cambria Math" w:hAnsi="Cambria Math"/>
                        <w:sz w:val="22"/>
                        <w:szCs w:val="22"/>
                      </w:rPr>
                      <m:t>HID</m:t>
                    </m:r>
                  </m:sup>
                  <m:e>
                    <m:f>
                      <m:fPr>
                        <m:ctrlPr>
                          <w:rPr>
                            <w:rFonts w:ascii="Cambria Math" w:hAnsi="Cambria Math"/>
                            <w:i/>
                            <w:sz w:val="22"/>
                            <w:szCs w:val="22"/>
                          </w:rPr>
                        </m:ctrlPr>
                      </m:fPr>
                      <m:num>
                        <m:r>
                          <w:rPr>
                            <w:rFonts w:ascii="Cambria Math" w:hAnsi="Cambria Math"/>
                            <w:sz w:val="22"/>
                            <w:szCs w:val="22"/>
                          </w:rPr>
                          <m:t>CEN-</m:t>
                        </m:r>
                        <m:sSub>
                          <m:sSubPr>
                            <m:ctrlPr>
                              <w:rPr>
                                <w:rFonts w:ascii="Cambria Math" w:hAnsi="Cambria Math"/>
                                <w:i/>
                                <w:sz w:val="22"/>
                                <w:szCs w:val="22"/>
                              </w:rPr>
                            </m:ctrlPr>
                          </m:sSubPr>
                          <m:e>
                            <m:r>
                              <w:rPr>
                                <w:rFonts w:ascii="Cambria Math" w:hAnsi="Cambria Math"/>
                                <w:sz w:val="22"/>
                                <w:szCs w:val="22"/>
                              </w:rPr>
                              <m:t>CDe</m:t>
                            </m:r>
                          </m:e>
                          <m:sub>
                            <m:r>
                              <w:rPr>
                                <w:rFonts w:ascii="Cambria Math" w:hAnsi="Cambria Math"/>
                                <w:sz w:val="22"/>
                                <w:szCs w:val="22"/>
                              </w:rPr>
                              <m:t>h</m:t>
                            </m:r>
                          </m:sub>
                        </m:sSub>
                      </m:num>
                      <m:den>
                        <m:r>
                          <w:rPr>
                            <w:rFonts w:ascii="Cambria Math" w:hAnsi="Cambria Math"/>
                            <w:sz w:val="22"/>
                            <w:szCs w:val="22"/>
                          </w:rPr>
                          <m:t>CEN</m:t>
                        </m:r>
                      </m:den>
                    </m:f>
                  </m:e>
                </m:nary>
                <m:r>
                  <w:rPr>
                    <w:rFonts w:ascii="Cambria Math" w:hAnsi="Cambria Math"/>
                    <w:sz w:val="22"/>
                    <w:szCs w:val="22"/>
                  </w:rPr>
                  <m:t>×H</m:t>
                </m:r>
              </m:oMath>
            </m:oMathPara>
          </w:p>
          <w:p w:rsidR="00E01D9D" w:rsidRPr="00EB4F81" w:rsidRDefault="00E01D9D" w:rsidP="00E01D9D">
            <w:pPr>
              <w:ind w:left="0" w:right="333"/>
              <w:jc w:val="both"/>
              <w:rPr>
                <w:rFonts w:ascii="Bookman Old Style" w:hAnsi="Bookman Old Style"/>
                <w:b/>
                <w:i/>
                <w:sz w:val="22"/>
                <w:szCs w:val="22"/>
              </w:rPr>
            </w:pPr>
          </w:p>
        </w:tc>
      </w:tr>
    </w:tbl>
    <w:p w:rsidR="00E01D9D" w:rsidRPr="00C93325" w:rsidRDefault="00E01D9D" w:rsidP="00E01D9D">
      <w:pPr>
        <w:ind w:left="0" w:right="333"/>
        <w:jc w:val="both"/>
        <w:rPr>
          <w:rFonts w:ascii="Bookman Old Style" w:hAnsi="Bookman Old Style"/>
          <w:b/>
          <w:i/>
          <w:sz w:val="18"/>
          <w:szCs w:val="22"/>
        </w:rPr>
      </w:pPr>
    </w:p>
    <w:p w:rsidR="00280DF2" w:rsidRDefault="00280DF2" w:rsidP="00E01D9D">
      <w:pPr>
        <w:keepNext/>
        <w:ind w:left="851" w:right="335"/>
        <w:jc w:val="both"/>
        <w:rPr>
          <w:rFonts w:ascii="Bookman Old Style" w:hAnsi="Bookman Old Style"/>
          <w:i/>
          <w:sz w:val="22"/>
          <w:szCs w:val="22"/>
        </w:rPr>
      </w:pPr>
    </w:p>
    <w:p w:rsidR="00E01D9D" w:rsidRPr="008865E1" w:rsidRDefault="00E01D9D" w:rsidP="00E01D9D">
      <w:pPr>
        <w:keepNext/>
        <w:ind w:left="851" w:right="335"/>
        <w:jc w:val="both"/>
        <w:rPr>
          <w:rFonts w:ascii="Bookman Old Style" w:hAnsi="Bookman Old Style"/>
          <w:i/>
          <w:sz w:val="22"/>
          <w:szCs w:val="22"/>
        </w:rPr>
      </w:pPr>
      <w:proofErr w:type="spellStart"/>
      <w:proofErr w:type="gramStart"/>
      <w:r w:rsidRPr="008865E1">
        <w:rPr>
          <w:rFonts w:ascii="Bookman Old Style" w:hAnsi="Bookman Old Style"/>
          <w:i/>
          <w:sz w:val="22"/>
          <w:szCs w:val="22"/>
        </w:rPr>
        <w:t>donde</w:t>
      </w:r>
      <w:proofErr w:type="spellEnd"/>
      <w:proofErr w:type="gramEnd"/>
      <w:r w:rsidRPr="008865E1">
        <w:rPr>
          <w:rFonts w:ascii="Bookman Old Style" w:hAnsi="Bookman Old Style"/>
          <w:i/>
          <w:sz w:val="22"/>
          <w:szCs w:val="22"/>
        </w:rPr>
        <w:t>:</w:t>
      </w:r>
    </w:p>
    <w:p w:rsidR="00E01D9D" w:rsidRPr="008865E1" w:rsidRDefault="00E01D9D" w:rsidP="00E01D9D">
      <w:pPr>
        <w:pStyle w:val="xl25"/>
        <w:keepNext/>
        <w:spacing w:before="0" w:after="0"/>
        <w:ind w:left="851" w:right="335"/>
        <w:rPr>
          <w:rFonts w:ascii="Bookman Old Style" w:hAnsi="Bookman Old Style" w:cs="Times New Roman"/>
          <w:i/>
          <w:sz w:val="22"/>
          <w:szCs w:val="22"/>
          <w:lang w:val="es-CO"/>
        </w:rPr>
      </w:pPr>
    </w:p>
    <w:p w:rsidR="00E01D9D" w:rsidRDefault="00E01D9D" w:rsidP="00E01D9D">
      <w:pPr>
        <w:keepNext/>
        <w:ind w:left="851" w:right="335"/>
        <w:jc w:val="both"/>
        <w:rPr>
          <w:rFonts w:ascii="Bookman Old Style" w:hAnsi="Bookman Old Style"/>
          <w:i/>
          <w:sz w:val="22"/>
          <w:szCs w:val="22"/>
        </w:rPr>
      </w:pPr>
      <w:r w:rsidRPr="008865E1">
        <w:rPr>
          <w:rFonts w:ascii="Bookman Old Style" w:hAnsi="Bookman Old Style"/>
          <w:i/>
          <w:sz w:val="22"/>
          <w:szCs w:val="22"/>
        </w:rPr>
        <w:t>CEN:</w:t>
      </w:r>
      <w:r w:rsidRPr="008865E1">
        <w:rPr>
          <w:rFonts w:ascii="Bookman Old Style" w:hAnsi="Bookman Old Style"/>
          <w:i/>
          <w:sz w:val="22"/>
          <w:szCs w:val="22"/>
        </w:rPr>
        <w:tab/>
      </w:r>
      <w:r>
        <w:rPr>
          <w:rFonts w:ascii="Bookman Old Style" w:hAnsi="Bookman Old Style"/>
          <w:i/>
          <w:sz w:val="22"/>
          <w:szCs w:val="22"/>
        </w:rPr>
        <w:t xml:space="preserve">          </w:t>
      </w:r>
      <w:r w:rsidRPr="008865E1">
        <w:rPr>
          <w:rFonts w:ascii="Bookman Old Style" w:hAnsi="Bookman Old Style"/>
          <w:i/>
          <w:sz w:val="22"/>
          <w:szCs w:val="22"/>
        </w:rPr>
        <w:t>Capacidad efectiva neta de la unidad o planta</w:t>
      </w:r>
    </w:p>
    <w:p w:rsidR="00E01D9D" w:rsidRDefault="00E01D9D" w:rsidP="00E01D9D">
      <w:pPr>
        <w:keepNext/>
        <w:ind w:left="851" w:right="335"/>
        <w:jc w:val="both"/>
        <w:rPr>
          <w:rFonts w:ascii="Bookman Old Style" w:hAnsi="Bookman Old Style"/>
          <w:i/>
          <w:sz w:val="22"/>
          <w:szCs w:val="22"/>
        </w:rPr>
      </w:pPr>
      <w:r>
        <w:rPr>
          <w:rFonts w:ascii="Bookman Old Style" w:hAnsi="Bookman Old Style"/>
          <w:i/>
          <w:sz w:val="22"/>
          <w:szCs w:val="22"/>
        </w:rPr>
        <w:t>HID:</w:t>
      </w:r>
      <w:r>
        <w:rPr>
          <w:rFonts w:ascii="Bookman Old Style" w:hAnsi="Bookman Old Style"/>
          <w:i/>
          <w:sz w:val="22"/>
          <w:szCs w:val="22"/>
        </w:rPr>
        <w:tab/>
        <w:t xml:space="preserve">          Horas fuera de operación o </w:t>
      </w:r>
      <w:r w:rsidR="00CF4CB8">
        <w:rPr>
          <w:rFonts w:ascii="Bookman Old Style" w:hAnsi="Bookman Old Style"/>
          <w:i/>
          <w:sz w:val="22"/>
          <w:szCs w:val="22"/>
        </w:rPr>
        <w:t xml:space="preserve">fuera de </w:t>
      </w:r>
      <w:r>
        <w:rPr>
          <w:rFonts w:ascii="Bookman Old Style" w:hAnsi="Bookman Old Style"/>
          <w:i/>
          <w:sz w:val="22"/>
          <w:szCs w:val="22"/>
        </w:rPr>
        <w:t>línea</w:t>
      </w:r>
    </w:p>
    <w:p w:rsidR="00E01D9D" w:rsidRPr="00280DF2" w:rsidRDefault="00E01D9D" w:rsidP="00280DF2">
      <w:pPr>
        <w:keepNext/>
        <w:ind w:left="851" w:right="335"/>
        <w:jc w:val="both"/>
        <w:rPr>
          <w:rFonts w:ascii="Bookman Old Style" w:hAnsi="Bookman Old Style"/>
          <w:b/>
          <w:i/>
          <w:sz w:val="22"/>
          <w:szCs w:val="22"/>
        </w:rPr>
      </w:pPr>
      <w:r w:rsidRPr="00280DF2">
        <w:rPr>
          <w:rFonts w:ascii="Bookman Old Style" w:hAnsi="Bookman Old Style"/>
          <w:i/>
          <w:sz w:val="22"/>
          <w:szCs w:val="22"/>
        </w:rPr>
        <w:t>H:</w:t>
      </w:r>
      <w:r w:rsidRPr="00280DF2">
        <w:rPr>
          <w:rFonts w:ascii="Bookman Old Style" w:hAnsi="Bookman Old Style"/>
          <w:i/>
          <w:sz w:val="22"/>
          <w:szCs w:val="22"/>
        </w:rPr>
        <w:tab/>
      </w:r>
      <w:r w:rsidR="00CF4CB8" w:rsidRPr="00D75F04">
        <w:rPr>
          <w:rFonts w:ascii="Bookman Old Style" w:hAnsi="Bookman Old Style"/>
          <w:i/>
          <w:sz w:val="22"/>
          <w:szCs w:val="22"/>
        </w:rPr>
        <w:t xml:space="preserve">          </w:t>
      </w:r>
      <w:r w:rsidRPr="00280DF2">
        <w:rPr>
          <w:rFonts w:ascii="Bookman Old Style" w:hAnsi="Bookman Old Style"/>
          <w:i/>
          <w:sz w:val="22"/>
          <w:szCs w:val="22"/>
        </w:rPr>
        <w:t>Constante de conversión de unidades (1 hora)</w:t>
      </w:r>
    </w:p>
    <w:p w:rsidR="00E01D9D" w:rsidRDefault="00E01D9D" w:rsidP="00E01D9D">
      <w:pPr>
        <w:keepNext/>
        <w:ind w:left="2127" w:right="335" w:hanging="1276"/>
        <w:jc w:val="both"/>
        <w:rPr>
          <w:rFonts w:ascii="Bookman Old Style" w:hAnsi="Bookman Old Style"/>
          <w:i/>
          <w:sz w:val="22"/>
          <w:szCs w:val="22"/>
        </w:rPr>
      </w:pPr>
      <w:proofErr w:type="spellStart"/>
      <w:r w:rsidRPr="008865E1">
        <w:rPr>
          <w:rFonts w:ascii="Bookman Old Style" w:hAnsi="Bookman Old Style"/>
          <w:i/>
          <w:sz w:val="22"/>
          <w:szCs w:val="22"/>
        </w:rPr>
        <w:t>CD</w:t>
      </w:r>
      <w:r>
        <w:rPr>
          <w:rFonts w:ascii="Bookman Old Style" w:hAnsi="Bookman Old Style"/>
          <w:i/>
          <w:sz w:val="22"/>
          <w:szCs w:val="22"/>
        </w:rPr>
        <w:t>e</w:t>
      </w:r>
      <w:r>
        <w:rPr>
          <w:rFonts w:ascii="Bookman Old Style" w:hAnsi="Bookman Old Style"/>
          <w:i/>
          <w:sz w:val="22"/>
          <w:szCs w:val="22"/>
          <w:vertAlign w:val="subscript"/>
        </w:rPr>
        <w:t>h</w:t>
      </w:r>
      <w:proofErr w:type="spellEnd"/>
      <w:r w:rsidRPr="008865E1">
        <w:rPr>
          <w:rFonts w:ascii="Bookman Old Style" w:hAnsi="Bookman Old Style"/>
          <w:i/>
          <w:sz w:val="22"/>
          <w:szCs w:val="22"/>
        </w:rPr>
        <w:t>:</w:t>
      </w:r>
      <w:r w:rsidRPr="008865E1">
        <w:rPr>
          <w:rFonts w:ascii="Bookman Old Style" w:hAnsi="Bookman Old Style"/>
          <w:i/>
          <w:sz w:val="22"/>
          <w:szCs w:val="22"/>
        </w:rPr>
        <w:tab/>
        <w:t xml:space="preserve">Capacidad disponible </w:t>
      </w:r>
      <w:r>
        <w:rPr>
          <w:rFonts w:ascii="Bookman Old Style" w:hAnsi="Bookman Old Style"/>
          <w:i/>
          <w:sz w:val="22"/>
          <w:szCs w:val="22"/>
        </w:rPr>
        <w:t>equivalente durante la hora h, la cual aplica para el cálculo de HI y HD.</w:t>
      </w:r>
    </w:p>
    <w:p w:rsidR="00E01D9D" w:rsidRDefault="00E01D9D" w:rsidP="00E01D9D">
      <w:pPr>
        <w:keepNext/>
        <w:tabs>
          <w:tab w:val="left" w:pos="858"/>
        </w:tabs>
        <w:ind w:left="851" w:right="335"/>
        <w:jc w:val="both"/>
        <w:rPr>
          <w:rFonts w:ascii="Bookman Old Style" w:hAnsi="Bookman Old Style"/>
          <w:i/>
          <w:sz w:val="22"/>
          <w:szCs w:val="22"/>
        </w:rPr>
      </w:pPr>
    </w:p>
    <w:p w:rsidR="00E01D9D" w:rsidRPr="005E0DA8" w:rsidRDefault="00E01D9D" w:rsidP="00E01D9D">
      <w:pPr>
        <w:keepNext/>
        <w:tabs>
          <w:tab w:val="left" w:pos="858"/>
        </w:tabs>
        <w:ind w:left="851" w:right="335"/>
        <w:jc w:val="both"/>
        <w:rPr>
          <w:rFonts w:ascii="Bookman Old Style" w:hAnsi="Bookman Old Style"/>
          <w:i/>
          <w:sz w:val="14"/>
          <w:szCs w:val="22"/>
        </w:rPr>
      </w:pPr>
    </w:p>
    <w:p w:rsidR="00E01D9D" w:rsidRPr="00E01D9D" w:rsidRDefault="009C30B8" w:rsidP="00E01D9D">
      <w:pPr>
        <w:keepNext/>
        <w:tabs>
          <w:tab w:val="left" w:pos="858"/>
        </w:tabs>
        <w:ind w:left="851" w:right="335"/>
        <w:jc w:val="center"/>
        <w:rPr>
          <w:rFonts w:ascii="Bookman Old Style" w:hAnsi="Bookman Old Style"/>
          <w:i/>
          <w:sz w:val="22"/>
          <w:szCs w:val="22"/>
        </w:rPr>
      </w:pPr>
      <m:oMathPara>
        <m:oMath>
          <m:sSub>
            <m:sSubPr>
              <m:ctrlPr>
                <w:rPr>
                  <w:rFonts w:ascii="Cambria Math" w:hAnsi="Cambria Math"/>
                  <w:i/>
                  <w:sz w:val="22"/>
                  <w:szCs w:val="22"/>
                </w:rPr>
              </m:ctrlPr>
            </m:sSubPr>
            <m:e>
              <m:r>
                <w:rPr>
                  <w:rFonts w:ascii="Cambria Math" w:hAnsi="Cambria Math"/>
                  <w:sz w:val="22"/>
                  <w:szCs w:val="22"/>
                </w:rPr>
                <m:t>CDe</m:t>
              </m:r>
            </m:e>
            <m:sub>
              <m:r>
                <w:rPr>
                  <w:rFonts w:ascii="Cambria Math" w:hAnsi="Cambria Math"/>
                  <w:sz w:val="22"/>
                  <w:szCs w:val="22"/>
                </w:rPr>
                <m:t>h</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CD</m:t>
              </m:r>
            </m:e>
            <m:sub>
              <m:r>
                <w:rPr>
                  <w:rFonts w:ascii="Cambria Math" w:hAnsi="Cambria Math"/>
                  <w:sz w:val="22"/>
                  <w:szCs w:val="22"/>
                </w:rPr>
                <m:t>h</m:t>
              </m:r>
            </m:sub>
          </m:sSub>
          <m:r>
            <w:rPr>
              <w:rFonts w:ascii="Cambria Math" w:hAnsi="Cambria Math"/>
              <w:sz w:val="22"/>
              <w:szCs w:val="22"/>
            </w:rPr>
            <m:t>+min</m:t>
          </m:r>
          <m:d>
            <m:dPr>
              <m:begChr m:val="["/>
              <m:end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CCR</m:t>
                      </m:r>
                    </m:e>
                    <m:sub>
                      <m:r>
                        <w:rPr>
                          <w:rFonts w:ascii="Cambria Math" w:hAnsi="Cambria Math"/>
                          <w:sz w:val="22"/>
                          <w:szCs w:val="22"/>
                        </w:rPr>
                        <m:t>i,d,m</m:t>
                      </m:r>
                    </m:sub>
                  </m:sSub>
                </m:num>
                <m:den>
                  <m:sSub>
                    <m:sSubPr>
                      <m:ctrlPr>
                        <w:rPr>
                          <w:rFonts w:ascii="Cambria Math" w:hAnsi="Cambria Math"/>
                          <w:i/>
                          <w:sz w:val="22"/>
                          <w:szCs w:val="22"/>
                        </w:rPr>
                      </m:ctrlPr>
                    </m:sSubPr>
                    <m:e>
                      <m:r>
                        <w:rPr>
                          <w:rFonts w:ascii="Cambria Math" w:hAnsi="Cambria Math"/>
                          <w:sz w:val="22"/>
                          <w:szCs w:val="22"/>
                        </w:rPr>
                        <m:t>ODEFR</m:t>
                      </m:r>
                    </m:e>
                    <m:sub>
                      <m:r>
                        <w:rPr>
                          <w:rFonts w:ascii="Cambria Math" w:hAnsi="Cambria Math"/>
                          <w:sz w:val="22"/>
                          <w:szCs w:val="22"/>
                        </w:rPr>
                        <m:t>i,d,m</m:t>
                      </m:r>
                    </m:sub>
                  </m:sSub>
                </m:den>
              </m:f>
              <m:r>
                <w:rPr>
                  <w:rFonts w:ascii="Cambria Math" w:hAnsi="Cambria Math"/>
                  <w:sz w:val="22"/>
                  <w:szCs w:val="22"/>
                </w:rPr>
                <m:t>×CEN,CEN-</m:t>
              </m:r>
              <m:sSub>
                <m:sSubPr>
                  <m:ctrlPr>
                    <w:rPr>
                      <w:rFonts w:ascii="Cambria Math" w:hAnsi="Cambria Math"/>
                      <w:i/>
                      <w:sz w:val="22"/>
                      <w:szCs w:val="22"/>
                    </w:rPr>
                  </m:ctrlPr>
                </m:sSubPr>
                <m:e>
                  <m:r>
                    <w:rPr>
                      <w:rFonts w:ascii="Cambria Math" w:hAnsi="Cambria Math"/>
                      <w:sz w:val="22"/>
                      <w:szCs w:val="22"/>
                    </w:rPr>
                    <m:t>CD</m:t>
                  </m:r>
                </m:e>
                <m:sub>
                  <m:r>
                    <w:rPr>
                      <w:rFonts w:ascii="Cambria Math" w:hAnsi="Cambria Math"/>
                      <w:sz w:val="22"/>
                      <w:szCs w:val="22"/>
                    </w:rPr>
                    <m:t>h</m:t>
                  </m:r>
                </m:sub>
              </m:sSub>
            </m:e>
          </m:d>
        </m:oMath>
      </m:oMathPara>
    </w:p>
    <w:p w:rsidR="00E01D9D" w:rsidRDefault="00E01D9D" w:rsidP="00E01D9D">
      <w:pPr>
        <w:keepNext/>
        <w:tabs>
          <w:tab w:val="left" w:pos="858"/>
        </w:tabs>
        <w:ind w:left="851" w:right="335"/>
        <w:jc w:val="both"/>
        <w:rPr>
          <w:rFonts w:ascii="Bookman Old Style" w:hAnsi="Bookman Old Style"/>
          <w:i/>
          <w:sz w:val="22"/>
          <w:szCs w:val="22"/>
        </w:rPr>
      </w:pPr>
    </w:p>
    <w:p w:rsidR="00E01D9D" w:rsidRPr="005E0DA8" w:rsidRDefault="00E01D9D" w:rsidP="00E01D9D">
      <w:pPr>
        <w:keepNext/>
        <w:tabs>
          <w:tab w:val="left" w:pos="858"/>
        </w:tabs>
        <w:ind w:left="851" w:right="335"/>
        <w:jc w:val="both"/>
        <w:rPr>
          <w:rFonts w:ascii="Bookman Old Style" w:hAnsi="Bookman Old Style"/>
          <w:i/>
          <w:sz w:val="12"/>
          <w:szCs w:val="22"/>
          <w:highlight w:val="yellow"/>
        </w:rPr>
      </w:pPr>
    </w:p>
    <w:p w:rsidR="00E01D9D" w:rsidRDefault="00E01D9D" w:rsidP="00E01D9D">
      <w:pPr>
        <w:keepNext/>
        <w:tabs>
          <w:tab w:val="left" w:pos="858"/>
        </w:tabs>
        <w:ind w:left="851" w:right="335"/>
        <w:jc w:val="both"/>
        <w:rPr>
          <w:rFonts w:ascii="Bookman Old Style" w:hAnsi="Bookman Old Style"/>
          <w:i/>
          <w:sz w:val="22"/>
          <w:szCs w:val="22"/>
        </w:rPr>
      </w:pPr>
      <w:proofErr w:type="spellStart"/>
      <w:proofErr w:type="gramStart"/>
      <w:r w:rsidRPr="001C244F">
        <w:rPr>
          <w:rFonts w:ascii="Bookman Old Style" w:hAnsi="Bookman Old Style"/>
          <w:i/>
          <w:sz w:val="22"/>
          <w:szCs w:val="22"/>
        </w:rPr>
        <w:t>donde</w:t>
      </w:r>
      <w:proofErr w:type="spellEnd"/>
      <w:proofErr w:type="gramEnd"/>
      <w:r w:rsidRPr="001C244F">
        <w:rPr>
          <w:rFonts w:ascii="Bookman Old Style" w:hAnsi="Bookman Old Style"/>
          <w:i/>
          <w:sz w:val="22"/>
          <w:szCs w:val="22"/>
        </w:rPr>
        <w:t>:</w:t>
      </w:r>
    </w:p>
    <w:p w:rsidR="00E01D9D" w:rsidRDefault="00E01D9D" w:rsidP="00E01D9D">
      <w:pPr>
        <w:keepNext/>
        <w:tabs>
          <w:tab w:val="left" w:pos="858"/>
        </w:tabs>
        <w:ind w:left="851" w:right="335"/>
        <w:jc w:val="both"/>
        <w:rPr>
          <w:rFonts w:ascii="Bookman Old Style" w:hAnsi="Bookman Old Style"/>
          <w:i/>
          <w:sz w:val="22"/>
          <w:szCs w:val="22"/>
        </w:rPr>
      </w:pPr>
    </w:p>
    <w:p w:rsidR="00E01D9D" w:rsidRDefault="00E01D9D" w:rsidP="00E01D9D">
      <w:pPr>
        <w:keepNext/>
        <w:tabs>
          <w:tab w:val="left" w:pos="858"/>
        </w:tabs>
        <w:ind w:left="851" w:right="335"/>
        <w:jc w:val="both"/>
        <w:rPr>
          <w:rFonts w:ascii="Bookman Old Style" w:hAnsi="Bookman Old Style"/>
          <w:i/>
          <w:sz w:val="22"/>
          <w:szCs w:val="22"/>
        </w:rPr>
      </w:pPr>
      <w:proofErr w:type="spellStart"/>
      <w:proofErr w:type="gramStart"/>
      <w:r>
        <w:rPr>
          <w:rFonts w:ascii="Bookman Old Style" w:hAnsi="Bookman Old Style"/>
          <w:i/>
          <w:sz w:val="22"/>
          <w:szCs w:val="22"/>
        </w:rPr>
        <w:t>CD</w:t>
      </w:r>
      <w:r w:rsidRPr="001C244F">
        <w:rPr>
          <w:rFonts w:ascii="Bookman Old Style" w:hAnsi="Bookman Old Style"/>
          <w:i/>
          <w:sz w:val="22"/>
          <w:szCs w:val="22"/>
          <w:vertAlign w:val="subscript"/>
        </w:rPr>
        <w:t>h</w:t>
      </w:r>
      <w:proofErr w:type="spellEnd"/>
      <w:r>
        <w:rPr>
          <w:rFonts w:ascii="Bookman Old Style" w:hAnsi="Bookman Old Style"/>
          <w:i/>
          <w:sz w:val="22"/>
          <w:szCs w:val="22"/>
        </w:rPr>
        <w:t xml:space="preserve"> :</w:t>
      </w:r>
      <w:proofErr w:type="gramEnd"/>
      <w:r>
        <w:rPr>
          <w:rFonts w:ascii="Bookman Old Style" w:hAnsi="Bookman Old Style"/>
          <w:i/>
          <w:sz w:val="22"/>
          <w:szCs w:val="22"/>
        </w:rPr>
        <w:t xml:space="preserve"> </w:t>
      </w:r>
      <w:r>
        <w:rPr>
          <w:rFonts w:ascii="Bookman Old Style" w:hAnsi="Bookman Old Style"/>
          <w:i/>
          <w:sz w:val="22"/>
          <w:szCs w:val="22"/>
        </w:rPr>
        <w:tab/>
        <w:t>Capacidad disponible durante la hora h</w:t>
      </w:r>
    </w:p>
    <w:p w:rsidR="00E01D9D" w:rsidRDefault="00E01D9D" w:rsidP="00E01D9D">
      <w:pPr>
        <w:keepNext/>
        <w:ind w:left="2127" w:right="335" w:hanging="1276"/>
        <w:jc w:val="both"/>
        <w:rPr>
          <w:rFonts w:ascii="Bookman Old Style" w:hAnsi="Bookman Old Style"/>
          <w:i/>
          <w:sz w:val="22"/>
          <w:szCs w:val="22"/>
        </w:rPr>
      </w:pPr>
      <w:proofErr w:type="spellStart"/>
      <w:r>
        <w:rPr>
          <w:rFonts w:ascii="Bookman Old Style" w:hAnsi="Bookman Old Style"/>
          <w:i/>
          <w:sz w:val="22"/>
          <w:szCs w:val="22"/>
        </w:rPr>
        <w:t>CCR</w:t>
      </w:r>
      <w:r w:rsidRPr="00D11078">
        <w:rPr>
          <w:rFonts w:ascii="Bookman Old Style" w:hAnsi="Bookman Old Style"/>
          <w:i/>
          <w:sz w:val="22"/>
          <w:szCs w:val="22"/>
          <w:vertAlign w:val="subscript"/>
        </w:rPr>
        <w:t>i</w:t>
      </w:r>
      <w:proofErr w:type="gramStart"/>
      <w:r w:rsidRPr="00D11078">
        <w:rPr>
          <w:rFonts w:ascii="Bookman Old Style" w:hAnsi="Bookman Old Style"/>
          <w:i/>
          <w:sz w:val="22"/>
          <w:szCs w:val="22"/>
          <w:vertAlign w:val="subscript"/>
        </w:rPr>
        <w:t>,d,m</w:t>
      </w:r>
      <w:proofErr w:type="spellEnd"/>
      <w:proofErr w:type="gramEnd"/>
      <w:r>
        <w:rPr>
          <w:rFonts w:ascii="Bookman Old Style" w:hAnsi="Bookman Old Style"/>
          <w:i/>
          <w:sz w:val="22"/>
          <w:szCs w:val="22"/>
        </w:rPr>
        <w:t xml:space="preserve"> :</w:t>
      </w:r>
      <w:r>
        <w:rPr>
          <w:rFonts w:ascii="Bookman Old Style" w:hAnsi="Bookman Old Style"/>
          <w:i/>
          <w:sz w:val="22"/>
          <w:szCs w:val="22"/>
        </w:rPr>
        <w:tab/>
        <w:t>Compras en contratos de respaldo o en declaraciones de respaldo para la planta o unidad de generación i vigentes el día d del mes m.</w:t>
      </w:r>
    </w:p>
    <w:p w:rsidR="00E01D9D" w:rsidRDefault="00E01D9D" w:rsidP="00E01D9D">
      <w:pPr>
        <w:keepNext/>
        <w:ind w:left="2127" w:right="335" w:hanging="1276"/>
        <w:jc w:val="both"/>
        <w:rPr>
          <w:rFonts w:ascii="Bookman Old Style" w:hAnsi="Bookman Old Style"/>
          <w:i/>
          <w:sz w:val="22"/>
          <w:szCs w:val="22"/>
        </w:rPr>
      </w:pPr>
      <w:proofErr w:type="spellStart"/>
      <w:r>
        <w:rPr>
          <w:rFonts w:ascii="Bookman Old Style" w:hAnsi="Bookman Old Style"/>
          <w:i/>
          <w:sz w:val="22"/>
          <w:szCs w:val="22"/>
        </w:rPr>
        <w:t>ODEFR</w:t>
      </w:r>
      <w:r w:rsidRPr="00D11078">
        <w:rPr>
          <w:rFonts w:ascii="Bookman Old Style" w:hAnsi="Bookman Old Style"/>
          <w:i/>
          <w:sz w:val="22"/>
          <w:szCs w:val="22"/>
          <w:vertAlign w:val="subscript"/>
        </w:rPr>
        <w:t>i</w:t>
      </w:r>
      <w:proofErr w:type="gramStart"/>
      <w:r w:rsidRPr="00D11078">
        <w:rPr>
          <w:rFonts w:ascii="Bookman Old Style" w:hAnsi="Bookman Old Style"/>
          <w:i/>
          <w:sz w:val="22"/>
          <w:szCs w:val="22"/>
          <w:vertAlign w:val="subscript"/>
        </w:rPr>
        <w:t>,d,m</w:t>
      </w:r>
      <w:proofErr w:type="spellEnd"/>
      <w:proofErr w:type="gramEnd"/>
      <w:r>
        <w:rPr>
          <w:rFonts w:ascii="Bookman Old Style" w:hAnsi="Bookman Old Style"/>
          <w:i/>
          <w:sz w:val="22"/>
          <w:szCs w:val="22"/>
        </w:rPr>
        <w:t>:</w:t>
      </w:r>
      <w:r>
        <w:rPr>
          <w:rFonts w:ascii="Bookman Old Style" w:hAnsi="Bookman Old Style"/>
          <w:i/>
          <w:sz w:val="22"/>
          <w:szCs w:val="22"/>
        </w:rPr>
        <w:tab/>
        <w:t>Obligación Diaria de Energía Firme respaldada por la planta o unidad de generación i en el día d del mes m, expresada en kilovatios-hora (</w:t>
      </w:r>
      <w:proofErr w:type="spellStart"/>
      <w:r>
        <w:rPr>
          <w:rFonts w:ascii="Bookman Old Style" w:hAnsi="Bookman Old Style"/>
          <w:i/>
          <w:sz w:val="22"/>
          <w:szCs w:val="22"/>
        </w:rPr>
        <w:t>kWh</w:t>
      </w:r>
      <w:proofErr w:type="spellEnd"/>
      <w:r>
        <w:rPr>
          <w:rFonts w:ascii="Bookman Old Style" w:hAnsi="Bookman Old Style"/>
          <w:i/>
          <w:sz w:val="22"/>
          <w:szCs w:val="22"/>
        </w:rPr>
        <w:t>).</w:t>
      </w:r>
    </w:p>
    <w:p w:rsidR="00E01D9D" w:rsidRDefault="00E01D9D" w:rsidP="00580F3D">
      <w:pPr>
        <w:ind w:left="0"/>
        <w:jc w:val="both"/>
        <w:rPr>
          <w:rFonts w:ascii="Bookman Old Style" w:hAnsi="Bookman Old Style"/>
        </w:rPr>
      </w:pPr>
    </w:p>
    <w:p w:rsidR="00E01D9D" w:rsidRDefault="00E01D9D" w:rsidP="00580F3D">
      <w:pPr>
        <w:ind w:left="0"/>
        <w:jc w:val="both"/>
        <w:rPr>
          <w:rFonts w:ascii="Bookman Old Style" w:hAnsi="Bookman Old Style"/>
        </w:rPr>
      </w:pPr>
    </w:p>
    <w:p w:rsidR="00BA788A" w:rsidRDefault="00B12B4D" w:rsidP="00580F3D">
      <w:pPr>
        <w:jc w:val="both"/>
        <w:rPr>
          <w:rFonts w:ascii="Bookman Old Style" w:hAnsi="Bookman Old Style"/>
          <w:i/>
          <w:sz w:val="22"/>
        </w:rPr>
      </w:pPr>
      <w:r w:rsidRPr="00B12B4D">
        <w:rPr>
          <w:rFonts w:ascii="Bookman Old Style" w:hAnsi="Bookman Old Style"/>
          <w:i/>
          <w:sz w:val="22"/>
        </w:rPr>
        <w:t>De</w:t>
      </w:r>
      <w:r>
        <w:rPr>
          <w:rFonts w:ascii="Bookman Old Style" w:hAnsi="Bookman Old Style"/>
          <w:i/>
          <w:sz w:val="22"/>
        </w:rPr>
        <w:t xml:space="preserve"> las variables HI y HD se podrán descontar las horas de mantenimiento programado, siempre y cuando se presenten las siguientes condiciones: i) hayan sido respaldadas </w:t>
      </w:r>
      <w:r w:rsidR="00915557">
        <w:rPr>
          <w:rFonts w:ascii="Bookman Old Style" w:hAnsi="Bookman Old Style"/>
          <w:i/>
          <w:sz w:val="22"/>
        </w:rPr>
        <w:t xml:space="preserve">con los </w:t>
      </w:r>
      <w:r w:rsidR="00BA788A">
        <w:rPr>
          <w:rFonts w:ascii="Bookman Old Style" w:hAnsi="Bookman Old Style"/>
          <w:i/>
          <w:sz w:val="22"/>
        </w:rPr>
        <w:t>anillo</w:t>
      </w:r>
      <w:r w:rsidR="00915557">
        <w:rPr>
          <w:rFonts w:ascii="Bookman Old Style" w:hAnsi="Bookman Old Style"/>
          <w:i/>
          <w:sz w:val="22"/>
        </w:rPr>
        <w:t>s</w:t>
      </w:r>
      <w:r w:rsidR="00BA788A">
        <w:rPr>
          <w:rFonts w:ascii="Bookman Old Style" w:hAnsi="Bookman Old Style"/>
          <w:i/>
          <w:sz w:val="22"/>
        </w:rPr>
        <w:t xml:space="preserve"> de seguridad,  registrados previamente ante el ASIC y ii) el acumulado, </w:t>
      </w:r>
      <w:proofErr w:type="spellStart"/>
      <w:r w:rsidR="00BA788A">
        <w:rPr>
          <w:rFonts w:ascii="Bookman Old Style" w:hAnsi="Bookman Old Style"/>
          <w:i/>
          <w:sz w:val="22"/>
        </w:rPr>
        <w:t>Cmtt</w:t>
      </w:r>
      <w:r w:rsidR="00BA788A" w:rsidRPr="00BA788A">
        <w:rPr>
          <w:rFonts w:ascii="Bookman Old Style" w:hAnsi="Bookman Old Style"/>
          <w:i/>
          <w:sz w:val="22"/>
          <w:vertAlign w:val="subscript"/>
        </w:rPr>
        <w:t>C</w:t>
      </w:r>
      <w:proofErr w:type="spellEnd"/>
      <w:r w:rsidR="00BA788A">
        <w:rPr>
          <w:rFonts w:ascii="Bookman Old Style" w:hAnsi="Bookman Old Style"/>
          <w:i/>
          <w:sz w:val="22"/>
        </w:rPr>
        <w:t xml:space="preserve">, de los anillos de seguridad, no sea mayor que </w:t>
      </w:r>
      <w:proofErr w:type="spellStart"/>
      <w:r w:rsidR="00BA788A">
        <w:rPr>
          <w:rFonts w:ascii="Bookman Old Style" w:hAnsi="Bookman Old Style"/>
          <w:i/>
          <w:sz w:val="22"/>
        </w:rPr>
        <w:t>Cmtt</w:t>
      </w:r>
      <w:r w:rsidR="00BA788A" w:rsidRPr="00BA788A">
        <w:rPr>
          <w:rFonts w:ascii="Bookman Old Style" w:hAnsi="Bookman Old Style"/>
          <w:i/>
          <w:sz w:val="22"/>
          <w:vertAlign w:val="subscript"/>
        </w:rPr>
        <w:t>P</w:t>
      </w:r>
      <w:proofErr w:type="spellEnd"/>
      <w:r w:rsidR="00BA788A">
        <w:rPr>
          <w:rFonts w:ascii="Bookman Old Style" w:hAnsi="Bookman Old Style"/>
          <w:i/>
          <w:sz w:val="22"/>
        </w:rPr>
        <w:t xml:space="preserve">. Los valores </w:t>
      </w:r>
      <w:proofErr w:type="spellStart"/>
      <w:r w:rsidR="00BA788A">
        <w:rPr>
          <w:rFonts w:ascii="Bookman Old Style" w:hAnsi="Bookman Old Style"/>
          <w:i/>
          <w:sz w:val="22"/>
        </w:rPr>
        <w:t>Cmtt</w:t>
      </w:r>
      <w:r w:rsidR="00BA788A" w:rsidRPr="00BA788A">
        <w:rPr>
          <w:rFonts w:ascii="Bookman Old Style" w:hAnsi="Bookman Old Style"/>
          <w:i/>
          <w:sz w:val="22"/>
          <w:vertAlign w:val="subscript"/>
        </w:rPr>
        <w:t>C</w:t>
      </w:r>
      <w:proofErr w:type="spellEnd"/>
      <w:r w:rsidR="00BA788A">
        <w:rPr>
          <w:rFonts w:ascii="Bookman Old Style" w:hAnsi="Bookman Old Style"/>
          <w:i/>
          <w:sz w:val="22"/>
        </w:rPr>
        <w:t xml:space="preserve"> y </w:t>
      </w:r>
      <w:proofErr w:type="spellStart"/>
      <w:r w:rsidR="00BA788A">
        <w:rPr>
          <w:rFonts w:ascii="Bookman Old Style" w:hAnsi="Bookman Old Style"/>
          <w:i/>
          <w:sz w:val="22"/>
        </w:rPr>
        <w:t>Cmtt</w:t>
      </w:r>
      <w:r w:rsidR="00BA788A" w:rsidRPr="00BA788A">
        <w:rPr>
          <w:rFonts w:ascii="Bookman Old Style" w:hAnsi="Bookman Old Style"/>
          <w:i/>
          <w:sz w:val="22"/>
          <w:vertAlign w:val="subscript"/>
        </w:rPr>
        <w:t>P</w:t>
      </w:r>
      <w:proofErr w:type="spellEnd"/>
      <w:r w:rsidR="00BA788A">
        <w:rPr>
          <w:rFonts w:ascii="Bookman Old Style" w:hAnsi="Bookman Old Style"/>
          <w:i/>
          <w:sz w:val="22"/>
        </w:rPr>
        <w:t>, serán calculados según las siguientes expresiones:</w:t>
      </w:r>
    </w:p>
    <w:p w:rsidR="0065066A" w:rsidRDefault="0065066A" w:rsidP="00580F3D">
      <w:pPr>
        <w:jc w:val="both"/>
        <w:rPr>
          <w:rFonts w:ascii="Bookman Old Style" w:hAnsi="Bookman Old Style"/>
          <w:i/>
          <w:sz w:val="22"/>
        </w:rPr>
      </w:pPr>
    </w:p>
    <w:p w:rsidR="00BA788A" w:rsidRDefault="00BA788A" w:rsidP="00580F3D">
      <w:pPr>
        <w:jc w:val="both"/>
        <w:rPr>
          <w:rFonts w:ascii="Bookman Old Style" w:hAnsi="Bookman Old Style"/>
          <w:i/>
          <w:sz w:val="22"/>
        </w:rPr>
      </w:pPr>
    </w:p>
    <w:p w:rsidR="00580F3D" w:rsidRPr="00580F3D" w:rsidRDefault="009C30B8" w:rsidP="00580F3D">
      <w:pPr>
        <w:jc w:val="both"/>
        <w:rPr>
          <w:rFonts w:ascii="Bookman Old Style" w:hAnsi="Bookman Old Style"/>
          <w:i/>
          <w:sz w:val="22"/>
        </w:rPr>
      </w:pPr>
      <m:oMathPara>
        <m:oMath>
          <m:sSub>
            <m:sSubPr>
              <m:ctrlPr>
                <w:rPr>
                  <w:rFonts w:ascii="Cambria Math" w:hAnsi="Cambria Math"/>
                  <w:i/>
                  <w:sz w:val="22"/>
                </w:rPr>
              </m:ctrlPr>
            </m:sSubPr>
            <m:e>
              <m:r>
                <w:rPr>
                  <w:rFonts w:ascii="Cambria Math" w:hAnsi="Cambria Math"/>
                  <w:sz w:val="22"/>
                </w:rPr>
                <m:t>Cmtt</m:t>
              </m:r>
            </m:e>
            <m:sub>
              <m:r>
                <w:rPr>
                  <w:rFonts w:ascii="Cambria Math" w:hAnsi="Cambria Math"/>
                  <w:sz w:val="22"/>
                </w:rPr>
                <m:t>C</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d=1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Cms</m:t>
                  </m:r>
                </m:e>
                <m:sub>
                  <m:r>
                    <w:rPr>
                      <w:rFonts w:ascii="Cambria Math" w:hAnsi="Cambria Math"/>
                      <w:sz w:val="22"/>
                    </w:rPr>
                    <m:t>d,m</m:t>
                  </m:r>
                </m:sub>
              </m:sSub>
            </m:e>
          </m:nary>
        </m:oMath>
      </m:oMathPara>
    </w:p>
    <w:p w:rsidR="00C435C3" w:rsidRDefault="00C435C3" w:rsidP="00C435C3">
      <w:pPr>
        <w:rPr>
          <w:rFonts w:ascii="Bookman Old Style" w:hAnsi="Bookman Old Style"/>
          <w:i/>
          <w:sz w:val="22"/>
        </w:rPr>
      </w:pPr>
    </w:p>
    <w:p w:rsidR="0065066A" w:rsidRDefault="0065066A" w:rsidP="00C435C3">
      <w:pPr>
        <w:rPr>
          <w:rFonts w:ascii="Bookman Old Style" w:hAnsi="Bookman Old Style"/>
          <w:i/>
          <w:sz w:val="22"/>
        </w:rPr>
      </w:pPr>
    </w:p>
    <w:p w:rsidR="00BA788A" w:rsidRDefault="00BA788A" w:rsidP="00C435C3">
      <w:pPr>
        <w:rPr>
          <w:rFonts w:ascii="Bookman Old Style" w:hAnsi="Bookman Old Style"/>
          <w:i/>
          <w:sz w:val="22"/>
        </w:rPr>
      </w:pPr>
      <w:proofErr w:type="spellStart"/>
      <w:proofErr w:type="gramStart"/>
      <w:r>
        <w:rPr>
          <w:rFonts w:ascii="Bookman Old Style" w:hAnsi="Bookman Old Style"/>
          <w:i/>
          <w:sz w:val="22"/>
        </w:rPr>
        <w:t>donde</w:t>
      </w:r>
      <w:proofErr w:type="spellEnd"/>
      <w:proofErr w:type="gramEnd"/>
      <w:r>
        <w:rPr>
          <w:rFonts w:ascii="Bookman Old Style" w:hAnsi="Bookman Old Style"/>
          <w:i/>
          <w:sz w:val="22"/>
        </w:rPr>
        <w:t>:</w:t>
      </w:r>
    </w:p>
    <w:p w:rsidR="00BA788A" w:rsidRDefault="00BA788A" w:rsidP="00C435C3">
      <w:pPr>
        <w:rPr>
          <w:rFonts w:ascii="Bookman Old Style" w:hAnsi="Bookman Old Style"/>
          <w:i/>
          <w:sz w:val="22"/>
        </w:rPr>
      </w:pPr>
    </w:p>
    <w:p w:rsidR="00BA788A" w:rsidRDefault="0021266C" w:rsidP="0021266C">
      <w:pPr>
        <w:ind w:left="1701" w:hanging="1134"/>
        <w:rPr>
          <w:rFonts w:ascii="Bookman Old Style" w:hAnsi="Bookman Old Style"/>
          <w:i/>
          <w:sz w:val="22"/>
        </w:rPr>
      </w:pPr>
      <w:proofErr w:type="spellStart"/>
      <w:r>
        <w:rPr>
          <w:rFonts w:ascii="Bookman Old Style" w:hAnsi="Bookman Old Style"/>
          <w:i/>
          <w:sz w:val="22"/>
        </w:rPr>
        <w:t>Cmtt</w:t>
      </w:r>
      <w:r w:rsidRPr="0021266C">
        <w:rPr>
          <w:rFonts w:ascii="Bookman Old Style" w:hAnsi="Bookman Old Style"/>
          <w:i/>
          <w:sz w:val="22"/>
          <w:vertAlign w:val="subscript"/>
        </w:rPr>
        <w:t>C</w:t>
      </w:r>
      <w:proofErr w:type="spellEnd"/>
      <w:r>
        <w:rPr>
          <w:rFonts w:ascii="Bookman Old Style" w:hAnsi="Bookman Old Style"/>
          <w:i/>
          <w:sz w:val="22"/>
        </w:rPr>
        <w:t>:</w:t>
      </w:r>
      <w:r>
        <w:rPr>
          <w:rFonts w:ascii="Bookman Old Style" w:hAnsi="Bookman Old Style"/>
          <w:i/>
          <w:sz w:val="22"/>
        </w:rPr>
        <w:tab/>
        <w:t xml:space="preserve">Cantidad acumulada en compras en anillos de seguridad para la planta o unidad de generación en </w:t>
      </w:r>
      <w:proofErr w:type="spellStart"/>
      <w:r>
        <w:rPr>
          <w:rFonts w:ascii="Bookman Old Style" w:hAnsi="Bookman Old Style"/>
          <w:i/>
          <w:sz w:val="22"/>
        </w:rPr>
        <w:t>MWh</w:t>
      </w:r>
      <w:proofErr w:type="spellEnd"/>
      <w:r>
        <w:rPr>
          <w:rFonts w:ascii="Bookman Old Style" w:hAnsi="Bookman Old Style"/>
          <w:i/>
          <w:sz w:val="22"/>
        </w:rPr>
        <w:t>.</w:t>
      </w:r>
    </w:p>
    <w:p w:rsidR="0021266C" w:rsidRDefault="0021266C" w:rsidP="0021266C">
      <w:pPr>
        <w:ind w:left="1701" w:hanging="1134"/>
        <w:rPr>
          <w:rFonts w:ascii="Bookman Old Style" w:hAnsi="Bookman Old Style"/>
          <w:i/>
          <w:sz w:val="22"/>
        </w:rPr>
      </w:pPr>
      <w:proofErr w:type="spellStart"/>
      <w:r>
        <w:rPr>
          <w:rFonts w:ascii="Bookman Old Style" w:hAnsi="Bookman Old Style"/>
          <w:i/>
          <w:sz w:val="22"/>
        </w:rPr>
        <w:t>Cms</w:t>
      </w:r>
      <w:r w:rsidRPr="0021266C">
        <w:rPr>
          <w:rFonts w:ascii="Bookman Old Style" w:hAnsi="Bookman Old Style"/>
          <w:i/>
          <w:sz w:val="22"/>
          <w:vertAlign w:val="subscript"/>
        </w:rPr>
        <w:t>d</w:t>
      </w:r>
      <w:proofErr w:type="gramStart"/>
      <w:r w:rsidRPr="0021266C">
        <w:rPr>
          <w:rFonts w:ascii="Bookman Old Style" w:hAnsi="Bookman Old Style"/>
          <w:i/>
          <w:sz w:val="22"/>
          <w:vertAlign w:val="subscript"/>
        </w:rPr>
        <w:t>,m</w:t>
      </w:r>
      <w:proofErr w:type="spellEnd"/>
      <w:proofErr w:type="gramEnd"/>
      <w:r>
        <w:rPr>
          <w:rFonts w:ascii="Bookman Old Style" w:hAnsi="Bookman Old Style"/>
          <w:i/>
          <w:sz w:val="22"/>
        </w:rPr>
        <w:t>:</w:t>
      </w:r>
      <w:r>
        <w:rPr>
          <w:rFonts w:ascii="Bookman Old Style" w:hAnsi="Bookman Old Style"/>
          <w:i/>
          <w:sz w:val="22"/>
        </w:rPr>
        <w:tab/>
        <w:t xml:space="preserve">Cantidad de compras en anillos de seguridad para la planta o unidad de generación en </w:t>
      </w:r>
      <w:proofErr w:type="spellStart"/>
      <w:r>
        <w:rPr>
          <w:rFonts w:ascii="Bookman Old Style" w:hAnsi="Bookman Old Style"/>
          <w:i/>
          <w:sz w:val="22"/>
        </w:rPr>
        <w:t>MWh</w:t>
      </w:r>
      <w:proofErr w:type="spellEnd"/>
      <w:r>
        <w:rPr>
          <w:rFonts w:ascii="Bookman Old Style" w:hAnsi="Bookman Old Style"/>
          <w:i/>
          <w:sz w:val="22"/>
        </w:rPr>
        <w:t xml:space="preserve"> para el día d del mes m.</w:t>
      </w:r>
    </w:p>
    <w:p w:rsidR="0021266C" w:rsidRDefault="0021266C" w:rsidP="0021266C">
      <w:pPr>
        <w:ind w:left="1701" w:hanging="1134"/>
        <w:rPr>
          <w:rFonts w:ascii="Bookman Old Style" w:hAnsi="Bookman Old Style"/>
          <w:i/>
          <w:sz w:val="22"/>
        </w:rPr>
      </w:pPr>
      <w:proofErr w:type="gramStart"/>
      <w:r>
        <w:rPr>
          <w:rFonts w:ascii="Bookman Old Style" w:hAnsi="Bookman Old Style"/>
          <w:i/>
          <w:sz w:val="22"/>
        </w:rPr>
        <w:t>n</w:t>
      </w:r>
      <w:proofErr w:type="gramEnd"/>
      <w:r>
        <w:rPr>
          <w:rFonts w:ascii="Bookman Old Style" w:hAnsi="Bookman Old Style"/>
          <w:i/>
          <w:sz w:val="22"/>
        </w:rPr>
        <w:t>:</w:t>
      </w:r>
      <w:r>
        <w:rPr>
          <w:rFonts w:ascii="Bookman Old Style" w:hAnsi="Bookman Old Style"/>
          <w:i/>
          <w:sz w:val="22"/>
        </w:rPr>
        <w:tab/>
        <w:t>Número de días acumulados del año iniciando en octubre 1 del año t hasta septiembre 30 del año t+1.</w:t>
      </w:r>
    </w:p>
    <w:p w:rsidR="0021266C" w:rsidRDefault="0021266C" w:rsidP="0021266C">
      <w:pPr>
        <w:ind w:left="1701" w:hanging="1134"/>
        <w:rPr>
          <w:rFonts w:ascii="Bookman Old Style" w:hAnsi="Bookman Old Style"/>
          <w:i/>
          <w:sz w:val="22"/>
        </w:rPr>
      </w:pPr>
    </w:p>
    <w:p w:rsidR="0065066A" w:rsidRDefault="0065066A" w:rsidP="0021266C">
      <w:pPr>
        <w:ind w:left="1701" w:hanging="1134"/>
        <w:rPr>
          <w:rFonts w:ascii="Bookman Old Style" w:hAnsi="Bookman Old Style"/>
          <w:i/>
          <w:sz w:val="22"/>
        </w:rPr>
      </w:pPr>
    </w:p>
    <w:p w:rsidR="0021266C" w:rsidRPr="0021266C" w:rsidRDefault="009C30B8" w:rsidP="0021266C">
      <w:pPr>
        <w:ind w:left="1701" w:hanging="1134"/>
        <w:rPr>
          <w:rFonts w:ascii="Bookman Old Style" w:hAnsi="Bookman Old Style"/>
          <w:i/>
          <w:sz w:val="22"/>
        </w:rPr>
      </w:pPr>
      <m:oMathPara>
        <m:oMath>
          <m:sSub>
            <m:sSubPr>
              <m:ctrlPr>
                <w:rPr>
                  <w:rFonts w:ascii="Cambria Math" w:hAnsi="Cambria Math"/>
                  <w:i/>
                  <w:sz w:val="22"/>
                </w:rPr>
              </m:ctrlPr>
            </m:sSubPr>
            <m:e>
              <m:r>
                <w:rPr>
                  <w:rFonts w:ascii="Cambria Math" w:hAnsi="Cambria Math"/>
                  <w:sz w:val="22"/>
                </w:rPr>
                <m:t>Cmtt</m:t>
              </m:r>
            </m:e>
            <m:sub>
              <m:r>
                <w:rPr>
                  <w:rFonts w:ascii="Cambria Math" w:hAnsi="Cambria Math"/>
                  <w:sz w:val="22"/>
                </w:rPr>
                <m:t>P</m:t>
              </m:r>
            </m:sub>
          </m:sSub>
          <m:r>
            <w:rPr>
              <w:rFonts w:ascii="Cambria Math" w:hAnsi="Cambria Math"/>
              <w:sz w:val="22"/>
            </w:rPr>
            <m:t>=CEN×da×hd×ρ</m:t>
          </m:r>
        </m:oMath>
      </m:oMathPara>
    </w:p>
    <w:p w:rsidR="0021266C" w:rsidRDefault="0021266C" w:rsidP="0021266C">
      <w:pPr>
        <w:ind w:left="1701" w:hanging="1134"/>
        <w:rPr>
          <w:rFonts w:ascii="Bookman Old Style" w:hAnsi="Bookman Old Style"/>
          <w:i/>
          <w:sz w:val="22"/>
        </w:rPr>
      </w:pPr>
    </w:p>
    <w:p w:rsidR="0065066A" w:rsidRDefault="0065066A" w:rsidP="0021266C">
      <w:pPr>
        <w:ind w:left="1701" w:hanging="1134"/>
        <w:rPr>
          <w:rFonts w:ascii="Bookman Old Style" w:hAnsi="Bookman Old Style"/>
          <w:i/>
          <w:sz w:val="22"/>
        </w:rPr>
      </w:pPr>
    </w:p>
    <w:p w:rsidR="0021266C" w:rsidRDefault="0021266C" w:rsidP="0021266C">
      <w:pPr>
        <w:ind w:left="1701" w:hanging="1134"/>
        <w:rPr>
          <w:rFonts w:ascii="Bookman Old Style" w:hAnsi="Bookman Old Style"/>
          <w:i/>
          <w:sz w:val="22"/>
        </w:rPr>
      </w:pPr>
      <w:proofErr w:type="spellStart"/>
      <w:proofErr w:type="gramStart"/>
      <w:r>
        <w:rPr>
          <w:rFonts w:ascii="Bookman Old Style" w:hAnsi="Bookman Old Style"/>
          <w:i/>
          <w:sz w:val="22"/>
        </w:rPr>
        <w:t>donde</w:t>
      </w:r>
      <w:proofErr w:type="spellEnd"/>
      <w:proofErr w:type="gramEnd"/>
      <w:r>
        <w:rPr>
          <w:rFonts w:ascii="Bookman Old Style" w:hAnsi="Bookman Old Style"/>
          <w:i/>
          <w:sz w:val="22"/>
        </w:rPr>
        <w:t>:</w:t>
      </w:r>
    </w:p>
    <w:p w:rsidR="0021266C" w:rsidRDefault="0021266C" w:rsidP="0021266C">
      <w:pPr>
        <w:ind w:left="1701" w:hanging="1134"/>
        <w:rPr>
          <w:rFonts w:ascii="Bookman Old Style" w:hAnsi="Bookman Old Style"/>
          <w:i/>
          <w:sz w:val="22"/>
        </w:rPr>
      </w:pPr>
    </w:p>
    <w:p w:rsidR="0021266C" w:rsidRDefault="0021266C" w:rsidP="0021266C">
      <w:pPr>
        <w:ind w:left="1701" w:hanging="1134"/>
        <w:rPr>
          <w:rFonts w:ascii="Bookman Old Style" w:hAnsi="Bookman Old Style"/>
          <w:i/>
          <w:sz w:val="22"/>
        </w:rPr>
      </w:pPr>
      <w:proofErr w:type="spellStart"/>
      <w:r>
        <w:rPr>
          <w:rFonts w:ascii="Bookman Old Style" w:hAnsi="Bookman Old Style"/>
          <w:i/>
          <w:sz w:val="22"/>
        </w:rPr>
        <w:t>Cmtt</w:t>
      </w:r>
      <w:r w:rsidRPr="0021266C">
        <w:rPr>
          <w:rFonts w:ascii="Bookman Old Style" w:hAnsi="Bookman Old Style"/>
          <w:i/>
          <w:sz w:val="22"/>
          <w:vertAlign w:val="subscript"/>
        </w:rPr>
        <w:t>P</w:t>
      </w:r>
      <w:proofErr w:type="spellEnd"/>
      <w:r>
        <w:rPr>
          <w:rFonts w:ascii="Bookman Old Style" w:hAnsi="Bookman Old Style"/>
          <w:i/>
          <w:sz w:val="22"/>
        </w:rPr>
        <w:t>:</w:t>
      </w:r>
      <w:r>
        <w:rPr>
          <w:rFonts w:ascii="Bookman Old Style" w:hAnsi="Bookman Old Style"/>
          <w:i/>
          <w:sz w:val="22"/>
        </w:rPr>
        <w:tab/>
        <w:t xml:space="preserve">Cantidad máxima de compras en anillos de seguridad en </w:t>
      </w:r>
      <w:proofErr w:type="spellStart"/>
      <w:r>
        <w:rPr>
          <w:rFonts w:ascii="Bookman Old Style" w:hAnsi="Bookman Old Style"/>
          <w:i/>
          <w:sz w:val="22"/>
        </w:rPr>
        <w:t>MWh</w:t>
      </w:r>
      <w:proofErr w:type="spellEnd"/>
      <w:r>
        <w:rPr>
          <w:rFonts w:ascii="Bookman Old Style" w:hAnsi="Bookman Old Style"/>
          <w:i/>
          <w:sz w:val="22"/>
        </w:rPr>
        <w:t xml:space="preserve"> a aplicar en el cálculo del IHF.</w:t>
      </w:r>
    </w:p>
    <w:p w:rsidR="0021266C" w:rsidRDefault="0021266C" w:rsidP="0021266C">
      <w:pPr>
        <w:ind w:left="1701" w:hanging="1134"/>
        <w:rPr>
          <w:rFonts w:ascii="Bookman Old Style" w:hAnsi="Bookman Old Style"/>
          <w:i/>
          <w:sz w:val="22"/>
        </w:rPr>
      </w:pPr>
      <w:r>
        <w:rPr>
          <w:rFonts w:ascii="Bookman Old Style" w:hAnsi="Bookman Old Style"/>
          <w:i/>
          <w:sz w:val="22"/>
        </w:rPr>
        <w:t>CEN:</w:t>
      </w:r>
      <w:r>
        <w:rPr>
          <w:rFonts w:ascii="Bookman Old Style" w:hAnsi="Bookman Old Style"/>
          <w:i/>
          <w:sz w:val="22"/>
        </w:rPr>
        <w:tab/>
        <w:t>Capacidad Efectiva Neta en MW.</w:t>
      </w:r>
    </w:p>
    <w:p w:rsidR="00280DF2" w:rsidRDefault="00280DF2" w:rsidP="0021266C">
      <w:pPr>
        <w:ind w:left="1701" w:hanging="1134"/>
        <w:rPr>
          <w:rFonts w:ascii="Bookman Old Style" w:hAnsi="Bookman Old Style"/>
          <w:i/>
          <w:sz w:val="22"/>
        </w:rPr>
      </w:pPr>
    </w:p>
    <w:p w:rsidR="00280DF2" w:rsidRDefault="00280DF2" w:rsidP="0021266C">
      <w:pPr>
        <w:ind w:left="1701" w:hanging="1134"/>
        <w:rPr>
          <w:rFonts w:ascii="Bookman Old Style" w:hAnsi="Bookman Old Style"/>
          <w:i/>
          <w:sz w:val="22"/>
        </w:rPr>
      </w:pPr>
    </w:p>
    <w:p w:rsidR="0021266C" w:rsidRDefault="0021266C" w:rsidP="0021266C">
      <w:pPr>
        <w:ind w:left="1701" w:hanging="1134"/>
        <w:rPr>
          <w:rFonts w:ascii="Bookman Old Style" w:hAnsi="Bookman Old Style"/>
          <w:i/>
          <w:sz w:val="22"/>
        </w:rPr>
      </w:pPr>
      <w:proofErr w:type="gramStart"/>
      <w:r>
        <w:rPr>
          <w:rFonts w:ascii="Bookman Old Style" w:hAnsi="Bookman Old Style"/>
          <w:i/>
          <w:sz w:val="22"/>
        </w:rPr>
        <w:t>da</w:t>
      </w:r>
      <w:proofErr w:type="gramEnd"/>
      <w:r>
        <w:rPr>
          <w:rFonts w:ascii="Bookman Old Style" w:hAnsi="Bookman Old Style"/>
          <w:i/>
          <w:sz w:val="22"/>
        </w:rPr>
        <w:t>:</w:t>
      </w:r>
      <w:r>
        <w:rPr>
          <w:rFonts w:ascii="Bookman Old Style" w:hAnsi="Bookman Old Style"/>
          <w:i/>
          <w:sz w:val="22"/>
        </w:rPr>
        <w:tab/>
        <w:t>días del año se toma desde octubre 1 del año t hasta septiembre 30 del año t+1.</w:t>
      </w:r>
    </w:p>
    <w:p w:rsidR="00F26154" w:rsidRDefault="00F26154" w:rsidP="0021266C">
      <w:pPr>
        <w:ind w:left="1701" w:hanging="1134"/>
        <w:rPr>
          <w:rFonts w:ascii="Bookman Old Style" w:hAnsi="Bookman Old Style"/>
          <w:i/>
          <w:sz w:val="22"/>
        </w:rPr>
      </w:pPr>
      <w:proofErr w:type="spellStart"/>
      <w:proofErr w:type="gramStart"/>
      <w:r>
        <w:rPr>
          <w:rFonts w:ascii="Bookman Old Style" w:hAnsi="Bookman Old Style"/>
          <w:i/>
          <w:sz w:val="22"/>
        </w:rPr>
        <w:t>hd</w:t>
      </w:r>
      <w:proofErr w:type="spellEnd"/>
      <w:proofErr w:type="gramEnd"/>
      <w:r>
        <w:rPr>
          <w:rFonts w:ascii="Bookman Old Style" w:hAnsi="Bookman Old Style"/>
          <w:i/>
          <w:sz w:val="22"/>
        </w:rPr>
        <w:t>:</w:t>
      </w:r>
      <w:r>
        <w:rPr>
          <w:rFonts w:ascii="Bookman Old Style" w:hAnsi="Bookman Old Style"/>
          <w:i/>
          <w:sz w:val="22"/>
        </w:rPr>
        <w:tab/>
        <w:t>horas del día.</w:t>
      </w:r>
    </w:p>
    <w:p w:rsidR="00F26154" w:rsidRDefault="00F26154" w:rsidP="00F26154">
      <w:pPr>
        <w:ind w:left="1701" w:hanging="1134"/>
        <w:jc w:val="both"/>
        <w:rPr>
          <w:rFonts w:ascii="Bookman Old Style" w:hAnsi="Bookman Old Style"/>
          <w:i/>
          <w:sz w:val="22"/>
        </w:rPr>
      </w:pPr>
      <w:proofErr w:type="gramStart"/>
      <w:r>
        <w:rPr>
          <w:rFonts w:ascii="Bookman Old Style" w:hAnsi="Bookman Old Style"/>
          <w:i/>
          <w:sz w:val="22"/>
        </w:rPr>
        <w:t>ρ</w:t>
      </w:r>
      <w:proofErr w:type="gramEnd"/>
      <w:r>
        <w:rPr>
          <w:rFonts w:ascii="Bookman Old Style" w:hAnsi="Bookman Old Style"/>
          <w:i/>
          <w:sz w:val="22"/>
        </w:rPr>
        <w:t>:</w:t>
      </w:r>
      <w:r>
        <w:rPr>
          <w:rFonts w:ascii="Bookman Old Style" w:hAnsi="Bookman Old Style"/>
          <w:i/>
          <w:sz w:val="22"/>
        </w:rPr>
        <w:tab/>
        <w:t>variable que toma un valor de 20% para plantas operando con gas o combustibles líquidos, 30% cuando es carbón u otro combustible diferente a los nombrados específicamente  y 15% cuando es hidráulica. Para plantas con información de operación insuficiente, los valores anteriores se multiplican por 5/12.</w:t>
      </w:r>
    </w:p>
    <w:p w:rsidR="00F26154" w:rsidRDefault="00F26154" w:rsidP="00F26154">
      <w:pPr>
        <w:ind w:left="1701" w:hanging="1134"/>
        <w:jc w:val="both"/>
        <w:rPr>
          <w:rFonts w:ascii="Bookman Old Style" w:hAnsi="Bookman Old Style"/>
          <w:i/>
          <w:sz w:val="22"/>
        </w:rPr>
      </w:pPr>
    </w:p>
    <w:p w:rsidR="00F26154" w:rsidRDefault="00057CBB" w:rsidP="00057CBB">
      <w:pPr>
        <w:jc w:val="both"/>
        <w:rPr>
          <w:rFonts w:ascii="Bookman Old Style" w:hAnsi="Bookman Old Style"/>
          <w:i/>
          <w:sz w:val="22"/>
        </w:rPr>
      </w:pPr>
      <w:r>
        <w:rPr>
          <w:rFonts w:ascii="Bookman Old Style" w:hAnsi="Bookman Old Style"/>
          <w:i/>
          <w:sz w:val="22"/>
        </w:rPr>
        <w:t>El mantenimiento se tendrá por respaldado a partir del momento en que el agente registre ante el ASIC un contrato con un anillo de seguridad que deberá contener la información exigida en la regulación.</w:t>
      </w:r>
    </w:p>
    <w:p w:rsidR="00057CBB" w:rsidRDefault="00057CBB" w:rsidP="00057CBB">
      <w:pPr>
        <w:jc w:val="both"/>
        <w:rPr>
          <w:rFonts w:ascii="Bookman Old Style" w:hAnsi="Bookman Old Style"/>
          <w:i/>
          <w:sz w:val="22"/>
        </w:rPr>
      </w:pPr>
    </w:p>
    <w:p w:rsidR="00057CBB" w:rsidRDefault="00057CBB" w:rsidP="00057CBB">
      <w:pPr>
        <w:jc w:val="both"/>
        <w:rPr>
          <w:rFonts w:ascii="Bookman Old Style" w:hAnsi="Bookman Old Style"/>
          <w:i/>
          <w:sz w:val="22"/>
        </w:rPr>
      </w:pPr>
      <w:r>
        <w:rPr>
          <w:rFonts w:ascii="Bookman Old Style" w:hAnsi="Bookman Old Style"/>
          <w:i/>
          <w:sz w:val="22"/>
        </w:rPr>
        <w:t>Durante el Período de Transición los valores de las variables HI y HD serán calculados por los agentes con los eventos de generación registrados en los sistemas de información del CND.</w:t>
      </w:r>
    </w:p>
    <w:p w:rsidR="00057CBB" w:rsidRDefault="00057CBB" w:rsidP="00057CBB">
      <w:pPr>
        <w:jc w:val="both"/>
        <w:rPr>
          <w:rFonts w:ascii="Bookman Old Style" w:hAnsi="Bookman Old Style"/>
          <w:i/>
          <w:sz w:val="22"/>
        </w:rPr>
      </w:pPr>
    </w:p>
    <w:p w:rsidR="00057CBB" w:rsidRPr="00BA788A" w:rsidRDefault="00057CBB" w:rsidP="00057CBB">
      <w:pPr>
        <w:jc w:val="both"/>
        <w:rPr>
          <w:rFonts w:ascii="Bookman Old Style" w:hAnsi="Bookman Old Style"/>
          <w:i/>
          <w:sz w:val="22"/>
        </w:rPr>
      </w:pPr>
      <w:r>
        <w:rPr>
          <w:rFonts w:ascii="Bookman Old Style" w:hAnsi="Bookman Old Style"/>
          <w:i/>
          <w:sz w:val="22"/>
        </w:rPr>
        <w:t xml:space="preserve">Las variables </w:t>
      </w:r>
      <w:proofErr w:type="spellStart"/>
      <w:r>
        <w:rPr>
          <w:rFonts w:ascii="Bookman Old Style" w:hAnsi="Bookman Old Style"/>
          <w:i/>
          <w:sz w:val="22"/>
        </w:rPr>
        <w:t>Cmtt</w:t>
      </w:r>
      <w:r w:rsidRPr="00280DF2">
        <w:rPr>
          <w:rFonts w:ascii="Bookman Old Style" w:hAnsi="Bookman Old Style"/>
          <w:i/>
          <w:sz w:val="22"/>
          <w:vertAlign w:val="subscript"/>
        </w:rPr>
        <w:t>C</w:t>
      </w:r>
      <w:proofErr w:type="spellEnd"/>
      <w:r>
        <w:rPr>
          <w:rFonts w:ascii="Bookman Old Style" w:hAnsi="Bookman Old Style"/>
          <w:i/>
          <w:sz w:val="22"/>
        </w:rPr>
        <w:t xml:space="preserve"> y </w:t>
      </w:r>
      <w:proofErr w:type="spellStart"/>
      <w:r>
        <w:rPr>
          <w:rFonts w:ascii="Bookman Old Style" w:hAnsi="Bookman Old Style"/>
          <w:i/>
          <w:sz w:val="22"/>
        </w:rPr>
        <w:t>Cmtt</w:t>
      </w:r>
      <w:r w:rsidRPr="00280DF2">
        <w:rPr>
          <w:rFonts w:ascii="Bookman Old Style" w:hAnsi="Bookman Old Style"/>
          <w:i/>
          <w:sz w:val="22"/>
          <w:vertAlign w:val="subscript"/>
        </w:rPr>
        <w:t>P</w:t>
      </w:r>
      <w:proofErr w:type="spellEnd"/>
      <w:r>
        <w:rPr>
          <w:rFonts w:ascii="Bookman Old Style" w:hAnsi="Bookman Old Style"/>
          <w:i/>
          <w:sz w:val="22"/>
        </w:rPr>
        <w:t xml:space="preserve"> se aplican para el cálculo del IHF que consideren información que inicie a partir del 1 de octubre de 2010.”</w:t>
      </w:r>
    </w:p>
    <w:p w:rsidR="00C435C3" w:rsidRDefault="00C435C3" w:rsidP="006B26A4">
      <w:pPr>
        <w:widowControl w:val="0"/>
        <w:adjustRightInd w:val="0"/>
        <w:ind w:left="0"/>
        <w:jc w:val="both"/>
        <w:textAlignment w:val="baseline"/>
        <w:rPr>
          <w:rFonts w:ascii="Bookman Old Style" w:hAnsi="Bookman Old Style"/>
        </w:rPr>
      </w:pPr>
    </w:p>
    <w:p w:rsidR="006E7876" w:rsidRDefault="006E7876" w:rsidP="00C435C3">
      <w:pPr>
        <w:rPr>
          <w:rFonts w:ascii="Bookman Old Style" w:hAnsi="Bookman Old Style"/>
        </w:rPr>
      </w:pPr>
    </w:p>
    <w:p w:rsidR="006E7876" w:rsidRDefault="0052020E" w:rsidP="0052020E">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Pr>
          <w:rFonts w:ascii="Bookman Old Style" w:hAnsi="Bookman Old Style"/>
          <w:b/>
        </w:rPr>
        <w:t>2</w:t>
      </w:r>
      <w:r w:rsidRPr="002A782A">
        <w:rPr>
          <w:rFonts w:ascii="Bookman Old Style" w:hAnsi="Bookman Old Style"/>
          <w:b/>
        </w:rPr>
        <w:t xml:space="preserve">. </w:t>
      </w:r>
      <w:r>
        <w:rPr>
          <w:rFonts w:ascii="Bookman Old Style" w:hAnsi="Bookman Old Style"/>
          <w:b/>
        </w:rPr>
        <w:t>Modificación del numeral 4 del artículo 9 de la Resolución CREG</w:t>
      </w:r>
      <w:r w:rsidR="007E3F66">
        <w:rPr>
          <w:rFonts w:ascii="Bookman Old Style" w:hAnsi="Bookman Old Style"/>
          <w:b/>
        </w:rPr>
        <w:t xml:space="preserve"> </w:t>
      </w:r>
      <w:r>
        <w:rPr>
          <w:rFonts w:ascii="Bookman Old Style" w:hAnsi="Bookman Old Style"/>
          <w:b/>
        </w:rPr>
        <w:t xml:space="preserve">071 de 2006. </w:t>
      </w:r>
      <w:r>
        <w:rPr>
          <w:rFonts w:ascii="Bookman Old Style" w:hAnsi="Bookman Old Style"/>
        </w:rPr>
        <w:t>El numeral 4 del artículo 9 de la Resolución CREG</w:t>
      </w:r>
      <w:r w:rsidR="007E3F66">
        <w:rPr>
          <w:rFonts w:ascii="Bookman Old Style" w:hAnsi="Bookman Old Style"/>
        </w:rPr>
        <w:t xml:space="preserve"> </w:t>
      </w:r>
      <w:r>
        <w:rPr>
          <w:rFonts w:ascii="Bookman Old Style" w:hAnsi="Bookman Old Style"/>
        </w:rPr>
        <w:t>071 de 2006, quedará así:</w:t>
      </w:r>
    </w:p>
    <w:p w:rsidR="0052020E" w:rsidRDefault="0052020E" w:rsidP="0052020E">
      <w:pPr>
        <w:ind w:left="0"/>
        <w:jc w:val="both"/>
        <w:rPr>
          <w:rFonts w:ascii="Bookman Old Style" w:hAnsi="Bookman Old Style"/>
        </w:rPr>
      </w:pPr>
    </w:p>
    <w:p w:rsidR="0052020E" w:rsidRPr="0052020E" w:rsidRDefault="0052020E" w:rsidP="0052020E">
      <w:pPr>
        <w:ind w:left="1418" w:hanging="710"/>
        <w:jc w:val="both"/>
        <w:rPr>
          <w:rFonts w:ascii="Bookman Old Style" w:hAnsi="Bookman Old Style"/>
          <w:i/>
          <w:sz w:val="22"/>
        </w:rPr>
      </w:pPr>
      <w:r>
        <w:rPr>
          <w:rFonts w:ascii="Bookman Old Style" w:hAnsi="Bookman Old Style"/>
          <w:i/>
          <w:sz w:val="22"/>
        </w:rPr>
        <w:t>“4.</w:t>
      </w:r>
      <w:r>
        <w:rPr>
          <w:rFonts w:ascii="Bookman Old Style" w:hAnsi="Bookman Old Style"/>
          <w:i/>
          <w:sz w:val="22"/>
        </w:rPr>
        <w:tab/>
        <w:t xml:space="preserve">Cuando la fecha de puesta en operación de la planta, determinada por el auditor, sea posterior a la fecha de inicio del Período de Vigencia de la Obligación y no constituya incumplimiento grave e insalvable, el agente deberá garantizar el cumplimiento de su Obligación de Energía Firme a través de un </w:t>
      </w:r>
      <w:r w:rsidR="00D60ED6">
        <w:rPr>
          <w:rFonts w:ascii="Bookman Old Style" w:hAnsi="Bookman Old Style"/>
          <w:i/>
          <w:sz w:val="22"/>
        </w:rPr>
        <w:t>contrato con uno o alguno</w:t>
      </w:r>
      <w:r w:rsidR="00634083">
        <w:rPr>
          <w:rFonts w:ascii="Bookman Old Style" w:hAnsi="Bookman Old Style"/>
          <w:i/>
          <w:sz w:val="22"/>
        </w:rPr>
        <w:t>s</w:t>
      </w:r>
      <w:r w:rsidR="00D60ED6">
        <w:rPr>
          <w:rFonts w:ascii="Bookman Old Style" w:hAnsi="Bookman Old Style"/>
          <w:i/>
          <w:sz w:val="22"/>
        </w:rPr>
        <w:t xml:space="preserve"> de los anillos de seguridad, vigente desde la fecha de inicio del Período de Vigencia de la Obligación y hasta la nueva fecha de puesta en operación de la planta. La omisión en la obligación de garantizar la Obligación de Energía Firme a través de un contrato con uno o algunos de los anillos de seguridad dará lugar a que el incumplimiento se considere grave e insalvable con las consecuencias previstas en el numeral 3 de este artículo.”</w:t>
      </w:r>
    </w:p>
    <w:p w:rsidR="0052020E" w:rsidRPr="0065066A" w:rsidRDefault="0052020E" w:rsidP="009702C0">
      <w:pPr>
        <w:ind w:left="0"/>
        <w:jc w:val="both"/>
        <w:rPr>
          <w:rFonts w:ascii="Bookman Old Style" w:hAnsi="Bookman Old Style"/>
          <w:b/>
          <w:sz w:val="36"/>
        </w:rPr>
      </w:pPr>
    </w:p>
    <w:p w:rsidR="00C37330" w:rsidRDefault="00C37330" w:rsidP="00C37330">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Pr>
          <w:rFonts w:ascii="Bookman Old Style" w:hAnsi="Bookman Old Style"/>
          <w:b/>
        </w:rPr>
        <w:t>3</w:t>
      </w:r>
      <w:r w:rsidRPr="002A782A">
        <w:rPr>
          <w:rFonts w:ascii="Bookman Old Style" w:hAnsi="Bookman Old Style"/>
          <w:b/>
        </w:rPr>
        <w:t xml:space="preserve">. </w:t>
      </w:r>
      <w:r>
        <w:rPr>
          <w:rFonts w:ascii="Bookman Old Style" w:hAnsi="Bookman Old Style"/>
          <w:b/>
        </w:rPr>
        <w:t>Modificación del numeral 2 del artículo 13 del Reglamento de Garantías para el Cargo por Confiabilidad adoptado mediante la Resolución CREG</w:t>
      </w:r>
      <w:r w:rsidR="007E3F66">
        <w:rPr>
          <w:rFonts w:ascii="Bookman Old Style" w:hAnsi="Bookman Old Style"/>
          <w:b/>
        </w:rPr>
        <w:t xml:space="preserve"> </w:t>
      </w:r>
      <w:r>
        <w:rPr>
          <w:rFonts w:ascii="Bookman Old Style" w:hAnsi="Bookman Old Style"/>
          <w:b/>
        </w:rPr>
        <w:t xml:space="preserve">061 de 2007. </w:t>
      </w:r>
      <w:r>
        <w:rPr>
          <w:rFonts w:ascii="Bookman Old Style" w:hAnsi="Bookman Old Style"/>
        </w:rPr>
        <w:t>El numeral 2 del artículo 13 del Reglamento de Garantías para el Cargo por Confiabilidad adopt</w:t>
      </w:r>
      <w:r w:rsidR="00E44548">
        <w:rPr>
          <w:rFonts w:ascii="Bookman Old Style" w:hAnsi="Bookman Old Style"/>
        </w:rPr>
        <w:t>ado mediante la Resolución CREG</w:t>
      </w:r>
      <w:r w:rsidR="007E3F66">
        <w:rPr>
          <w:rFonts w:ascii="Bookman Old Style" w:hAnsi="Bookman Old Style"/>
        </w:rPr>
        <w:t xml:space="preserve"> </w:t>
      </w:r>
      <w:r>
        <w:rPr>
          <w:rFonts w:ascii="Bookman Old Style" w:hAnsi="Bookman Old Style"/>
        </w:rPr>
        <w:t>061 de 2007, quedará así:</w:t>
      </w:r>
    </w:p>
    <w:p w:rsidR="0052020E" w:rsidRDefault="0052020E" w:rsidP="009702C0">
      <w:pPr>
        <w:ind w:left="0"/>
        <w:jc w:val="both"/>
        <w:rPr>
          <w:rFonts w:ascii="Bookman Old Style" w:hAnsi="Bookman Old Style"/>
          <w:b/>
        </w:rPr>
      </w:pPr>
    </w:p>
    <w:p w:rsidR="00C37330" w:rsidRPr="00C37330" w:rsidRDefault="00C37330" w:rsidP="00C37330">
      <w:pPr>
        <w:ind w:left="1418" w:hanging="710"/>
        <w:jc w:val="both"/>
        <w:rPr>
          <w:rFonts w:ascii="Bookman Old Style" w:hAnsi="Bookman Old Style"/>
          <w:i/>
          <w:sz w:val="22"/>
        </w:rPr>
      </w:pPr>
      <w:r>
        <w:rPr>
          <w:rFonts w:ascii="Bookman Old Style" w:hAnsi="Bookman Old Style"/>
          <w:i/>
          <w:sz w:val="22"/>
        </w:rPr>
        <w:t>“2.</w:t>
      </w:r>
      <w:r>
        <w:rPr>
          <w:rFonts w:ascii="Bookman Old Style" w:hAnsi="Bookman Old Style"/>
          <w:i/>
          <w:sz w:val="22"/>
        </w:rPr>
        <w:tab/>
        <w:t>Incumplimiento Calificado de Cronograma, que implique que la puesta en operación de la planta o unidad de generación ocurrirá en un plazo inferior a un (1) año, contado a partir del IPVO, y el Agente Generador o la Persona Jurídica Interesada, una vez esté registrada como Agente Generador ante el ASIC, no garanticen el cumplimiento de la Obligación de Energía Firme con un contrato con uno o algunos de los anillos de seguridad. Este</w:t>
      </w:r>
      <w:r w:rsidR="00634083">
        <w:rPr>
          <w:rFonts w:ascii="Bookman Old Style" w:hAnsi="Bookman Old Style"/>
          <w:i/>
          <w:sz w:val="22"/>
        </w:rPr>
        <w:t>(os)</w:t>
      </w:r>
      <w:r>
        <w:rPr>
          <w:rFonts w:ascii="Bookman Old Style" w:hAnsi="Bookman Old Style"/>
          <w:i/>
          <w:sz w:val="22"/>
        </w:rPr>
        <w:t xml:space="preserve"> contrato</w:t>
      </w:r>
      <w:r w:rsidR="00634083">
        <w:rPr>
          <w:rFonts w:ascii="Bookman Old Style" w:hAnsi="Bookman Old Style"/>
          <w:i/>
          <w:sz w:val="22"/>
        </w:rPr>
        <w:t>(s)</w:t>
      </w:r>
      <w:r>
        <w:rPr>
          <w:rFonts w:ascii="Bookman Old Style" w:hAnsi="Bookman Old Style"/>
          <w:i/>
          <w:sz w:val="22"/>
        </w:rPr>
        <w:t xml:space="preserve"> con uno o algunos de los anillos de seguridad deberán estar registrados ante el ASIC a más tardar dentro de los quince (15) días calendario siguientes a la fecha en que el CND reciba el correspondiente informa del auditor y deberá estar vigente desde el IPVO hasta la nueva </w:t>
      </w:r>
      <w:r>
        <w:rPr>
          <w:rFonts w:ascii="Bookman Old Style" w:hAnsi="Bookman Old Style"/>
          <w:i/>
          <w:sz w:val="22"/>
        </w:rPr>
        <w:lastRenderedPageBreak/>
        <w:t>fecha de puesta en operación de la planta o unidad de generación, certificada por el Auditor.”</w:t>
      </w:r>
    </w:p>
    <w:p w:rsidR="00C37330" w:rsidRPr="0065066A" w:rsidRDefault="00C37330" w:rsidP="009702C0">
      <w:pPr>
        <w:ind w:left="0"/>
        <w:jc w:val="both"/>
        <w:rPr>
          <w:rFonts w:ascii="Bookman Old Style" w:hAnsi="Bookman Old Style"/>
          <w:b/>
          <w:sz w:val="32"/>
        </w:rPr>
      </w:pPr>
    </w:p>
    <w:p w:rsidR="00C37330" w:rsidRDefault="006F5218" w:rsidP="009702C0">
      <w:pPr>
        <w:ind w:left="0"/>
        <w:jc w:val="both"/>
        <w:rPr>
          <w:rFonts w:ascii="Bookman Old Style" w:hAnsi="Bookman Old Style"/>
        </w:rPr>
      </w:pPr>
      <w:r w:rsidRPr="00011410">
        <w:rPr>
          <w:rFonts w:ascii="Bookman Old Style" w:hAnsi="Bookman Old Style"/>
          <w:b/>
        </w:rPr>
        <w:t>A</w:t>
      </w:r>
      <w:r w:rsidR="00280DF2" w:rsidRPr="00011410">
        <w:rPr>
          <w:rFonts w:ascii="Bookman Old Style" w:hAnsi="Bookman Old Style"/>
          <w:b/>
        </w:rPr>
        <w:t>RTÍCULO</w:t>
      </w:r>
      <w:r w:rsidRPr="00011410">
        <w:rPr>
          <w:rFonts w:ascii="Bookman Old Style" w:hAnsi="Bookman Old Style"/>
          <w:b/>
        </w:rPr>
        <w:t xml:space="preserve"> 4. Plantas </w:t>
      </w:r>
      <w:r w:rsidR="0083766A" w:rsidRPr="00011410">
        <w:rPr>
          <w:rFonts w:ascii="Bookman Old Style" w:hAnsi="Bookman Old Style"/>
          <w:b/>
        </w:rPr>
        <w:t xml:space="preserve">de </w:t>
      </w:r>
      <w:r w:rsidRPr="00011410">
        <w:rPr>
          <w:rFonts w:ascii="Bookman Old Style" w:hAnsi="Bookman Old Style"/>
          <w:b/>
        </w:rPr>
        <w:t>Generación de Última Instancia.</w:t>
      </w:r>
      <w:r w:rsidRPr="00011410">
        <w:rPr>
          <w:rFonts w:ascii="Bookman Old Style" w:hAnsi="Bookman Old Style"/>
        </w:rPr>
        <w:t xml:space="preserve"> Las plantas </w:t>
      </w:r>
      <w:r w:rsidR="0083766A" w:rsidRPr="00011410">
        <w:rPr>
          <w:rFonts w:ascii="Bookman Old Style" w:hAnsi="Bookman Old Style"/>
        </w:rPr>
        <w:t xml:space="preserve">y/o unidades de </w:t>
      </w:r>
      <w:r w:rsidRPr="00011410">
        <w:rPr>
          <w:rFonts w:ascii="Bookman Old Style" w:hAnsi="Bookman Old Style"/>
        </w:rPr>
        <w:t>Generación de Última Instancia</w:t>
      </w:r>
      <w:r w:rsidR="00772749" w:rsidRPr="00011410">
        <w:rPr>
          <w:rFonts w:ascii="Bookman Old Style" w:hAnsi="Bookman Old Style"/>
        </w:rPr>
        <w:t xml:space="preserve">, en las cuales se exceptúan los </w:t>
      </w:r>
      <w:proofErr w:type="spellStart"/>
      <w:r w:rsidR="00772749" w:rsidRPr="00011410">
        <w:rPr>
          <w:rFonts w:ascii="Bookman Old Style" w:hAnsi="Bookman Old Style"/>
        </w:rPr>
        <w:t>autogeneradores</w:t>
      </w:r>
      <w:proofErr w:type="spellEnd"/>
      <w:r w:rsidR="00634083" w:rsidRPr="00011410">
        <w:rPr>
          <w:rFonts w:ascii="Bookman Old Style" w:hAnsi="Bookman Old Style"/>
        </w:rPr>
        <w:t xml:space="preserve"> y cogeneradores </w:t>
      </w:r>
      <w:r w:rsidR="0014585D" w:rsidRPr="00011410">
        <w:rPr>
          <w:rFonts w:ascii="Bookman Old Style" w:hAnsi="Bookman Old Style"/>
        </w:rPr>
        <w:t>que se encuentran en operación al momento del registro del Anillo de Seguridad</w:t>
      </w:r>
      <w:r w:rsidR="00772749" w:rsidRPr="00011410">
        <w:rPr>
          <w:rFonts w:ascii="Bookman Old Style" w:hAnsi="Bookman Old Style"/>
        </w:rPr>
        <w:t>,</w:t>
      </w:r>
      <w:r w:rsidRPr="00011410">
        <w:rPr>
          <w:rFonts w:ascii="Bookman Old Style" w:hAnsi="Bookman Old Style"/>
        </w:rPr>
        <w:t xml:space="preserve"> pueden ser de dos tipos:</w:t>
      </w:r>
    </w:p>
    <w:p w:rsidR="006F5218" w:rsidRDefault="006F5218" w:rsidP="009702C0">
      <w:pPr>
        <w:ind w:left="0"/>
        <w:jc w:val="both"/>
        <w:rPr>
          <w:rFonts w:ascii="Bookman Old Style" w:hAnsi="Bookman Old Style"/>
        </w:rPr>
      </w:pPr>
    </w:p>
    <w:p w:rsidR="006F5218" w:rsidRPr="00772749" w:rsidRDefault="0083766A" w:rsidP="006F5218">
      <w:pPr>
        <w:pStyle w:val="Prrafodelista"/>
        <w:numPr>
          <w:ilvl w:val="0"/>
          <w:numId w:val="17"/>
        </w:numPr>
        <w:jc w:val="both"/>
        <w:rPr>
          <w:rFonts w:ascii="Bookman Old Style" w:hAnsi="Bookman Old Style"/>
          <w:sz w:val="24"/>
        </w:rPr>
      </w:pPr>
      <w:r w:rsidRPr="00D51F74">
        <w:rPr>
          <w:rFonts w:ascii="Bookman Old Style" w:hAnsi="Bookman Old Style"/>
          <w:sz w:val="24"/>
        </w:rPr>
        <w:t>Construidas</w:t>
      </w:r>
      <w:r>
        <w:rPr>
          <w:rFonts w:ascii="Bookman Old Style" w:hAnsi="Bookman Old Style"/>
          <w:sz w:val="24"/>
        </w:rPr>
        <w:t xml:space="preserve"> que no están conectadas al SIN</w:t>
      </w:r>
      <w:r w:rsidR="00772749">
        <w:rPr>
          <w:rFonts w:ascii="Bookman Old Style" w:hAnsi="Bookman Old Style"/>
          <w:sz w:val="24"/>
        </w:rPr>
        <w:t>.</w:t>
      </w:r>
    </w:p>
    <w:p w:rsidR="0083766A" w:rsidRPr="0083766A" w:rsidRDefault="0083766A" w:rsidP="0083766A">
      <w:pPr>
        <w:ind w:left="360"/>
        <w:jc w:val="both"/>
        <w:rPr>
          <w:rFonts w:ascii="Bookman Old Style" w:hAnsi="Bookman Old Style"/>
        </w:rPr>
      </w:pPr>
    </w:p>
    <w:p w:rsidR="0083766A" w:rsidRDefault="0083766A" w:rsidP="006F5218">
      <w:pPr>
        <w:pStyle w:val="Prrafodelista"/>
        <w:numPr>
          <w:ilvl w:val="0"/>
          <w:numId w:val="17"/>
        </w:numPr>
        <w:jc w:val="both"/>
        <w:rPr>
          <w:rFonts w:ascii="Bookman Old Style" w:hAnsi="Bookman Old Style"/>
          <w:sz w:val="24"/>
        </w:rPr>
      </w:pPr>
      <w:r w:rsidRPr="00D51F74">
        <w:rPr>
          <w:rFonts w:ascii="Bookman Old Style" w:hAnsi="Bookman Old Style"/>
          <w:sz w:val="24"/>
        </w:rPr>
        <w:t>Por construir o instalar</w:t>
      </w:r>
      <w:r w:rsidRPr="0083766A">
        <w:rPr>
          <w:rFonts w:ascii="Bookman Old Style" w:hAnsi="Bookman Old Style"/>
          <w:sz w:val="24"/>
        </w:rPr>
        <w:t>.</w:t>
      </w:r>
      <w:r>
        <w:rPr>
          <w:rFonts w:ascii="Bookman Old Style" w:hAnsi="Bookman Old Style"/>
          <w:sz w:val="24"/>
        </w:rPr>
        <w:t xml:space="preserve"> </w:t>
      </w:r>
    </w:p>
    <w:p w:rsidR="0083766A" w:rsidRPr="00634083" w:rsidRDefault="0083766A" w:rsidP="0083766A">
      <w:pPr>
        <w:ind w:left="0"/>
        <w:jc w:val="both"/>
        <w:rPr>
          <w:rFonts w:ascii="Bookman Old Style" w:hAnsi="Bookman Old Style"/>
          <w:szCs w:val="20"/>
          <w:lang w:val="es-CO"/>
        </w:rPr>
      </w:pPr>
    </w:p>
    <w:p w:rsidR="00E8581F" w:rsidRDefault="00634083" w:rsidP="0083766A">
      <w:pPr>
        <w:ind w:left="0"/>
        <w:jc w:val="both"/>
        <w:rPr>
          <w:rFonts w:ascii="Bookman Old Style" w:hAnsi="Bookman Old Style"/>
          <w:szCs w:val="20"/>
          <w:lang w:val="es-CO"/>
        </w:rPr>
      </w:pPr>
      <w:r>
        <w:rPr>
          <w:rFonts w:ascii="Bookman Old Style" w:hAnsi="Bookman Old Style"/>
          <w:szCs w:val="20"/>
          <w:lang w:val="es-CO"/>
        </w:rPr>
        <w:t xml:space="preserve">Las Plantas de Generación de Última Instancia deberán </w:t>
      </w:r>
      <w:r w:rsidR="00E8581F">
        <w:rPr>
          <w:rFonts w:ascii="Bookman Old Style" w:hAnsi="Bookman Old Style"/>
          <w:szCs w:val="20"/>
          <w:lang w:val="es-CO"/>
        </w:rPr>
        <w:t>cumplir con las siguientes características:</w:t>
      </w:r>
    </w:p>
    <w:p w:rsidR="00FC5EA7" w:rsidRDefault="00FC5EA7" w:rsidP="0083766A">
      <w:pPr>
        <w:ind w:left="0"/>
        <w:jc w:val="both"/>
        <w:rPr>
          <w:rFonts w:ascii="Bookman Old Style" w:hAnsi="Bookman Old Style"/>
          <w:szCs w:val="20"/>
          <w:lang w:val="es-CO"/>
        </w:rPr>
      </w:pPr>
    </w:p>
    <w:p w:rsidR="00E8581F" w:rsidRDefault="00FC5EA7" w:rsidP="00E8581F">
      <w:pPr>
        <w:pStyle w:val="Prrafodelista"/>
        <w:numPr>
          <w:ilvl w:val="0"/>
          <w:numId w:val="20"/>
        </w:numPr>
        <w:jc w:val="both"/>
        <w:rPr>
          <w:rFonts w:ascii="Bookman Old Style" w:hAnsi="Bookman Old Style"/>
          <w:sz w:val="24"/>
        </w:rPr>
      </w:pPr>
      <w:r>
        <w:rPr>
          <w:rFonts w:ascii="Bookman Old Style" w:hAnsi="Bookman Old Style"/>
          <w:sz w:val="24"/>
        </w:rPr>
        <w:t>P</w:t>
      </w:r>
      <w:r w:rsidR="00634083" w:rsidRPr="00E8581F">
        <w:rPr>
          <w:rFonts w:ascii="Bookman Old Style" w:hAnsi="Bookman Old Style"/>
          <w:sz w:val="24"/>
        </w:rPr>
        <w:t xml:space="preserve">lantas </w:t>
      </w:r>
      <w:r>
        <w:rPr>
          <w:rFonts w:ascii="Bookman Old Style" w:hAnsi="Bookman Old Style"/>
          <w:sz w:val="24"/>
        </w:rPr>
        <w:t xml:space="preserve">de generación </w:t>
      </w:r>
      <w:r w:rsidR="00634083" w:rsidRPr="00E8581F">
        <w:rPr>
          <w:rFonts w:ascii="Bookman Old Style" w:hAnsi="Bookman Old Style"/>
          <w:sz w:val="24"/>
        </w:rPr>
        <w:t>despachadas centralmente</w:t>
      </w:r>
      <w:r>
        <w:rPr>
          <w:rFonts w:ascii="Bookman Old Style" w:hAnsi="Bookman Old Style"/>
          <w:sz w:val="24"/>
        </w:rPr>
        <w:t>.</w:t>
      </w:r>
      <w:r w:rsidR="00E8581F" w:rsidRPr="00E8581F">
        <w:rPr>
          <w:rFonts w:ascii="Bookman Old Style" w:hAnsi="Bookman Old Style"/>
          <w:sz w:val="24"/>
        </w:rPr>
        <w:t xml:space="preserve"> </w:t>
      </w:r>
    </w:p>
    <w:p w:rsidR="00E8581F" w:rsidRDefault="00FC5EA7" w:rsidP="00E8581F">
      <w:pPr>
        <w:pStyle w:val="Prrafodelista"/>
        <w:numPr>
          <w:ilvl w:val="0"/>
          <w:numId w:val="20"/>
        </w:numPr>
        <w:jc w:val="both"/>
        <w:rPr>
          <w:rFonts w:ascii="Bookman Old Style" w:hAnsi="Bookman Old Style"/>
          <w:sz w:val="24"/>
        </w:rPr>
      </w:pPr>
      <w:r>
        <w:rPr>
          <w:rFonts w:ascii="Bookman Old Style" w:hAnsi="Bookman Old Style"/>
          <w:sz w:val="24"/>
        </w:rPr>
        <w:t>Los c</w:t>
      </w:r>
      <w:r w:rsidR="00E8581F" w:rsidRPr="00E8581F">
        <w:rPr>
          <w:rFonts w:ascii="Bookman Old Style" w:hAnsi="Bookman Old Style"/>
          <w:sz w:val="24"/>
        </w:rPr>
        <w:t>ostos variables de combustible estimados no podrán ser superiores al Precio de Escasez Parte Combustible</w:t>
      </w:r>
      <w:r w:rsidR="00E8581F">
        <w:rPr>
          <w:rFonts w:ascii="Bookman Old Style" w:hAnsi="Bookman Old Style"/>
          <w:sz w:val="24"/>
        </w:rPr>
        <w:t xml:space="preserve">. Para la verificación de este requisito se aplicará </w:t>
      </w:r>
      <w:r w:rsidR="00E8581F" w:rsidRPr="00E8581F">
        <w:rPr>
          <w:rFonts w:ascii="Bookman Old Style" w:hAnsi="Bookman Old Style"/>
          <w:sz w:val="24"/>
        </w:rPr>
        <w:t xml:space="preserve">lo definido en la Resolución </w:t>
      </w:r>
      <w:r w:rsidR="00E8581F" w:rsidRPr="00280DF2">
        <w:rPr>
          <w:rFonts w:ascii="Bookman Old Style" w:hAnsi="Bookman Old Style"/>
          <w:sz w:val="24"/>
        </w:rPr>
        <w:t>CREG</w:t>
      </w:r>
      <w:r w:rsidR="004C74A4">
        <w:rPr>
          <w:rFonts w:ascii="Bookman Old Style" w:hAnsi="Bookman Old Style"/>
          <w:sz w:val="24"/>
        </w:rPr>
        <w:t xml:space="preserve"> </w:t>
      </w:r>
      <w:r w:rsidR="00B62BFA" w:rsidRPr="00280DF2">
        <w:rPr>
          <w:rFonts w:ascii="Bookman Old Style" w:hAnsi="Bookman Old Style"/>
          <w:sz w:val="24"/>
        </w:rPr>
        <w:t>139</w:t>
      </w:r>
      <w:r w:rsidR="00E8581F" w:rsidRPr="003F60DA">
        <w:rPr>
          <w:rFonts w:ascii="Bookman Old Style" w:hAnsi="Bookman Old Style"/>
          <w:sz w:val="24"/>
        </w:rPr>
        <w:t xml:space="preserve"> de 2011</w:t>
      </w:r>
      <w:r w:rsidRPr="003F60DA">
        <w:rPr>
          <w:rFonts w:ascii="Bookman Old Style" w:hAnsi="Bookman Old Style"/>
          <w:sz w:val="24"/>
        </w:rPr>
        <w:t>.</w:t>
      </w:r>
      <w:r w:rsidR="00B62BFA">
        <w:rPr>
          <w:rFonts w:ascii="Bookman Old Style" w:hAnsi="Bookman Old Style"/>
          <w:sz w:val="24"/>
        </w:rPr>
        <w:t xml:space="preserve"> </w:t>
      </w:r>
    </w:p>
    <w:p w:rsidR="003F60DA" w:rsidRPr="00280DF2" w:rsidRDefault="003F60DA" w:rsidP="00280DF2">
      <w:pPr>
        <w:ind w:left="0"/>
        <w:jc w:val="both"/>
        <w:rPr>
          <w:rFonts w:ascii="Bookman Old Style" w:hAnsi="Bookman Old Style"/>
        </w:rPr>
      </w:pPr>
    </w:p>
    <w:p w:rsidR="00634083" w:rsidRPr="003F60DA" w:rsidRDefault="003F60DA" w:rsidP="00280DF2">
      <w:pPr>
        <w:ind w:left="0"/>
        <w:jc w:val="both"/>
        <w:rPr>
          <w:rFonts w:ascii="Bookman Old Style" w:hAnsi="Bookman Old Style"/>
        </w:rPr>
      </w:pPr>
      <w:r>
        <w:rPr>
          <w:rFonts w:ascii="Bookman Old Style" w:hAnsi="Bookman Old Style"/>
          <w:szCs w:val="20"/>
          <w:lang w:val="es-CO"/>
        </w:rPr>
        <w:t xml:space="preserve">Las Plantas de Generación de Última Instancia </w:t>
      </w:r>
      <w:r>
        <w:rPr>
          <w:rFonts w:ascii="Bookman Old Style" w:hAnsi="Bookman Old Style"/>
        </w:rPr>
        <w:t>t</w:t>
      </w:r>
      <w:r w:rsidR="00634083" w:rsidRPr="003F60DA">
        <w:rPr>
          <w:rFonts w:ascii="Bookman Old Style" w:hAnsi="Bookman Old Style"/>
        </w:rPr>
        <w:t>endrán el tratamiento operativo y comercial dado a cualquier generador</w:t>
      </w:r>
      <w:r w:rsidR="00E8581F" w:rsidRPr="003F60DA">
        <w:rPr>
          <w:rFonts w:ascii="Bookman Old Style" w:hAnsi="Bookman Old Style"/>
        </w:rPr>
        <w:t xml:space="preserve"> dentro del Mercado de Energía Mayorista</w:t>
      </w:r>
      <w:r w:rsidR="00634083" w:rsidRPr="003F60DA">
        <w:rPr>
          <w:rFonts w:ascii="Bookman Old Style" w:hAnsi="Bookman Old Style"/>
        </w:rPr>
        <w:t>.</w:t>
      </w:r>
      <w:r w:rsidR="0033266F" w:rsidRPr="00280DF2">
        <w:rPr>
          <w:rFonts w:ascii="Bookman Old Style" w:hAnsi="Bookman Old Style"/>
        </w:rPr>
        <w:t xml:space="preserve">  </w:t>
      </w:r>
    </w:p>
    <w:p w:rsidR="00634083" w:rsidRPr="003158E6" w:rsidRDefault="00634083" w:rsidP="0083766A">
      <w:pPr>
        <w:ind w:left="0"/>
        <w:jc w:val="both"/>
        <w:rPr>
          <w:rFonts w:ascii="Bookman Old Style" w:hAnsi="Bookman Old Style"/>
          <w:szCs w:val="20"/>
          <w:lang w:val="es-CO"/>
        </w:rPr>
      </w:pPr>
    </w:p>
    <w:p w:rsidR="0083766A" w:rsidRDefault="0083766A" w:rsidP="0083766A">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Pr>
          <w:rFonts w:ascii="Bookman Old Style" w:hAnsi="Bookman Old Style"/>
          <w:b/>
        </w:rPr>
        <w:t>5</w:t>
      </w:r>
      <w:r w:rsidRPr="002A782A">
        <w:rPr>
          <w:rFonts w:ascii="Bookman Old Style" w:hAnsi="Bookman Old Style"/>
          <w:b/>
        </w:rPr>
        <w:t xml:space="preserve">. </w:t>
      </w:r>
      <w:r>
        <w:rPr>
          <w:rFonts w:ascii="Bookman Old Style" w:hAnsi="Bookman Old Style"/>
          <w:b/>
        </w:rPr>
        <w:t>Requisitos para respaldar Obligaciones de Energía Firme con Plantas de Generación de Última Instancia.</w:t>
      </w:r>
      <w:r>
        <w:rPr>
          <w:rFonts w:ascii="Bookman Old Style" w:hAnsi="Bookman Old Style"/>
        </w:rPr>
        <w:t xml:space="preserve"> </w:t>
      </w:r>
      <w:r w:rsidR="001E314B">
        <w:rPr>
          <w:rFonts w:ascii="Bookman Old Style" w:hAnsi="Bookman Old Style"/>
        </w:rPr>
        <w:t>Los requisitos para respaldar Obligaciones de Energía Firme con Plantas de Última Instancia, de acuerdo con el tipo, son:</w:t>
      </w:r>
    </w:p>
    <w:p w:rsidR="001E314B" w:rsidRDefault="001E314B" w:rsidP="0083766A">
      <w:pPr>
        <w:ind w:left="0"/>
        <w:jc w:val="both"/>
        <w:rPr>
          <w:rFonts w:ascii="Bookman Old Style" w:hAnsi="Bookman Old Style"/>
        </w:rPr>
      </w:pPr>
    </w:p>
    <w:p w:rsidR="001E314B" w:rsidRDefault="001E314B" w:rsidP="001E314B">
      <w:pPr>
        <w:pStyle w:val="Prrafodelista"/>
        <w:numPr>
          <w:ilvl w:val="0"/>
          <w:numId w:val="18"/>
        </w:numPr>
        <w:jc w:val="both"/>
        <w:rPr>
          <w:rFonts w:ascii="Bookman Old Style" w:hAnsi="Bookman Old Style"/>
          <w:sz w:val="24"/>
        </w:rPr>
      </w:pPr>
      <w:r w:rsidRPr="001E314B">
        <w:rPr>
          <w:rFonts w:ascii="Bookman Old Style" w:hAnsi="Bookman Old Style"/>
          <w:b/>
          <w:sz w:val="24"/>
        </w:rPr>
        <w:t>Construidas</w:t>
      </w:r>
      <w:r>
        <w:rPr>
          <w:rFonts w:ascii="Bookman Old Style" w:hAnsi="Bookman Old Style"/>
          <w:sz w:val="24"/>
        </w:rPr>
        <w:t xml:space="preserve">. </w:t>
      </w:r>
      <w:r w:rsidR="0045695E">
        <w:rPr>
          <w:rFonts w:ascii="Bookman Old Style" w:hAnsi="Bookman Old Style"/>
          <w:sz w:val="24"/>
        </w:rPr>
        <w:t>D</w:t>
      </w:r>
      <w:r>
        <w:rPr>
          <w:rFonts w:ascii="Bookman Old Style" w:hAnsi="Bookman Old Style"/>
          <w:sz w:val="24"/>
        </w:rPr>
        <w:t>eberán cumplir los siguientes requisitos:</w:t>
      </w:r>
    </w:p>
    <w:p w:rsidR="00696453" w:rsidRPr="00696453" w:rsidRDefault="00696453" w:rsidP="00696453">
      <w:pPr>
        <w:ind w:left="360"/>
        <w:jc w:val="both"/>
        <w:rPr>
          <w:rFonts w:ascii="Bookman Old Style" w:hAnsi="Bookman Old Style"/>
        </w:rPr>
      </w:pPr>
    </w:p>
    <w:p w:rsidR="001E314B" w:rsidRDefault="001E314B" w:rsidP="001E314B">
      <w:pPr>
        <w:pStyle w:val="Prrafodelista"/>
        <w:numPr>
          <w:ilvl w:val="1"/>
          <w:numId w:val="18"/>
        </w:numPr>
        <w:jc w:val="both"/>
        <w:rPr>
          <w:rFonts w:ascii="Bookman Old Style" w:hAnsi="Bookman Old Style"/>
          <w:sz w:val="24"/>
        </w:rPr>
      </w:pPr>
      <w:r>
        <w:rPr>
          <w:rFonts w:ascii="Bookman Old Style" w:hAnsi="Bookman Old Style"/>
          <w:sz w:val="24"/>
        </w:rPr>
        <w:t>Certificar la energía firme de acuerdo con lo definido en el artículo 13 de la Resolución CREG</w:t>
      </w:r>
      <w:r w:rsidR="007E3F66">
        <w:rPr>
          <w:rFonts w:ascii="Bookman Old Style" w:hAnsi="Bookman Old Style"/>
          <w:sz w:val="24"/>
        </w:rPr>
        <w:t xml:space="preserve"> </w:t>
      </w:r>
      <w:r>
        <w:rPr>
          <w:rFonts w:ascii="Bookman Old Style" w:hAnsi="Bookman Old Style"/>
          <w:sz w:val="24"/>
        </w:rPr>
        <w:t>062 de 2007.</w:t>
      </w:r>
      <w:r w:rsidR="00696453">
        <w:rPr>
          <w:rFonts w:ascii="Bookman Old Style" w:hAnsi="Bookman Old Style"/>
          <w:sz w:val="24"/>
        </w:rPr>
        <w:t xml:space="preserve"> Los parámetros que se declaren para certificar la energía firme deberán ser auditados siguiendo lo definido en la </w:t>
      </w:r>
      <w:r w:rsidR="004C74A4">
        <w:rPr>
          <w:rFonts w:ascii="Bookman Old Style" w:hAnsi="Bookman Old Style"/>
          <w:sz w:val="24"/>
        </w:rPr>
        <w:t>resolución mencionada</w:t>
      </w:r>
      <w:r w:rsidR="00696453" w:rsidRPr="004C74A4">
        <w:rPr>
          <w:rFonts w:ascii="Bookman Old Style" w:hAnsi="Bookman Old Style"/>
          <w:sz w:val="24"/>
        </w:rPr>
        <w:t>.</w:t>
      </w:r>
      <w:r w:rsidR="0045695E" w:rsidRPr="004C74A4">
        <w:rPr>
          <w:rFonts w:ascii="Bookman Old Style" w:hAnsi="Bookman Old Style"/>
          <w:sz w:val="24"/>
        </w:rPr>
        <w:t xml:space="preserve"> </w:t>
      </w:r>
    </w:p>
    <w:p w:rsidR="00696453" w:rsidRPr="00696453" w:rsidRDefault="00696453" w:rsidP="00696453">
      <w:pPr>
        <w:ind w:left="1080"/>
        <w:jc w:val="both"/>
        <w:rPr>
          <w:rFonts w:ascii="Bookman Old Style" w:hAnsi="Bookman Old Style"/>
          <w:lang w:val="es-CO"/>
        </w:rPr>
      </w:pPr>
    </w:p>
    <w:p w:rsidR="001E314B" w:rsidRDefault="001E314B" w:rsidP="001E314B">
      <w:pPr>
        <w:pStyle w:val="Prrafodelista"/>
        <w:numPr>
          <w:ilvl w:val="1"/>
          <w:numId w:val="18"/>
        </w:numPr>
        <w:jc w:val="both"/>
        <w:rPr>
          <w:rFonts w:ascii="Bookman Old Style" w:hAnsi="Bookman Old Style"/>
          <w:sz w:val="24"/>
        </w:rPr>
      </w:pPr>
      <w:r>
        <w:rPr>
          <w:rFonts w:ascii="Bookman Old Style" w:hAnsi="Bookman Old Style"/>
          <w:sz w:val="24"/>
        </w:rPr>
        <w:t>Registrar la planta de generación ante el CND y el ASIC de conformidad con la regulación.</w:t>
      </w:r>
    </w:p>
    <w:p w:rsidR="00175624" w:rsidRPr="00175624" w:rsidRDefault="00175624" w:rsidP="00175624">
      <w:pPr>
        <w:pStyle w:val="Prrafodelista"/>
        <w:rPr>
          <w:rFonts w:ascii="Bookman Old Style" w:hAnsi="Bookman Old Style"/>
          <w:sz w:val="24"/>
        </w:rPr>
      </w:pPr>
    </w:p>
    <w:p w:rsidR="00175624" w:rsidRDefault="00175624" w:rsidP="001E314B">
      <w:pPr>
        <w:pStyle w:val="Prrafodelista"/>
        <w:numPr>
          <w:ilvl w:val="1"/>
          <w:numId w:val="18"/>
        </w:numPr>
        <w:jc w:val="both"/>
        <w:rPr>
          <w:rFonts w:ascii="Bookman Old Style" w:hAnsi="Bookman Old Style"/>
          <w:sz w:val="24"/>
        </w:rPr>
      </w:pPr>
      <w:r>
        <w:rPr>
          <w:rFonts w:ascii="Bookman Old Style" w:hAnsi="Bookman Old Style"/>
          <w:sz w:val="24"/>
        </w:rPr>
        <w:t xml:space="preserve">Realizar </w:t>
      </w:r>
      <w:r w:rsidR="00F17781">
        <w:rPr>
          <w:rFonts w:ascii="Bookman Old Style" w:hAnsi="Bookman Old Style"/>
          <w:sz w:val="24"/>
        </w:rPr>
        <w:t xml:space="preserve">la solicitud de la </w:t>
      </w:r>
      <w:r>
        <w:rPr>
          <w:rFonts w:ascii="Bookman Old Style" w:hAnsi="Bookman Old Style"/>
          <w:sz w:val="24"/>
        </w:rPr>
        <w:t xml:space="preserve">conexión al SIN cumpliendo los requisitos establecidos </w:t>
      </w:r>
      <w:r w:rsidR="00F17781">
        <w:rPr>
          <w:rFonts w:ascii="Bookman Old Style" w:hAnsi="Bookman Old Style"/>
          <w:sz w:val="24"/>
        </w:rPr>
        <w:t xml:space="preserve">en la </w:t>
      </w:r>
      <w:r>
        <w:rPr>
          <w:rFonts w:ascii="Bookman Old Style" w:hAnsi="Bookman Old Style"/>
          <w:sz w:val="24"/>
        </w:rPr>
        <w:t xml:space="preserve">regulación. </w:t>
      </w:r>
    </w:p>
    <w:p w:rsidR="001E314B" w:rsidRPr="001E314B" w:rsidRDefault="001E314B" w:rsidP="001E314B">
      <w:pPr>
        <w:ind w:left="1080"/>
        <w:jc w:val="both"/>
        <w:rPr>
          <w:rFonts w:ascii="Bookman Old Style" w:hAnsi="Bookman Old Style"/>
        </w:rPr>
      </w:pPr>
    </w:p>
    <w:p w:rsidR="001E314B" w:rsidRDefault="001E314B" w:rsidP="001E314B">
      <w:pPr>
        <w:pStyle w:val="Prrafodelista"/>
        <w:numPr>
          <w:ilvl w:val="0"/>
          <w:numId w:val="18"/>
        </w:numPr>
        <w:jc w:val="both"/>
        <w:rPr>
          <w:rFonts w:ascii="Bookman Old Style" w:hAnsi="Bookman Old Style"/>
          <w:sz w:val="24"/>
        </w:rPr>
      </w:pPr>
      <w:r w:rsidRPr="001E314B">
        <w:rPr>
          <w:rFonts w:ascii="Bookman Old Style" w:hAnsi="Bookman Old Style"/>
          <w:b/>
          <w:sz w:val="24"/>
        </w:rPr>
        <w:t>Por construir o instalar</w:t>
      </w:r>
      <w:r>
        <w:rPr>
          <w:rFonts w:ascii="Bookman Old Style" w:hAnsi="Bookman Old Style"/>
          <w:sz w:val="24"/>
        </w:rPr>
        <w:t xml:space="preserve">.  </w:t>
      </w:r>
      <w:r w:rsidR="0045695E">
        <w:rPr>
          <w:rFonts w:ascii="Bookman Old Style" w:hAnsi="Bookman Old Style"/>
          <w:sz w:val="24"/>
        </w:rPr>
        <w:t>D</w:t>
      </w:r>
      <w:r>
        <w:rPr>
          <w:rFonts w:ascii="Bookman Old Style" w:hAnsi="Bookman Old Style"/>
          <w:sz w:val="24"/>
        </w:rPr>
        <w:t>eberán cumplir los siguientes requisitos:</w:t>
      </w:r>
    </w:p>
    <w:p w:rsidR="00696453" w:rsidRPr="00696453" w:rsidRDefault="00696453" w:rsidP="00696453">
      <w:pPr>
        <w:ind w:left="360"/>
        <w:jc w:val="both"/>
        <w:rPr>
          <w:rFonts w:ascii="Bookman Old Style" w:hAnsi="Bookman Old Style"/>
        </w:rPr>
      </w:pPr>
    </w:p>
    <w:p w:rsidR="001E314B" w:rsidRDefault="001E314B" w:rsidP="001E314B">
      <w:pPr>
        <w:pStyle w:val="Prrafodelista"/>
        <w:numPr>
          <w:ilvl w:val="1"/>
          <w:numId w:val="18"/>
        </w:numPr>
        <w:jc w:val="both"/>
        <w:rPr>
          <w:rFonts w:ascii="Bookman Old Style" w:hAnsi="Bookman Old Style"/>
          <w:sz w:val="24"/>
        </w:rPr>
      </w:pPr>
      <w:r w:rsidRPr="001E314B">
        <w:rPr>
          <w:rFonts w:ascii="Bookman Old Style" w:hAnsi="Bookman Old Style"/>
          <w:sz w:val="24"/>
        </w:rPr>
        <w:t xml:space="preserve">Entregar </w:t>
      </w:r>
      <w:r w:rsidR="00D5182D">
        <w:rPr>
          <w:rFonts w:ascii="Bookman Old Style" w:hAnsi="Bookman Old Style"/>
          <w:sz w:val="24"/>
        </w:rPr>
        <w:t xml:space="preserve">al ASIC </w:t>
      </w:r>
      <w:r>
        <w:rPr>
          <w:rFonts w:ascii="Bookman Old Style" w:hAnsi="Bookman Old Style"/>
          <w:sz w:val="24"/>
        </w:rPr>
        <w:t xml:space="preserve">garantía de construcción de acuerdo con lo definido en la Capítulo 4 del Reglamento de Garantía del Cargo por Confiabilidad. La fecha de entrada </w:t>
      </w:r>
      <w:r w:rsidR="00D5182D">
        <w:rPr>
          <w:rFonts w:ascii="Bookman Old Style" w:hAnsi="Bookman Old Style"/>
          <w:sz w:val="24"/>
        </w:rPr>
        <w:t xml:space="preserve">del Generador de Última Instancia deberá ser </w:t>
      </w:r>
      <w:r w:rsidR="00687A35">
        <w:rPr>
          <w:rFonts w:ascii="Bookman Old Style" w:hAnsi="Bookman Old Style"/>
          <w:sz w:val="24"/>
        </w:rPr>
        <w:t>anterior</w:t>
      </w:r>
      <w:r w:rsidR="00D5182D">
        <w:rPr>
          <w:rFonts w:ascii="Bookman Old Style" w:hAnsi="Bookman Old Style"/>
          <w:sz w:val="24"/>
        </w:rPr>
        <w:t xml:space="preserve"> al Inicio del Período de Vigencia de la Planta que se está respaldando.</w:t>
      </w:r>
    </w:p>
    <w:p w:rsidR="00D5182D" w:rsidRDefault="00D5182D" w:rsidP="00D5182D">
      <w:pPr>
        <w:jc w:val="both"/>
        <w:rPr>
          <w:rFonts w:ascii="Bookman Old Style" w:hAnsi="Bookman Old Style"/>
        </w:rPr>
      </w:pPr>
    </w:p>
    <w:p w:rsidR="00D5182D" w:rsidRDefault="00D5182D" w:rsidP="00D5182D">
      <w:pPr>
        <w:ind w:left="1416"/>
        <w:jc w:val="both"/>
        <w:rPr>
          <w:rFonts w:ascii="Bookman Old Style" w:hAnsi="Bookman Old Style"/>
        </w:rPr>
      </w:pPr>
      <w:r>
        <w:rPr>
          <w:rFonts w:ascii="Bookman Old Style" w:hAnsi="Bookman Old Style"/>
        </w:rPr>
        <w:lastRenderedPageBreak/>
        <w:t>El proceso de auditoría de construcción se hará siguiendo lo definido en la Resolución CREG</w:t>
      </w:r>
      <w:r w:rsidR="007E3F66">
        <w:rPr>
          <w:rFonts w:ascii="Bookman Old Style" w:hAnsi="Bookman Old Style"/>
        </w:rPr>
        <w:t xml:space="preserve"> </w:t>
      </w:r>
      <w:r>
        <w:rPr>
          <w:rFonts w:ascii="Bookman Old Style" w:hAnsi="Bookman Old Style"/>
        </w:rPr>
        <w:t>061 de 2007.</w:t>
      </w:r>
    </w:p>
    <w:p w:rsidR="00D5182D" w:rsidRDefault="00D5182D" w:rsidP="00D5182D">
      <w:pPr>
        <w:ind w:left="708"/>
        <w:jc w:val="both"/>
        <w:rPr>
          <w:rFonts w:ascii="Bookman Old Style" w:hAnsi="Bookman Old Style"/>
        </w:rPr>
      </w:pPr>
    </w:p>
    <w:p w:rsidR="00D5182D" w:rsidRDefault="00D5182D" w:rsidP="00D5182D">
      <w:pPr>
        <w:pStyle w:val="Prrafodelista"/>
        <w:numPr>
          <w:ilvl w:val="1"/>
          <w:numId w:val="18"/>
        </w:numPr>
        <w:jc w:val="both"/>
        <w:rPr>
          <w:rFonts w:ascii="Bookman Old Style" w:hAnsi="Bookman Old Style"/>
          <w:sz w:val="24"/>
        </w:rPr>
      </w:pPr>
      <w:r>
        <w:rPr>
          <w:rFonts w:ascii="Bookman Old Style" w:hAnsi="Bookman Old Style"/>
          <w:sz w:val="24"/>
        </w:rPr>
        <w:t xml:space="preserve">Una vez la planta de Generación de Última Instancia esté disponible para operar, se deberá seguir lo definido en el </w:t>
      </w:r>
      <w:r w:rsidR="00BD03AA">
        <w:rPr>
          <w:rFonts w:ascii="Bookman Old Style" w:hAnsi="Bookman Old Style"/>
          <w:sz w:val="24"/>
        </w:rPr>
        <w:t xml:space="preserve">literal </w:t>
      </w:r>
      <w:r>
        <w:rPr>
          <w:rFonts w:ascii="Bookman Old Style" w:hAnsi="Bookman Old Style"/>
          <w:sz w:val="24"/>
        </w:rPr>
        <w:t>a. del presente artículo para plantas construidas.</w:t>
      </w:r>
    </w:p>
    <w:p w:rsidR="00D5182D" w:rsidRPr="00E44548" w:rsidRDefault="00D5182D" w:rsidP="00D5182D">
      <w:pPr>
        <w:ind w:left="0"/>
        <w:jc w:val="both"/>
        <w:rPr>
          <w:rFonts w:ascii="Bookman Old Style" w:hAnsi="Bookman Old Style"/>
          <w:sz w:val="28"/>
        </w:rPr>
      </w:pPr>
    </w:p>
    <w:p w:rsidR="00D5182D" w:rsidRDefault="00696453" w:rsidP="00D5182D">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sidR="00F141E4">
        <w:rPr>
          <w:rFonts w:ascii="Bookman Old Style" w:hAnsi="Bookman Old Style"/>
          <w:b/>
        </w:rPr>
        <w:t>6</w:t>
      </w:r>
      <w:r w:rsidRPr="002A782A">
        <w:rPr>
          <w:rFonts w:ascii="Bookman Old Style" w:hAnsi="Bookman Old Style"/>
          <w:b/>
        </w:rPr>
        <w:t xml:space="preserve">. </w:t>
      </w:r>
      <w:r>
        <w:rPr>
          <w:rFonts w:ascii="Bookman Old Style" w:hAnsi="Bookman Old Style"/>
          <w:b/>
        </w:rPr>
        <w:t>Procedimiento para la utilización del respaldo de Obligaciones de Energía Firme con Plantas de Generación de Última Instancia.</w:t>
      </w:r>
      <w:r>
        <w:rPr>
          <w:rFonts w:ascii="Bookman Old Style" w:hAnsi="Bookman Old Style"/>
        </w:rPr>
        <w:t xml:space="preserve"> El procedimiento para la utilización del respaldo de Obligaciones de Energía Firme con Plantas de Generación de Última Instancia será el siguiente:</w:t>
      </w:r>
    </w:p>
    <w:p w:rsidR="00696453" w:rsidRDefault="00696453" w:rsidP="00D5182D">
      <w:pPr>
        <w:ind w:left="0"/>
        <w:jc w:val="both"/>
        <w:rPr>
          <w:rFonts w:ascii="Bookman Old Style" w:hAnsi="Bookman Old Style"/>
        </w:rPr>
      </w:pPr>
    </w:p>
    <w:p w:rsidR="00E24173" w:rsidRDefault="00E24173" w:rsidP="00E731E3">
      <w:pPr>
        <w:pStyle w:val="Prrafodelista"/>
        <w:numPr>
          <w:ilvl w:val="0"/>
          <w:numId w:val="19"/>
        </w:numPr>
        <w:jc w:val="both"/>
        <w:rPr>
          <w:rFonts w:ascii="Bookman Old Style" w:hAnsi="Bookman Old Style"/>
          <w:sz w:val="24"/>
        </w:rPr>
      </w:pPr>
      <w:r>
        <w:rPr>
          <w:rFonts w:ascii="Bookman Old Style" w:hAnsi="Bookman Old Style"/>
          <w:sz w:val="24"/>
        </w:rPr>
        <w:t>Una vez cumplido los requisitos del artículo 5 de la presente resolución, la energía firme se negociará en el mercado secundario conforme a las disposiciones definidas en la Resolución CREG 071 de 2006.</w:t>
      </w:r>
    </w:p>
    <w:p w:rsidR="00AA52B6" w:rsidRPr="00280DF2" w:rsidRDefault="00AA52B6" w:rsidP="00E731E3">
      <w:pPr>
        <w:pStyle w:val="Prrafodelista"/>
        <w:jc w:val="both"/>
        <w:rPr>
          <w:rFonts w:ascii="Bookman Old Style" w:hAnsi="Bookman Old Style"/>
          <w:sz w:val="24"/>
        </w:rPr>
      </w:pPr>
    </w:p>
    <w:p w:rsidR="00696453" w:rsidRPr="00AA52B6" w:rsidRDefault="00AA52B6" w:rsidP="00E731E3">
      <w:pPr>
        <w:pStyle w:val="Prrafodelista"/>
        <w:numPr>
          <w:ilvl w:val="0"/>
          <w:numId w:val="19"/>
        </w:numPr>
        <w:ind w:left="709" w:hanging="283"/>
        <w:jc w:val="both"/>
        <w:rPr>
          <w:rFonts w:ascii="Bookman Old Style" w:hAnsi="Bookman Old Style"/>
          <w:sz w:val="24"/>
        </w:rPr>
      </w:pPr>
      <w:r>
        <w:rPr>
          <w:rFonts w:ascii="Bookman Old Style" w:hAnsi="Bookman Old Style"/>
          <w:sz w:val="24"/>
        </w:rPr>
        <w:t xml:space="preserve">Ante </w:t>
      </w:r>
      <w:r w:rsidR="00AF556D" w:rsidRPr="00AA52B6">
        <w:rPr>
          <w:rFonts w:ascii="Bookman Old Style" w:hAnsi="Bookman Old Style"/>
          <w:sz w:val="24"/>
        </w:rPr>
        <w:t>eventos de incumplimiento grave e insalvable del cronograma de construcción,</w:t>
      </w:r>
      <w:r w:rsidR="00ED022D" w:rsidRPr="00AA52B6">
        <w:rPr>
          <w:rFonts w:ascii="Bookman Old Style" w:hAnsi="Bookman Old Style"/>
          <w:sz w:val="24"/>
        </w:rPr>
        <w:t xml:space="preserve"> en donde se respalde las Obligaciones de Energía Firme con Planta de Generación de Última Instancia,</w:t>
      </w:r>
      <w:r w:rsidR="00AF556D" w:rsidRPr="00AA52B6">
        <w:rPr>
          <w:rFonts w:ascii="Bookman Old Style" w:hAnsi="Bookman Old Style"/>
          <w:sz w:val="24"/>
        </w:rPr>
        <w:t xml:space="preserve"> </w:t>
      </w:r>
      <w:r>
        <w:rPr>
          <w:rFonts w:ascii="Bookman Old Style" w:hAnsi="Bookman Old Style"/>
          <w:sz w:val="24"/>
        </w:rPr>
        <w:t xml:space="preserve">y se aplicarán las disposiciones de la Resolución CREG </w:t>
      </w:r>
      <w:r w:rsidRPr="00AA52B6">
        <w:rPr>
          <w:rFonts w:ascii="Bookman Old Style" w:hAnsi="Bookman Old Style"/>
          <w:sz w:val="24"/>
        </w:rPr>
        <w:t>061 de 2007</w:t>
      </w:r>
      <w:r>
        <w:rPr>
          <w:rFonts w:ascii="Bookman Old Style" w:hAnsi="Bookman Old Style"/>
          <w:sz w:val="24"/>
        </w:rPr>
        <w:t xml:space="preserve"> y demás normas que la modifiquen o sustituyan</w:t>
      </w:r>
      <w:r w:rsidR="00AF556D" w:rsidRPr="00AA52B6">
        <w:rPr>
          <w:rFonts w:ascii="Bookman Old Style" w:hAnsi="Bookman Old Style"/>
          <w:sz w:val="24"/>
        </w:rPr>
        <w:t>.</w:t>
      </w:r>
      <w:r w:rsidR="00696453" w:rsidRPr="00AA52B6">
        <w:rPr>
          <w:rFonts w:ascii="Bookman Old Style" w:hAnsi="Bookman Old Style"/>
          <w:sz w:val="24"/>
        </w:rPr>
        <w:t xml:space="preserve"> </w:t>
      </w:r>
    </w:p>
    <w:p w:rsidR="00696453" w:rsidRPr="00E44548" w:rsidRDefault="00696453" w:rsidP="00E731E3">
      <w:pPr>
        <w:ind w:left="0"/>
        <w:jc w:val="both"/>
        <w:rPr>
          <w:rFonts w:ascii="Bookman Old Style" w:hAnsi="Bookman Old Style"/>
        </w:rPr>
      </w:pPr>
    </w:p>
    <w:p w:rsidR="00C37330" w:rsidRDefault="00F141E4" w:rsidP="009702C0">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Pr>
          <w:rFonts w:ascii="Bookman Old Style" w:hAnsi="Bookman Old Style"/>
          <w:b/>
        </w:rPr>
        <w:t>7</w:t>
      </w:r>
      <w:r w:rsidRPr="002A782A">
        <w:rPr>
          <w:rFonts w:ascii="Bookman Old Style" w:hAnsi="Bookman Old Style"/>
          <w:b/>
        </w:rPr>
        <w:t xml:space="preserve">. </w:t>
      </w:r>
      <w:r>
        <w:rPr>
          <w:rFonts w:ascii="Bookman Old Style" w:hAnsi="Bookman Old Style"/>
          <w:b/>
        </w:rPr>
        <w:t>Modificación de</w:t>
      </w:r>
      <w:r w:rsidR="00772749">
        <w:rPr>
          <w:rFonts w:ascii="Bookman Old Style" w:hAnsi="Bookman Old Style"/>
          <w:b/>
        </w:rPr>
        <w:t xml:space="preserve">l </w:t>
      </w:r>
      <w:r>
        <w:rPr>
          <w:rFonts w:ascii="Bookman Old Style" w:hAnsi="Bookman Old Style"/>
          <w:b/>
        </w:rPr>
        <w:t>numeral 1.1</w:t>
      </w:r>
      <w:r w:rsidR="00772749">
        <w:rPr>
          <w:rFonts w:ascii="Bookman Old Style" w:hAnsi="Bookman Old Style"/>
          <w:b/>
        </w:rPr>
        <w:t xml:space="preserve"> </w:t>
      </w:r>
      <w:r>
        <w:rPr>
          <w:rFonts w:ascii="Bookman Old Style" w:hAnsi="Bookman Old Style"/>
          <w:b/>
        </w:rPr>
        <w:t>del anexo 1 de la Resolución CREG</w:t>
      </w:r>
      <w:r w:rsidR="00E44548">
        <w:rPr>
          <w:rFonts w:ascii="Bookman Old Style" w:hAnsi="Bookman Old Style"/>
          <w:b/>
        </w:rPr>
        <w:t xml:space="preserve"> </w:t>
      </w:r>
      <w:r>
        <w:rPr>
          <w:rFonts w:ascii="Bookman Old Style" w:hAnsi="Bookman Old Style"/>
          <w:b/>
        </w:rPr>
        <w:t>062 de 2007.</w:t>
      </w:r>
      <w:r>
        <w:rPr>
          <w:rFonts w:ascii="Bookman Old Style" w:hAnsi="Bookman Old Style"/>
        </w:rPr>
        <w:t xml:space="preserve"> </w:t>
      </w:r>
      <w:r w:rsidR="00772749">
        <w:rPr>
          <w:rFonts w:ascii="Bookman Old Style" w:hAnsi="Bookman Old Style"/>
        </w:rPr>
        <w:t xml:space="preserve">El </w:t>
      </w:r>
      <w:r>
        <w:rPr>
          <w:rFonts w:ascii="Bookman Old Style" w:hAnsi="Bookman Old Style"/>
        </w:rPr>
        <w:t>numeral</w:t>
      </w:r>
      <w:r w:rsidR="00772749">
        <w:rPr>
          <w:rFonts w:ascii="Bookman Old Style" w:hAnsi="Bookman Old Style"/>
        </w:rPr>
        <w:t xml:space="preserve"> </w:t>
      </w:r>
      <w:r w:rsidR="00716E92">
        <w:rPr>
          <w:rFonts w:ascii="Bookman Old Style" w:hAnsi="Bookman Old Style"/>
        </w:rPr>
        <w:t>1.1</w:t>
      </w:r>
      <w:r w:rsidR="00772749">
        <w:rPr>
          <w:rFonts w:ascii="Bookman Old Style" w:hAnsi="Bookman Old Style"/>
        </w:rPr>
        <w:t xml:space="preserve"> </w:t>
      </w:r>
      <w:r w:rsidR="00716E92">
        <w:rPr>
          <w:rFonts w:ascii="Bookman Old Style" w:hAnsi="Bookman Old Style"/>
        </w:rPr>
        <w:t>del anexo 1 de la Resolución CREG</w:t>
      </w:r>
      <w:r w:rsidR="00E44548">
        <w:rPr>
          <w:rFonts w:ascii="Bookman Old Style" w:hAnsi="Bookman Old Style"/>
        </w:rPr>
        <w:t xml:space="preserve"> </w:t>
      </w:r>
      <w:r w:rsidR="00716E92">
        <w:rPr>
          <w:rFonts w:ascii="Bookman Old Style" w:hAnsi="Bookman Old Style"/>
        </w:rPr>
        <w:t>062 de 2007, quedará así:</w:t>
      </w:r>
      <w:r w:rsidR="006A075A">
        <w:rPr>
          <w:rFonts w:ascii="Bookman Old Style" w:hAnsi="Bookman Old Style"/>
        </w:rPr>
        <w:t xml:space="preserve">  </w:t>
      </w:r>
    </w:p>
    <w:p w:rsidR="00716E92" w:rsidRDefault="00716E92" w:rsidP="009702C0">
      <w:pPr>
        <w:ind w:left="0"/>
        <w:jc w:val="both"/>
        <w:rPr>
          <w:rFonts w:ascii="Bookman Old Style" w:hAnsi="Bookman Old Style"/>
        </w:rPr>
      </w:pPr>
    </w:p>
    <w:p w:rsidR="00716E92" w:rsidRDefault="00716E92" w:rsidP="00716E92">
      <w:pPr>
        <w:ind w:left="708"/>
        <w:jc w:val="both"/>
        <w:rPr>
          <w:rFonts w:ascii="Bookman Old Style" w:hAnsi="Bookman Old Style"/>
          <w:i/>
          <w:sz w:val="22"/>
        </w:rPr>
      </w:pPr>
      <w:r>
        <w:rPr>
          <w:rFonts w:ascii="Bookman Old Style" w:hAnsi="Bookman Old Style"/>
          <w:i/>
          <w:sz w:val="22"/>
        </w:rPr>
        <w:t>“1.1 Índice de Indisponibilidad Histórica de Salidas Forzadas</w:t>
      </w:r>
      <w:r w:rsidR="006962CE">
        <w:rPr>
          <w:rFonts w:ascii="Bookman Old Style" w:hAnsi="Bookman Old Style"/>
          <w:i/>
          <w:sz w:val="22"/>
        </w:rPr>
        <w:t>,</w:t>
      </w:r>
      <w:r>
        <w:rPr>
          <w:rFonts w:ascii="Bookman Old Style" w:hAnsi="Bookman Old Style"/>
          <w:i/>
          <w:sz w:val="22"/>
        </w:rPr>
        <w:t xml:space="preserve"> IHF</w:t>
      </w:r>
    </w:p>
    <w:p w:rsidR="00716E92" w:rsidRDefault="00716E92" w:rsidP="00716E92">
      <w:pPr>
        <w:ind w:left="708"/>
        <w:jc w:val="both"/>
        <w:rPr>
          <w:rFonts w:ascii="Bookman Old Style" w:hAnsi="Bookman Old Style"/>
          <w:i/>
          <w:sz w:val="22"/>
        </w:rPr>
      </w:pPr>
    </w:p>
    <w:p w:rsidR="00716E92" w:rsidRDefault="00716E92" w:rsidP="00716E92">
      <w:pPr>
        <w:ind w:left="708"/>
        <w:jc w:val="both"/>
        <w:rPr>
          <w:rFonts w:ascii="Bookman Old Style" w:hAnsi="Bookman Old Style"/>
          <w:i/>
          <w:sz w:val="22"/>
        </w:rPr>
      </w:pPr>
      <w:r>
        <w:rPr>
          <w:rFonts w:ascii="Bookman Old Style" w:hAnsi="Bookman Old Style"/>
          <w:i/>
          <w:sz w:val="22"/>
        </w:rPr>
        <w:t xml:space="preserve">Se </w:t>
      </w:r>
      <w:r w:rsidR="00772749">
        <w:rPr>
          <w:rFonts w:ascii="Bookman Old Style" w:hAnsi="Bookman Old Style"/>
          <w:i/>
          <w:sz w:val="22"/>
        </w:rPr>
        <w:t xml:space="preserve">estimará de acuerdo con lo </w:t>
      </w:r>
      <w:r>
        <w:rPr>
          <w:rFonts w:ascii="Bookman Old Style" w:hAnsi="Bookman Old Style"/>
          <w:i/>
          <w:sz w:val="22"/>
        </w:rPr>
        <w:t xml:space="preserve">definido en el </w:t>
      </w:r>
      <w:r w:rsidR="00772749">
        <w:rPr>
          <w:rFonts w:ascii="Bookman Old Style" w:hAnsi="Bookman Old Style"/>
          <w:i/>
          <w:sz w:val="22"/>
        </w:rPr>
        <w:t>numeral 3.2.1 del anexo 3 de la Resolución CREG</w:t>
      </w:r>
      <w:r w:rsidR="00D8329B">
        <w:rPr>
          <w:rFonts w:ascii="Bookman Old Style" w:hAnsi="Bookman Old Style"/>
          <w:i/>
          <w:sz w:val="22"/>
        </w:rPr>
        <w:t xml:space="preserve"> </w:t>
      </w:r>
      <w:r w:rsidR="00772749">
        <w:rPr>
          <w:rFonts w:ascii="Bookman Old Style" w:hAnsi="Bookman Old Style"/>
          <w:i/>
          <w:sz w:val="22"/>
        </w:rPr>
        <w:t>071 de 2006.”</w:t>
      </w:r>
      <w:r w:rsidR="006A075A">
        <w:rPr>
          <w:rFonts w:ascii="Bookman Old Style" w:hAnsi="Bookman Old Style"/>
          <w:i/>
          <w:sz w:val="22"/>
        </w:rPr>
        <w:t xml:space="preserve"> </w:t>
      </w:r>
    </w:p>
    <w:p w:rsidR="00F141E4" w:rsidRDefault="00F141E4" w:rsidP="009702C0">
      <w:pPr>
        <w:ind w:left="0"/>
        <w:jc w:val="both"/>
        <w:rPr>
          <w:rFonts w:ascii="Bookman Old Style" w:hAnsi="Bookman Old Style"/>
          <w:b/>
        </w:rPr>
      </w:pPr>
    </w:p>
    <w:p w:rsidR="006E7876" w:rsidRDefault="009702C0" w:rsidP="009702C0">
      <w:pPr>
        <w:ind w:left="0"/>
        <w:jc w:val="both"/>
        <w:rPr>
          <w:rFonts w:ascii="Bookman Old Style" w:hAnsi="Bookman Old Style"/>
        </w:rPr>
      </w:pPr>
      <w:r w:rsidRPr="002A782A">
        <w:rPr>
          <w:rFonts w:ascii="Bookman Old Style" w:hAnsi="Bookman Old Style"/>
          <w:b/>
        </w:rPr>
        <w:t>A</w:t>
      </w:r>
      <w:r w:rsidR="00280DF2" w:rsidRPr="002A782A">
        <w:rPr>
          <w:rFonts w:ascii="Bookman Old Style" w:hAnsi="Bookman Old Style"/>
          <w:b/>
        </w:rPr>
        <w:t>RTÍCULO</w:t>
      </w:r>
      <w:r w:rsidRPr="002A782A">
        <w:rPr>
          <w:rFonts w:ascii="Bookman Old Style" w:hAnsi="Bookman Old Style"/>
          <w:b/>
        </w:rPr>
        <w:t xml:space="preserve"> </w:t>
      </w:r>
      <w:r w:rsidR="0090719C">
        <w:rPr>
          <w:rFonts w:ascii="Bookman Old Style" w:hAnsi="Bookman Old Style"/>
          <w:b/>
        </w:rPr>
        <w:t>8</w:t>
      </w:r>
      <w:r w:rsidRPr="002A782A">
        <w:rPr>
          <w:rFonts w:ascii="Bookman Old Style" w:hAnsi="Bookman Old Style"/>
          <w:b/>
        </w:rPr>
        <w:t xml:space="preserve">. </w:t>
      </w:r>
      <w:r>
        <w:rPr>
          <w:rFonts w:ascii="Bookman Old Style" w:hAnsi="Bookman Old Style"/>
          <w:b/>
        </w:rPr>
        <w:t xml:space="preserve">Vigencia. </w:t>
      </w:r>
      <w:r>
        <w:rPr>
          <w:rFonts w:ascii="Bookman Old Style" w:hAnsi="Bookman Old Style"/>
        </w:rPr>
        <w:t xml:space="preserve">Esta resolución rige a partir de su publicación en el </w:t>
      </w:r>
      <w:r w:rsidRPr="00280DF2">
        <w:rPr>
          <w:rFonts w:ascii="Bookman Old Style" w:hAnsi="Bookman Old Style"/>
          <w:i/>
        </w:rPr>
        <w:t>Diario Oficial</w:t>
      </w:r>
      <w:r>
        <w:rPr>
          <w:rFonts w:ascii="Bookman Old Style" w:hAnsi="Bookman Old Style"/>
        </w:rPr>
        <w:t xml:space="preserve"> y deroga las normas que le sean contrarias.</w:t>
      </w:r>
    </w:p>
    <w:p w:rsidR="009702C0" w:rsidRDefault="009702C0" w:rsidP="009702C0">
      <w:pPr>
        <w:ind w:left="0"/>
        <w:rPr>
          <w:rFonts w:ascii="Bookman Old Style" w:hAnsi="Bookman Old Style"/>
        </w:rPr>
      </w:pPr>
    </w:p>
    <w:p w:rsidR="00280DF2" w:rsidRDefault="00280DF2" w:rsidP="009702C0">
      <w:pPr>
        <w:ind w:left="0"/>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PULÍQUESE Y CÚMPLASE</w:t>
      </w:r>
    </w:p>
    <w:p w:rsidR="00C435C3" w:rsidRPr="00C435C3" w:rsidRDefault="00C435C3" w:rsidP="00C435C3">
      <w:pPr>
        <w:rPr>
          <w:rFonts w:ascii="Bookman Old Style" w:hAnsi="Bookman Old Style"/>
        </w:rPr>
      </w:pPr>
    </w:p>
    <w:p w:rsidR="00C435C3" w:rsidRPr="00C435C3" w:rsidRDefault="00280DF2" w:rsidP="00280DF2">
      <w:pPr>
        <w:ind w:left="0"/>
        <w:rPr>
          <w:rFonts w:ascii="Bookman Old Style" w:hAnsi="Bookman Old Style"/>
        </w:rPr>
      </w:pPr>
      <w:r>
        <w:rPr>
          <w:rFonts w:ascii="Bookman Old Style" w:hAnsi="Bookman Old Style"/>
        </w:rPr>
        <w:t>Dada en Bogotá, D.C. a los</w:t>
      </w:r>
    </w:p>
    <w:p w:rsidR="002F27B5" w:rsidRDefault="002F27B5" w:rsidP="00C435C3">
      <w:pPr>
        <w:ind w:left="0"/>
        <w:rPr>
          <w:rFonts w:ascii="Bookman Old Style" w:hAnsi="Bookman Old Style"/>
        </w:rPr>
      </w:pPr>
    </w:p>
    <w:p w:rsidR="00C435C3" w:rsidRDefault="00C435C3" w:rsidP="00C435C3">
      <w:pPr>
        <w:ind w:left="0"/>
        <w:rPr>
          <w:rFonts w:ascii="Bookman Old Style" w:hAnsi="Bookman Old Style"/>
        </w:rPr>
      </w:pPr>
    </w:p>
    <w:p w:rsidR="00280DF2" w:rsidRDefault="00280DF2" w:rsidP="00C435C3">
      <w:pPr>
        <w:ind w:left="0"/>
        <w:rPr>
          <w:rFonts w:ascii="Bookman Old Style" w:hAnsi="Bookman Old Style"/>
        </w:rPr>
      </w:pPr>
    </w:p>
    <w:p w:rsidR="00280DF2" w:rsidRDefault="00280DF2" w:rsidP="00C435C3">
      <w:pPr>
        <w:ind w:left="0"/>
        <w:rPr>
          <w:rFonts w:ascii="Bookman Old Style" w:hAnsi="Bookman Old Style"/>
        </w:rPr>
      </w:pPr>
    </w:p>
    <w:p w:rsidR="00280DF2" w:rsidRDefault="00280DF2"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B351B4" w:rsidRPr="00012259" w:rsidRDefault="00B351B4" w:rsidP="00012259">
      <w:pPr>
        <w:ind w:left="0"/>
        <w:rPr>
          <w:rFonts w:ascii="Bookman Old Style" w:hAnsi="Bookman Old Style"/>
          <w:bCs/>
          <w:lang w:val="es-CO"/>
        </w:rPr>
      </w:pPr>
    </w:p>
    <w:sectPr w:rsidR="00B351B4" w:rsidRPr="00012259"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F2" w:rsidRDefault="00280DF2">
      <w:r>
        <w:separator/>
      </w:r>
    </w:p>
  </w:endnote>
  <w:endnote w:type="continuationSeparator" w:id="0">
    <w:p w:rsidR="00280DF2" w:rsidRDefault="0028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F2" w:rsidRDefault="00280DF2">
      <w:r>
        <w:separator/>
      </w:r>
    </w:p>
  </w:footnote>
  <w:footnote w:type="continuationSeparator" w:id="0">
    <w:p w:rsidR="00280DF2" w:rsidRDefault="0028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F2" w:rsidRDefault="00280DF2" w:rsidP="00951F79">
    <w:pPr>
      <w:pStyle w:val="Ttulo1"/>
      <w:ind w:right="6"/>
      <w:jc w:val="left"/>
      <w:rPr>
        <w:rFonts w:ascii="Bookman Old Style" w:hAnsi="Bookman Old Style" w:cs="Arial"/>
        <w:b w:val="0"/>
        <w:sz w:val="22"/>
        <w:szCs w:val="22"/>
      </w:rPr>
    </w:pPr>
  </w:p>
  <w:p w:rsidR="00280DF2" w:rsidRPr="00951F79" w:rsidRDefault="00280DF2"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9C30B8">
      <w:rPr>
        <w:rFonts w:ascii="Bookman Old Style" w:hAnsi="Bookman Old Style" w:cs="Arial"/>
        <w:b w:val="0"/>
        <w:noProof/>
        <w:sz w:val="22"/>
        <w:szCs w:val="22"/>
      </w:rPr>
      <w:t>7</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9C30B8" w:rsidRPr="009C30B8">
        <w:rPr>
          <w:rFonts w:ascii="Bookman Old Style" w:hAnsi="Bookman Old Style" w:cs="Arial"/>
          <w:b w:val="0"/>
          <w:noProof/>
          <w:sz w:val="22"/>
          <w:szCs w:val="22"/>
        </w:rPr>
        <w:t>7</w:t>
      </w:r>
    </w:fldSimple>
  </w:p>
  <w:p w:rsidR="00280DF2" w:rsidRDefault="00280DF2"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60CC058E" wp14:editId="0DFE144C">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280DF2" w:rsidRPr="00580F3D" w:rsidRDefault="00280DF2" w:rsidP="00580F3D">
    <w:pPr>
      <w:ind w:left="0"/>
      <w:jc w:val="center"/>
      <w:rPr>
        <w:rFonts w:ascii="Bookman Old Style" w:hAnsi="Bookman Old Style"/>
        <w:sz w:val="22"/>
      </w:rPr>
    </w:pPr>
    <w:r w:rsidRPr="00580F3D">
      <w:rPr>
        <w:rFonts w:ascii="Bookman Old Style" w:hAnsi="Bookman Old Style"/>
        <w:sz w:val="22"/>
      </w:rPr>
      <w:t xml:space="preserve">Por la cual se modifican algunas reglas </w:t>
    </w:r>
    <w:r>
      <w:rPr>
        <w:rFonts w:ascii="Bookman Old Style" w:hAnsi="Bookman Old Style"/>
        <w:sz w:val="22"/>
      </w:rPr>
      <w:t>disposiciones</w:t>
    </w:r>
    <w:r w:rsidRPr="00580F3D">
      <w:rPr>
        <w:rFonts w:ascii="Bookman Old Style" w:hAnsi="Bookman Old Style"/>
        <w:sz w:val="22"/>
      </w:rPr>
      <w:t xml:space="preserve"> </w:t>
    </w:r>
    <w:r>
      <w:rPr>
        <w:rFonts w:ascii="Bookman Old Style" w:hAnsi="Bookman Old Style"/>
        <w:sz w:val="22"/>
      </w:rPr>
      <w:t>de los Anillos de Seguridad del Cargo por Confiabilidad.</w:t>
    </w:r>
  </w:p>
  <w:p w:rsidR="00280DF2" w:rsidRPr="00580F3D" w:rsidRDefault="00280DF2"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F2" w:rsidRDefault="00280DF2"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280DF2" w:rsidRDefault="00280DF2">
    <w:pPr>
      <w:pStyle w:val="Encabezado"/>
      <w:jc w:val="center"/>
      <w:rPr>
        <w:rFonts w:ascii="Arial" w:hAnsi="Arial" w:cs="Arial"/>
        <w:spacing w:val="20"/>
        <w:sz w:val="20"/>
      </w:rPr>
    </w:pPr>
  </w:p>
  <w:p w:rsidR="00280DF2" w:rsidRDefault="00280DF2"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263C0CF4" wp14:editId="68C9BB77">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CB2476"/>
    <w:multiLevelType w:val="hybridMultilevel"/>
    <w:tmpl w:val="F7F2B8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4ADB70C8"/>
    <w:multiLevelType w:val="hybridMultilevel"/>
    <w:tmpl w:val="0574B7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C55170F"/>
    <w:multiLevelType w:val="hybridMultilevel"/>
    <w:tmpl w:val="B4F47050"/>
    <w:lvl w:ilvl="0" w:tplc="32C2B28E">
      <w:start w:val="1"/>
      <w:numFmt w:val="lowerLetter"/>
      <w:lvlText w:val="%1."/>
      <w:lvlJc w:val="left"/>
      <w:pPr>
        <w:ind w:left="720" w:hanging="360"/>
      </w:pPr>
      <w:rPr>
        <w:rFonts w:hint="default"/>
        <w:b/>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F241E4"/>
    <w:multiLevelType w:val="hybridMultilevel"/>
    <w:tmpl w:val="0090D0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6"/>
  </w:num>
  <w:num w:numId="5">
    <w:abstractNumId w:val="14"/>
  </w:num>
  <w:num w:numId="6">
    <w:abstractNumId w:val="3"/>
  </w:num>
  <w:num w:numId="7">
    <w:abstractNumId w:val="2"/>
  </w:num>
  <w:num w:numId="8">
    <w:abstractNumId w:val="16"/>
  </w:num>
  <w:num w:numId="9">
    <w:abstractNumId w:val="15"/>
  </w:num>
  <w:num w:numId="10">
    <w:abstractNumId w:val="9"/>
  </w:num>
  <w:num w:numId="11">
    <w:abstractNumId w:val="19"/>
  </w:num>
  <w:num w:numId="12">
    <w:abstractNumId w:val="17"/>
  </w:num>
  <w:num w:numId="13">
    <w:abstractNumId w:val="7"/>
  </w:num>
  <w:num w:numId="14">
    <w:abstractNumId w:val="1"/>
  </w:num>
  <w:num w:numId="15">
    <w:abstractNumId w:val="10"/>
  </w:num>
  <w:num w:numId="16">
    <w:abstractNumId w:val="0"/>
  </w:num>
  <w:num w:numId="17">
    <w:abstractNumId w:val="5"/>
  </w:num>
  <w:num w:numId="18">
    <w:abstractNumId w:val="1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1410"/>
    <w:rsid w:val="00012259"/>
    <w:rsid w:val="00025383"/>
    <w:rsid w:val="000438C8"/>
    <w:rsid w:val="00057CBB"/>
    <w:rsid w:val="00063657"/>
    <w:rsid w:val="00070C41"/>
    <w:rsid w:val="00076680"/>
    <w:rsid w:val="0008073E"/>
    <w:rsid w:val="00091CDB"/>
    <w:rsid w:val="000A19AC"/>
    <w:rsid w:val="000D26F8"/>
    <w:rsid w:val="00107CEE"/>
    <w:rsid w:val="00125A40"/>
    <w:rsid w:val="001405C6"/>
    <w:rsid w:val="00141013"/>
    <w:rsid w:val="00141C82"/>
    <w:rsid w:val="0014585D"/>
    <w:rsid w:val="00174DE1"/>
    <w:rsid w:val="00175624"/>
    <w:rsid w:val="00192CBF"/>
    <w:rsid w:val="00192FF1"/>
    <w:rsid w:val="001A2D9A"/>
    <w:rsid w:val="001A5F1B"/>
    <w:rsid w:val="001B1C22"/>
    <w:rsid w:val="001B34C6"/>
    <w:rsid w:val="001D5267"/>
    <w:rsid w:val="001D7832"/>
    <w:rsid w:val="001E314B"/>
    <w:rsid w:val="001F6049"/>
    <w:rsid w:val="00211D34"/>
    <w:rsid w:val="0021266C"/>
    <w:rsid w:val="00214F04"/>
    <w:rsid w:val="00234A92"/>
    <w:rsid w:val="00266CD6"/>
    <w:rsid w:val="00275DAB"/>
    <w:rsid w:val="00280DF2"/>
    <w:rsid w:val="002A782A"/>
    <w:rsid w:val="002B11E2"/>
    <w:rsid w:val="002B24B8"/>
    <w:rsid w:val="002D3AE9"/>
    <w:rsid w:val="002D4510"/>
    <w:rsid w:val="002D5724"/>
    <w:rsid w:val="002E4B1F"/>
    <w:rsid w:val="002F0734"/>
    <w:rsid w:val="002F27B5"/>
    <w:rsid w:val="002F46E7"/>
    <w:rsid w:val="002F5223"/>
    <w:rsid w:val="003101DA"/>
    <w:rsid w:val="00314757"/>
    <w:rsid w:val="003158E6"/>
    <w:rsid w:val="003211CE"/>
    <w:rsid w:val="0033266F"/>
    <w:rsid w:val="00333A30"/>
    <w:rsid w:val="0035174E"/>
    <w:rsid w:val="0035403A"/>
    <w:rsid w:val="0036394B"/>
    <w:rsid w:val="003709B5"/>
    <w:rsid w:val="003759C2"/>
    <w:rsid w:val="00397365"/>
    <w:rsid w:val="003A31F6"/>
    <w:rsid w:val="003C3447"/>
    <w:rsid w:val="003C5E9A"/>
    <w:rsid w:val="003D076C"/>
    <w:rsid w:val="003D2085"/>
    <w:rsid w:val="003D4304"/>
    <w:rsid w:val="003E78B5"/>
    <w:rsid w:val="003F60DA"/>
    <w:rsid w:val="00415BAB"/>
    <w:rsid w:val="00415ED2"/>
    <w:rsid w:val="0042068C"/>
    <w:rsid w:val="004540F1"/>
    <w:rsid w:val="0045695E"/>
    <w:rsid w:val="004654AC"/>
    <w:rsid w:val="004661F0"/>
    <w:rsid w:val="0047122B"/>
    <w:rsid w:val="00473B7A"/>
    <w:rsid w:val="004960E9"/>
    <w:rsid w:val="004A0031"/>
    <w:rsid w:val="004A2E88"/>
    <w:rsid w:val="004A5305"/>
    <w:rsid w:val="004B2C29"/>
    <w:rsid w:val="004C74A4"/>
    <w:rsid w:val="004D2E48"/>
    <w:rsid w:val="004D7634"/>
    <w:rsid w:val="00502776"/>
    <w:rsid w:val="0050325A"/>
    <w:rsid w:val="005112D3"/>
    <w:rsid w:val="0052020E"/>
    <w:rsid w:val="005300D3"/>
    <w:rsid w:val="00536791"/>
    <w:rsid w:val="00544F82"/>
    <w:rsid w:val="0055238D"/>
    <w:rsid w:val="00580F3D"/>
    <w:rsid w:val="00593C4F"/>
    <w:rsid w:val="005946A8"/>
    <w:rsid w:val="005A4407"/>
    <w:rsid w:val="005A59EF"/>
    <w:rsid w:val="005B38FD"/>
    <w:rsid w:val="005C659D"/>
    <w:rsid w:val="005D4DB1"/>
    <w:rsid w:val="005F6F41"/>
    <w:rsid w:val="0060233B"/>
    <w:rsid w:val="00625DC6"/>
    <w:rsid w:val="00634083"/>
    <w:rsid w:val="0064391D"/>
    <w:rsid w:val="0065066A"/>
    <w:rsid w:val="00651821"/>
    <w:rsid w:val="00654384"/>
    <w:rsid w:val="006675CD"/>
    <w:rsid w:val="00684D9B"/>
    <w:rsid w:val="00687A35"/>
    <w:rsid w:val="006962CE"/>
    <w:rsid w:val="00696453"/>
    <w:rsid w:val="00697556"/>
    <w:rsid w:val="006A075A"/>
    <w:rsid w:val="006A7F6D"/>
    <w:rsid w:val="006B26A4"/>
    <w:rsid w:val="006B4C2B"/>
    <w:rsid w:val="006B6D47"/>
    <w:rsid w:val="006C5AFE"/>
    <w:rsid w:val="006E7876"/>
    <w:rsid w:val="006F5218"/>
    <w:rsid w:val="006F6D95"/>
    <w:rsid w:val="00706F13"/>
    <w:rsid w:val="007072E8"/>
    <w:rsid w:val="00712F21"/>
    <w:rsid w:val="00713B6F"/>
    <w:rsid w:val="0071618D"/>
    <w:rsid w:val="00716E92"/>
    <w:rsid w:val="00725FA4"/>
    <w:rsid w:val="00740446"/>
    <w:rsid w:val="007438A9"/>
    <w:rsid w:val="0074491E"/>
    <w:rsid w:val="0076247A"/>
    <w:rsid w:val="00772749"/>
    <w:rsid w:val="00775964"/>
    <w:rsid w:val="007765FE"/>
    <w:rsid w:val="00795BFB"/>
    <w:rsid w:val="007B2760"/>
    <w:rsid w:val="007E3F66"/>
    <w:rsid w:val="00806C01"/>
    <w:rsid w:val="008148CC"/>
    <w:rsid w:val="008211A4"/>
    <w:rsid w:val="0083766A"/>
    <w:rsid w:val="00860E5C"/>
    <w:rsid w:val="00873150"/>
    <w:rsid w:val="00876380"/>
    <w:rsid w:val="0087657D"/>
    <w:rsid w:val="008807D5"/>
    <w:rsid w:val="00880832"/>
    <w:rsid w:val="00886EE1"/>
    <w:rsid w:val="0088727D"/>
    <w:rsid w:val="00897C75"/>
    <w:rsid w:val="008A4807"/>
    <w:rsid w:val="008C1130"/>
    <w:rsid w:val="008C5CCE"/>
    <w:rsid w:val="008D18E6"/>
    <w:rsid w:val="008D7A9B"/>
    <w:rsid w:val="008E76AC"/>
    <w:rsid w:val="008F20C6"/>
    <w:rsid w:val="008F21F6"/>
    <w:rsid w:val="0090719C"/>
    <w:rsid w:val="00915557"/>
    <w:rsid w:val="00930E39"/>
    <w:rsid w:val="00946185"/>
    <w:rsid w:val="00951F79"/>
    <w:rsid w:val="009702C0"/>
    <w:rsid w:val="00974AB5"/>
    <w:rsid w:val="00977A3C"/>
    <w:rsid w:val="0098706D"/>
    <w:rsid w:val="009935FB"/>
    <w:rsid w:val="009C30B8"/>
    <w:rsid w:val="009C63CF"/>
    <w:rsid w:val="009F4A54"/>
    <w:rsid w:val="009F4BEC"/>
    <w:rsid w:val="00A25FD7"/>
    <w:rsid w:val="00A43AFF"/>
    <w:rsid w:val="00A62919"/>
    <w:rsid w:val="00A7793A"/>
    <w:rsid w:val="00A92447"/>
    <w:rsid w:val="00AA4CC7"/>
    <w:rsid w:val="00AA52B6"/>
    <w:rsid w:val="00AA5E8E"/>
    <w:rsid w:val="00AA6BC9"/>
    <w:rsid w:val="00AB6CA7"/>
    <w:rsid w:val="00AD01E4"/>
    <w:rsid w:val="00AD0858"/>
    <w:rsid w:val="00AD3A2B"/>
    <w:rsid w:val="00AE7340"/>
    <w:rsid w:val="00AF1BBD"/>
    <w:rsid w:val="00AF556D"/>
    <w:rsid w:val="00B10207"/>
    <w:rsid w:val="00B12B4D"/>
    <w:rsid w:val="00B141E7"/>
    <w:rsid w:val="00B16631"/>
    <w:rsid w:val="00B313CF"/>
    <w:rsid w:val="00B351B4"/>
    <w:rsid w:val="00B46BCA"/>
    <w:rsid w:val="00B62BFA"/>
    <w:rsid w:val="00B87806"/>
    <w:rsid w:val="00B87EC9"/>
    <w:rsid w:val="00BA788A"/>
    <w:rsid w:val="00BB4751"/>
    <w:rsid w:val="00BC38FD"/>
    <w:rsid w:val="00BD03AA"/>
    <w:rsid w:val="00C034CB"/>
    <w:rsid w:val="00C051A8"/>
    <w:rsid w:val="00C054BC"/>
    <w:rsid w:val="00C17897"/>
    <w:rsid w:val="00C17AB6"/>
    <w:rsid w:val="00C37330"/>
    <w:rsid w:val="00C409D5"/>
    <w:rsid w:val="00C435C3"/>
    <w:rsid w:val="00C43E62"/>
    <w:rsid w:val="00C6234B"/>
    <w:rsid w:val="00C63EAE"/>
    <w:rsid w:val="00C7629F"/>
    <w:rsid w:val="00C861B7"/>
    <w:rsid w:val="00C8661B"/>
    <w:rsid w:val="00CA139A"/>
    <w:rsid w:val="00CA2899"/>
    <w:rsid w:val="00CA3A3D"/>
    <w:rsid w:val="00CA77FB"/>
    <w:rsid w:val="00CB379B"/>
    <w:rsid w:val="00CB5DD0"/>
    <w:rsid w:val="00CC51D4"/>
    <w:rsid w:val="00CC65DA"/>
    <w:rsid w:val="00CF21B9"/>
    <w:rsid w:val="00CF4CB8"/>
    <w:rsid w:val="00CF6BF9"/>
    <w:rsid w:val="00D0045B"/>
    <w:rsid w:val="00D03800"/>
    <w:rsid w:val="00D065D3"/>
    <w:rsid w:val="00D14975"/>
    <w:rsid w:val="00D14C94"/>
    <w:rsid w:val="00D24049"/>
    <w:rsid w:val="00D342A6"/>
    <w:rsid w:val="00D464BF"/>
    <w:rsid w:val="00D5182D"/>
    <w:rsid w:val="00D51F74"/>
    <w:rsid w:val="00D53E26"/>
    <w:rsid w:val="00D60ED6"/>
    <w:rsid w:val="00D75F04"/>
    <w:rsid w:val="00D8329B"/>
    <w:rsid w:val="00D967D4"/>
    <w:rsid w:val="00DD4F0E"/>
    <w:rsid w:val="00DE1924"/>
    <w:rsid w:val="00DE45A3"/>
    <w:rsid w:val="00DF0BF0"/>
    <w:rsid w:val="00E01D9D"/>
    <w:rsid w:val="00E05E0A"/>
    <w:rsid w:val="00E24173"/>
    <w:rsid w:val="00E44548"/>
    <w:rsid w:val="00E534CF"/>
    <w:rsid w:val="00E731E3"/>
    <w:rsid w:val="00E81CB4"/>
    <w:rsid w:val="00E8581F"/>
    <w:rsid w:val="00E8585B"/>
    <w:rsid w:val="00EA3F15"/>
    <w:rsid w:val="00EA7847"/>
    <w:rsid w:val="00ED022D"/>
    <w:rsid w:val="00EE2E6E"/>
    <w:rsid w:val="00F0759E"/>
    <w:rsid w:val="00F141E4"/>
    <w:rsid w:val="00F16895"/>
    <w:rsid w:val="00F17781"/>
    <w:rsid w:val="00F26154"/>
    <w:rsid w:val="00F4423E"/>
    <w:rsid w:val="00F75728"/>
    <w:rsid w:val="00F821A3"/>
    <w:rsid w:val="00F9314A"/>
    <w:rsid w:val="00FC58EF"/>
    <w:rsid w:val="00FC5EA7"/>
    <w:rsid w:val="00FD33DF"/>
    <w:rsid w:val="00FD535B"/>
    <w:rsid w:val="00FE39D7"/>
    <w:rsid w:val="00FF61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Textodelmarcadordeposicin">
    <w:name w:val="Placeholder Text"/>
    <w:basedOn w:val="Fuentedeprrafopredeter"/>
    <w:uiPriority w:val="99"/>
    <w:semiHidden/>
    <w:rsid w:val="002D5724"/>
    <w:rPr>
      <w:color w:val="808080"/>
    </w:rPr>
  </w:style>
  <w:style w:type="paragraph" w:customStyle="1" w:styleId="Textodebloque1">
    <w:name w:val="Texto de bloque1"/>
    <w:basedOn w:val="Normal"/>
    <w:rsid w:val="00536791"/>
    <w:pPr>
      <w:suppressAutoHyphens/>
      <w:ind w:left="1701" w:right="1468"/>
      <w:jc w:val="both"/>
    </w:pPr>
    <w:rPr>
      <w:rFonts w:ascii="Arial" w:hAnsi="Arial"/>
      <w:szCs w:val="20"/>
      <w:lang w:val="es-ES_tradnl" w:eastAsia="ar-SA"/>
    </w:rPr>
  </w:style>
  <w:style w:type="paragraph" w:customStyle="1" w:styleId="xl25">
    <w:name w:val="xl25"/>
    <w:basedOn w:val="Normal"/>
    <w:rsid w:val="00E01D9D"/>
    <w:pPr>
      <w:suppressAutoHyphens/>
      <w:spacing w:before="280" w:after="280"/>
      <w:ind w:left="0"/>
      <w:jc w:val="both"/>
    </w:pPr>
    <w:rPr>
      <w:rFonts w:ascii="Arial" w:hAnsi="Arial" w:cs="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Textodelmarcadordeposicin">
    <w:name w:val="Placeholder Text"/>
    <w:basedOn w:val="Fuentedeprrafopredeter"/>
    <w:uiPriority w:val="99"/>
    <w:semiHidden/>
    <w:rsid w:val="002D5724"/>
    <w:rPr>
      <w:color w:val="808080"/>
    </w:rPr>
  </w:style>
  <w:style w:type="paragraph" w:customStyle="1" w:styleId="Textodebloque1">
    <w:name w:val="Texto de bloque1"/>
    <w:basedOn w:val="Normal"/>
    <w:rsid w:val="00536791"/>
    <w:pPr>
      <w:suppressAutoHyphens/>
      <w:ind w:left="1701" w:right="1468"/>
      <w:jc w:val="both"/>
    </w:pPr>
    <w:rPr>
      <w:rFonts w:ascii="Arial" w:hAnsi="Arial"/>
      <w:szCs w:val="20"/>
      <w:lang w:val="es-ES_tradnl" w:eastAsia="ar-SA"/>
    </w:rPr>
  </w:style>
  <w:style w:type="paragraph" w:customStyle="1" w:styleId="xl25">
    <w:name w:val="xl25"/>
    <w:basedOn w:val="Normal"/>
    <w:rsid w:val="00E01D9D"/>
    <w:pPr>
      <w:suppressAutoHyphens/>
      <w:spacing w:before="280" w:after="280"/>
      <w:ind w:left="0"/>
      <w:jc w:val="both"/>
    </w:pPr>
    <w:rPr>
      <w:rFonts w:ascii="Arial"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PLANTILLA1</Template>
  <TotalTime>0</TotalTime>
  <Pages>7</Pages>
  <Words>2272</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2011-11-21T19:34:00Z</cp:lastPrinted>
  <dcterms:created xsi:type="dcterms:W3CDTF">2011-11-25T15:02:00Z</dcterms:created>
  <dcterms:modified xsi:type="dcterms:W3CDTF">2011-11-25T15:02:00Z</dcterms:modified>
</cp:coreProperties>
</file>