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DC6" w:rsidRPr="00012259" w:rsidRDefault="00221CFD" w:rsidP="00012259">
      <w:pPr>
        <w:pStyle w:val="Encabezado"/>
        <w:tabs>
          <w:tab w:val="clear" w:pos="8504"/>
          <w:tab w:val="left" w:pos="0"/>
          <w:tab w:val="right" w:pos="9356"/>
        </w:tabs>
        <w:ind w:left="0"/>
        <w:jc w:val="both"/>
        <w:rPr>
          <w:rFonts w:ascii="Bookman Old Style" w:hAnsi="Bookman Old Style"/>
          <w:szCs w:val="24"/>
        </w:rPr>
      </w:pPr>
      <w:bookmarkStart w:id="0" w:name="_GoBack"/>
      <w:bookmarkEnd w:id="0"/>
      <w:r>
        <w:rPr>
          <w:rFonts w:ascii="Bookman Old Style" w:hAnsi="Bookman Old Style"/>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7.15pt;margin-top:-53.35pt;width:52.5pt;height:48.75pt;z-index:251657728" fillcolor="#0c9">
            <v:imagedata r:id="rId9" o:title=""/>
          </v:shape>
          <o:OLEObject Type="Embed" ProgID="PBrush" ShapeID="_x0000_s1026" DrawAspect="Content" ObjectID="_1359182242" r:id="rId10"/>
        </w:pict>
      </w:r>
    </w:p>
    <w:p w:rsidR="00625DC6" w:rsidRPr="00012259" w:rsidRDefault="00625DC6" w:rsidP="00012259">
      <w:pPr>
        <w:pStyle w:val="Encabezado"/>
        <w:tabs>
          <w:tab w:val="clear" w:pos="8504"/>
          <w:tab w:val="left" w:pos="0"/>
          <w:tab w:val="right" w:pos="9356"/>
        </w:tabs>
        <w:ind w:left="0"/>
        <w:jc w:val="both"/>
        <w:rPr>
          <w:rFonts w:ascii="Bookman Old Style" w:hAnsi="Bookman Old Style"/>
          <w:szCs w:val="24"/>
        </w:rPr>
      </w:pPr>
    </w:p>
    <w:p w:rsidR="00CA77FB" w:rsidRPr="00012259" w:rsidRDefault="00CA77FB" w:rsidP="00012259">
      <w:pPr>
        <w:pStyle w:val="Ttulo4"/>
        <w:tabs>
          <w:tab w:val="left" w:pos="0"/>
          <w:tab w:val="right" w:pos="9356"/>
        </w:tabs>
        <w:ind w:left="0"/>
        <w:rPr>
          <w:rFonts w:ascii="Bookman Old Style" w:hAnsi="Bookman Old Style"/>
          <w:b w:val="0"/>
          <w:bCs/>
          <w:noProof/>
          <w:sz w:val="24"/>
          <w:szCs w:val="24"/>
          <w:lang w:val="es-ES"/>
        </w:rPr>
      </w:pPr>
      <w:r w:rsidRPr="00012259">
        <w:rPr>
          <w:rFonts w:ascii="Bookman Old Style" w:hAnsi="Bookman Old Style"/>
          <w:b w:val="0"/>
          <w:bCs/>
          <w:sz w:val="24"/>
          <w:szCs w:val="24"/>
        </w:rPr>
        <w:t>Ministerio de Minas y Energía</w:t>
      </w:r>
    </w:p>
    <w:p w:rsidR="00CA77FB" w:rsidRPr="00012259" w:rsidRDefault="00CA77FB" w:rsidP="00012259">
      <w:pPr>
        <w:pStyle w:val="Ttulo4"/>
        <w:tabs>
          <w:tab w:val="left" w:pos="0"/>
          <w:tab w:val="right" w:pos="9356"/>
        </w:tabs>
        <w:ind w:left="0"/>
        <w:rPr>
          <w:rFonts w:ascii="Bookman Old Style" w:hAnsi="Bookman Old Style"/>
          <w:b w:val="0"/>
          <w:bCs/>
          <w:sz w:val="24"/>
          <w:szCs w:val="24"/>
        </w:rPr>
      </w:pPr>
    </w:p>
    <w:p w:rsidR="00CA77FB" w:rsidRPr="00012259" w:rsidRDefault="00CA77FB" w:rsidP="00012259">
      <w:pPr>
        <w:pStyle w:val="Ttulo3"/>
        <w:tabs>
          <w:tab w:val="left" w:pos="0"/>
          <w:tab w:val="right" w:pos="9356"/>
        </w:tabs>
        <w:ind w:left="0"/>
        <w:rPr>
          <w:rFonts w:ascii="Bookman Old Style" w:hAnsi="Bookman Old Style" w:cs="Arial"/>
          <w:spacing w:val="20"/>
          <w:szCs w:val="24"/>
        </w:rPr>
      </w:pPr>
      <w:r w:rsidRPr="00012259">
        <w:rPr>
          <w:rFonts w:ascii="Bookman Old Style" w:hAnsi="Bookman Old Style" w:cs="Arial"/>
          <w:spacing w:val="20"/>
          <w:szCs w:val="24"/>
        </w:rPr>
        <w:t>COMISIÓN DE REGULACIÓN DE ENERGÍA Y GAS</w:t>
      </w:r>
    </w:p>
    <w:p w:rsidR="00CA77FB" w:rsidRPr="00012259" w:rsidRDefault="00CA77FB" w:rsidP="00012259">
      <w:pPr>
        <w:pStyle w:val="Ttulo5"/>
        <w:tabs>
          <w:tab w:val="left" w:pos="0"/>
          <w:tab w:val="right" w:pos="9356"/>
        </w:tabs>
        <w:ind w:left="0"/>
        <w:rPr>
          <w:rFonts w:ascii="Bookman Old Style" w:hAnsi="Bookman Old Style"/>
          <w:sz w:val="24"/>
          <w:szCs w:val="24"/>
        </w:rPr>
      </w:pPr>
    </w:p>
    <w:p w:rsidR="00CA77FB" w:rsidRPr="00012259" w:rsidRDefault="00CA77FB" w:rsidP="00012259">
      <w:pPr>
        <w:pStyle w:val="Ttulo5"/>
        <w:tabs>
          <w:tab w:val="left" w:pos="0"/>
          <w:tab w:val="right" w:pos="9356"/>
        </w:tabs>
        <w:ind w:left="0"/>
        <w:rPr>
          <w:rFonts w:ascii="Bookman Old Style" w:hAnsi="Bookman Old Style"/>
          <w:sz w:val="24"/>
          <w:szCs w:val="24"/>
        </w:rPr>
      </w:pPr>
    </w:p>
    <w:p w:rsidR="00CA77FB" w:rsidRPr="00012259" w:rsidRDefault="00CA77FB" w:rsidP="00012259">
      <w:pPr>
        <w:pStyle w:val="Ttulo5"/>
        <w:tabs>
          <w:tab w:val="left" w:pos="0"/>
          <w:tab w:val="right" w:pos="9356"/>
        </w:tabs>
        <w:ind w:left="0"/>
        <w:rPr>
          <w:rFonts w:ascii="Bookman Old Style" w:hAnsi="Bookman Old Style"/>
          <w:sz w:val="24"/>
          <w:szCs w:val="24"/>
        </w:rPr>
      </w:pPr>
      <w:r w:rsidRPr="00012259">
        <w:rPr>
          <w:rFonts w:ascii="Bookman Old Style" w:hAnsi="Bookman Old Style"/>
          <w:sz w:val="24"/>
          <w:szCs w:val="24"/>
        </w:rPr>
        <w:t xml:space="preserve">RESOLUCIÓN No. </w:t>
      </w:r>
      <w:r w:rsidR="00795BFB" w:rsidRPr="00012259">
        <w:rPr>
          <w:rFonts w:ascii="Bookman Old Style" w:hAnsi="Bookman Old Style"/>
          <w:sz w:val="24"/>
          <w:szCs w:val="24"/>
        </w:rPr>
        <w:t xml:space="preserve">                  </w:t>
      </w:r>
      <w:r w:rsidRPr="00012259">
        <w:rPr>
          <w:rFonts w:ascii="Bookman Old Style" w:hAnsi="Bookman Old Style"/>
          <w:sz w:val="24"/>
          <w:szCs w:val="24"/>
        </w:rPr>
        <w:t>DE 20</w:t>
      </w:r>
      <w:r w:rsidR="00795BFB" w:rsidRPr="00012259">
        <w:rPr>
          <w:rFonts w:ascii="Bookman Old Style" w:hAnsi="Bookman Old Style"/>
          <w:sz w:val="24"/>
          <w:szCs w:val="24"/>
        </w:rPr>
        <w:t>1</w:t>
      </w:r>
      <w:r w:rsidR="005F6F41">
        <w:rPr>
          <w:rFonts w:ascii="Bookman Old Style" w:hAnsi="Bookman Old Style"/>
          <w:sz w:val="24"/>
          <w:szCs w:val="24"/>
        </w:rPr>
        <w:t>1</w:t>
      </w:r>
    </w:p>
    <w:p w:rsidR="00CA77FB" w:rsidRPr="00012259" w:rsidRDefault="00CA77FB" w:rsidP="00012259">
      <w:pPr>
        <w:tabs>
          <w:tab w:val="left" w:pos="0"/>
          <w:tab w:val="right" w:pos="9356"/>
        </w:tabs>
        <w:ind w:left="0"/>
        <w:jc w:val="center"/>
        <w:rPr>
          <w:rFonts w:ascii="Bookman Old Style" w:hAnsi="Bookman Old Style" w:cs="Arial"/>
          <w:b/>
          <w:snapToGrid w:val="0"/>
          <w:color w:val="000000"/>
          <w:lang w:val="es-ES_tradnl"/>
        </w:rPr>
      </w:pPr>
    </w:p>
    <w:p w:rsidR="00CA77FB" w:rsidRPr="00012259" w:rsidRDefault="00CA77FB" w:rsidP="00012259">
      <w:pPr>
        <w:pStyle w:val="Ttulo3"/>
        <w:tabs>
          <w:tab w:val="left" w:pos="0"/>
          <w:tab w:val="right" w:pos="9356"/>
        </w:tabs>
        <w:ind w:left="0"/>
        <w:rPr>
          <w:rFonts w:ascii="Bookman Old Style" w:hAnsi="Bookman Old Style"/>
          <w:b w:val="0"/>
          <w:szCs w:val="24"/>
        </w:rPr>
      </w:pPr>
      <w:r w:rsidRPr="00012259">
        <w:rPr>
          <w:rFonts w:ascii="Bookman Old Style" w:hAnsi="Bookman Old Style"/>
          <w:b w:val="0"/>
          <w:szCs w:val="24"/>
        </w:rPr>
        <w:t>(                                  )</w:t>
      </w:r>
    </w:p>
    <w:p w:rsidR="00CA77FB" w:rsidRPr="00012259" w:rsidRDefault="00CA77FB" w:rsidP="00012259">
      <w:pPr>
        <w:tabs>
          <w:tab w:val="left" w:pos="0"/>
          <w:tab w:val="right" w:pos="9356"/>
        </w:tabs>
        <w:ind w:left="0"/>
        <w:jc w:val="center"/>
        <w:rPr>
          <w:rFonts w:ascii="Bookman Old Style" w:hAnsi="Bookman Old Style"/>
          <w:lang w:val="es-ES_tradnl"/>
        </w:rPr>
      </w:pPr>
    </w:p>
    <w:p w:rsidR="00C034CB" w:rsidRDefault="00C034CB" w:rsidP="00012259">
      <w:pPr>
        <w:ind w:left="0"/>
        <w:rPr>
          <w:rFonts w:ascii="Bookman Old Style" w:hAnsi="Bookman Old Style"/>
          <w:bCs/>
          <w:lang w:val="es-CO"/>
        </w:rPr>
      </w:pPr>
    </w:p>
    <w:p w:rsidR="00B351B4" w:rsidRDefault="00B351B4" w:rsidP="00012259">
      <w:pPr>
        <w:ind w:left="0"/>
        <w:rPr>
          <w:rFonts w:ascii="Bookman Old Style" w:hAnsi="Bookman Old Style"/>
          <w:bCs/>
          <w:lang w:val="es-CO"/>
        </w:rPr>
      </w:pPr>
    </w:p>
    <w:p w:rsidR="00C435C3" w:rsidRPr="00C435C3" w:rsidRDefault="00C435C3" w:rsidP="002C614D">
      <w:pPr>
        <w:ind w:left="0"/>
        <w:jc w:val="center"/>
        <w:rPr>
          <w:rFonts w:ascii="Bookman Old Style" w:hAnsi="Bookman Old Style"/>
        </w:rPr>
      </w:pPr>
      <w:r w:rsidRPr="00C435C3">
        <w:rPr>
          <w:rFonts w:ascii="Bookman Old Style" w:hAnsi="Bookman Old Style"/>
        </w:rPr>
        <w:t xml:space="preserve">Por </w:t>
      </w:r>
      <w:r w:rsidR="002C614D">
        <w:rPr>
          <w:rFonts w:ascii="Bookman Old Style" w:hAnsi="Bookman Old Style"/>
        </w:rPr>
        <w:t>la cual se modifica</w:t>
      </w:r>
      <w:r w:rsidR="00D14C41">
        <w:rPr>
          <w:rFonts w:ascii="Bookman Old Style" w:hAnsi="Bookman Old Style"/>
        </w:rPr>
        <w:t xml:space="preserve"> el Anexo de la Resolución CREG </w:t>
      </w:r>
      <w:r w:rsidR="002C614D">
        <w:rPr>
          <w:rFonts w:ascii="Bookman Old Style" w:hAnsi="Bookman Old Style"/>
        </w:rPr>
        <w:t>180 de 2010</w:t>
      </w:r>
    </w:p>
    <w:p w:rsidR="00C435C3" w:rsidRPr="00C435C3" w:rsidRDefault="00C435C3" w:rsidP="00C435C3">
      <w:pPr>
        <w:pStyle w:val="Textodebloque"/>
        <w:ind w:left="0" w:right="51"/>
        <w:rPr>
          <w:rFonts w:ascii="Bookman Old Style" w:hAnsi="Bookman Old Style"/>
          <w:szCs w:val="24"/>
        </w:rPr>
      </w:pPr>
    </w:p>
    <w:p w:rsidR="00C435C3" w:rsidRPr="00C435C3" w:rsidRDefault="00C435C3" w:rsidP="00C435C3">
      <w:pPr>
        <w:ind w:right="51"/>
        <w:rPr>
          <w:rFonts w:ascii="Bookman Old Style" w:hAnsi="Bookman Old Style"/>
        </w:rPr>
      </w:pPr>
    </w:p>
    <w:p w:rsidR="00C435C3" w:rsidRPr="00C435C3" w:rsidRDefault="00C435C3" w:rsidP="00C435C3">
      <w:pPr>
        <w:ind w:right="51"/>
        <w:jc w:val="center"/>
        <w:rPr>
          <w:rFonts w:ascii="Bookman Old Style" w:hAnsi="Bookman Old Style"/>
          <w:b/>
        </w:rPr>
      </w:pPr>
      <w:r w:rsidRPr="00C435C3">
        <w:rPr>
          <w:rFonts w:ascii="Bookman Old Style" w:hAnsi="Bookman Old Style"/>
          <w:b/>
        </w:rPr>
        <w:t>LA COMISIÓN DE REGULACIÓN DE  ENERGÍA Y GAS</w:t>
      </w:r>
    </w:p>
    <w:p w:rsidR="00C435C3" w:rsidRPr="00C435C3" w:rsidRDefault="00C435C3" w:rsidP="00C435C3">
      <w:pPr>
        <w:ind w:left="0" w:right="51"/>
        <w:rPr>
          <w:rFonts w:ascii="Bookman Old Style" w:hAnsi="Bookman Old Style"/>
        </w:rPr>
      </w:pPr>
    </w:p>
    <w:p w:rsidR="00C435C3" w:rsidRPr="00C435C3" w:rsidRDefault="00C435C3" w:rsidP="00C435C3">
      <w:pPr>
        <w:ind w:left="0" w:right="51"/>
        <w:rPr>
          <w:rFonts w:ascii="Bookman Old Style" w:hAnsi="Bookman Old Style"/>
        </w:rPr>
      </w:pPr>
    </w:p>
    <w:p w:rsidR="00C435C3" w:rsidRPr="00C435C3" w:rsidRDefault="00C435C3" w:rsidP="00C435C3">
      <w:pPr>
        <w:pStyle w:val="Textoindependiente3"/>
        <w:ind w:left="0"/>
        <w:rPr>
          <w:rFonts w:ascii="Bookman Old Style" w:hAnsi="Bookman Old Style"/>
          <w:b w:val="0"/>
        </w:rPr>
      </w:pPr>
      <w:r w:rsidRPr="00C435C3">
        <w:rPr>
          <w:rFonts w:ascii="Bookman Old Style" w:hAnsi="Bookman Old Style"/>
          <w:b w:val="0"/>
        </w:rPr>
        <w:t>En ejercicio de sus atribuciones constitucionales y legales, en especial las conferidas por las Leyes 142 y 143 de 1994, y en desarrollo de los Decretos 1524 y 2253 de 1994.</w:t>
      </w:r>
    </w:p>
    <w:p w:rsidR="00C435C3" w:rsidRPr="00C435C3" w:rsidRDefault="00C435C3" w:rsidP="00C435C3">
      <w:pPr>
        <w:ind w:right="51"/>
        <w:rPr>
          <w:rFonts w:ascii="Bookman Old Style" w:hAnsi="Bookman Old Style"/>
        </w:rPr>
      </w:pPr>
    </w:p>
    <w:p w:rsidR="00C435C3" w:rsidRPr="00C435C3" w:rsidRDefault="00C435C3" w:rsidP="00C435C3">
      <w:pPr>
        <w:ind w:right="51"/>
        <w:rPr>
          <w:rFonts w:ascii="Bookman Old Style" w:hAnsi="Bookman Old Style"/>
        </w:rPr>
      </w:pPr>
    </w:p>
    <w:p w:rsidR="00C435C3" w:rsidRPr="00C435C3" w:rsidRDefault="00C435C3" w:rsidP="00C435C3">
      <w:pPr>
        <w:ind w:right="51"/>
        <w:jc w:val="center"/>
        <w:rPr>
          <w:rFonts w:ascii="Bookman Old Style" w:hAnsi="Bookman Old Style"/>
          <w:b/>
        </w:rPr>
      </w:pPr>
      <w:r w:rsidRPr="00C435C3">
        <w:rPr>
          <w:rFonts w:ascii="Bookman Old Style" w:hAnsi="Bookman Old Style"/>
          <w:b/>
        </w:rPr>
        <w:t>C O N S I D E R A N D O</w:t>
      </w:r>
      <w:r w:rsidR="002C614D">
        <w:rPr>
          <w:rFonts w:ascii="Bookman Old Style" w:hAnsi="Bookman Old Style"/>
          <w:b/>
        </w:rPr>
        <w:t xml:space="preserve">  Q U E</w:t>
      </w:r>
      <w:r w:rsidRPr="00C435C3">
        <w:rPr>
          <w:rFonts w:ascii="Bookman Old Style" w:hAnsi="Bookman Old Style"/>
          <w:b/>
        </w:rPr>
        <w:t>:</w:t>
      </w:r>
    </w:p>
    <w:p w:rsidR="00C435C3" w:rsidRPr="00C435C3" w:rsidRDefault="00C435C3" w:rsidP="00C435C3">
      <w:pPr>
        <w:ind w:right="51"/>
        <w:jc w:val="center"/>
        <w:rPr>
          <w:rFonts w:ascii="Bookman Old Style" w:hAnsi="Bookman Old Style"/>
          <w:b/>
        </w:rPr>
      </w:pPr>
    </w:p>
    <w:p w:rsidR="00C435C3" w:rsidRPr="00C435C3" w:rsidRDefault="00C435C3" w:rsidP="00C435C3">
      <w:pPr>
        <w:rPr>
          <w:rFonts w:ascii="Bookman Old Style" w:hAnsi="Bookman Old Style"/>
          <w:b/>
        </w:rPr>
      </w:pPr>
    </w:p>
    <w:p w:rsidR="00026739" w:rsidRDefault="00026739" w:rsidP="00026739">
      <w:pPr>
        <w:ind w:left="0"/>
        <w:jc w:val="both"/>
        <w:rPr>
          <w:rFonts w:ascii="Bookman Old Style" w:hAnsi="Bookman Old Style" w:cs="Arial"/>
        </w:rPr>
      </w:pPr>
      <w:r w:rsidRPr="003C3499">
        <w:rPr>
          <w:rFonts w:ascii="Bookman Old Style" w:hAnsi="Bookman Old Style" w:cs="Arial"/>
        </w:rPr>
        <w:t xml:space="preserve">Según la Ley 143 de 1994, artículo 4, el Estado, en relación con el servicio de electricidad, tendrá como objetivos en el cumplimiento de sus funciones, los de abastecer la demanda de electricidad de la comunidad bajo criterios económicos y de viabilidad financiera, asegurando su cubrimiento en un marco de uso racional y eficiente de los diferentes recursos energéticos del país; asegurar una operación eficiente, segura y confiable en las actividades del sector; y mantener los niveles de calidad y seguridad establecidos. </w:t>
      </w:r>
    </w:p>
    <w:p w:rsidR="00026739" w:rsidRPr="003C3499" w:rsidRDefault="00026739" w:rsidP="00026739">
      <w:pPr>
        <w:rPr>
          <w:rFonts w:ascii="Bookman Old Style" w:hAnsi="Bookman Old Style" w:cs="Arial"/>
        </w:rPr>
      </w:pPr>
    </w:p>
    <w:p w:rsidR="00026739" w:rsidRDefault="00026739" w:rsidP="00026739">
      <w:pPr>
        <w:ind w:left="0"/>
        <w:jc w:val="both"/>
        <w:rPr>
          <w:rFonts w:ascii="Bookman Old Style" w:hAnsi="Bookman Old Style" w:cs="Arial"/>
        </w:rPr>
      </w:pPr>
      <w:r w:rsidRPr="003C3499">
        <w:rPr>
          <w:rFonts w:ascii="Bookman Old Style" w:hAnsi="Bookman Old Style" w:cs="Arial"/>
        </w:rPr>
        <w:t xml:space="preserve">La Ley 143 de 1994, artículo 20, definió como objetivo fundamental de la Regulación en el sector eléctrico, asegurar una adecuada prestación del servicio mediante el aprovechamiento eficiente de los diferentes recursos energéticos, en beneficio del usuario en términos de calidad, oportunidad y costo del servicio. </w:t>
      </w:r>
    </w:p>
    <w:p w:rsidR="00026739" w:rsidRPr="003C3499" w:rsidRDefault="00026739" w:rsidP="00026739">
      <w:pPr>
        <w:rPr>
          <w:rFonts w:ascii="Bookman Old Style" w:hAnsi="Bookman Old Style" w:cs="Arial"/>
        </w:rPr>
      </w:pPr>
    </w:p>
    <w:p w:rsidR="00026739" w:rsidRDefault="00026739" w:rsidP="00026739">
      <w:pPr>
        <w:ind w:left="0"/>
        <w:rPr>
          <w:rFonts w:ascii="Bookman Old Style" w:hAnsi="Bookman Old Style" w:cs="Arial"/>
        </w:rPr>
      </w:pPr>
      <w:r w:rsidRPr="003C3499">
        <w:rPr>
          <w:rFonts w:ascii="Bookman Old Style" w:hAnsi="Bookman Old Style" w:cs="Arial"/>
        </w:rPr>
        <w:t>Para el cumplimiento del objetivo señalado, la Ley 143 de 1994, artículo 23, le atribuyó a la Comisión de Regulación de Energía y Gas, entre otras, las siguientes funciones:</w:t>
      </w:r>
    </w:p>
    <w:p w:rsidR="00026739" w:rsidRDefault="00026739" w:rsidP="00D14C41">
      <w:pPr>
        <w:ind w:left="426"/>
        <w:jc w:val="both"/>
        <w:rPr>
          <w:rFonts w:ascii="Bookman Old Style" w:hAnsi="Bookman Old Style"/>
        </w:rPr>
      </w:pPr>
      <w:r w:rsidRPr="003C3499">
        <w:rPr>
          <w:rFonts w:ascii="Bookman Old Style" w:hAnsi="Bookman Old Style"/>
        </w:rPr>
        <w:br/>
        <w:t>- Crear las condiciones para asegurar la disponibilidad de una oferta energética eficiente capaz de abastecer la demanda bajo criterios sociales, económicos, ambientales y de viabilidad financiera, promover y preservar la competencia, para lo cual, la oferta eficiente, en el sector eléctrico, debe tener en cuenta la capacidad de generación de respaldo;</w:t>
      </w:r>
    </w:p>
    <w:p w:rsidR="00026739" w:rsidRDefault="00026739" w:rsidP="00026739">
      <w:pPr>
        <w:ind w:left="426"/>
        <w:rPr>
          <w:rFonts w:ascii="Bookman Old Style" w:hAnsi="Bookman Old Style"/>
        </w:rPr>
      </w:pPr>
    </w:p>
    <w:p w:rsidR="00026739" w:rsidRDefault="00026739" w:rsidP="00026739">
      <w:pPr>
        <w:ind w:left="426"/>
        <w:rPr>
          <w:rFonts w:ascii="Bookman Old Style" w:hAnsi="Bookman Old Style" w:cs="Arial"/>
        </w:rPr>
      </w:pPr>
      <w:r w:rsidRPr="003C3499">
        <w:rPr>
          <w:rFonts w:ascii="Bookman Old Style" w:hAnsi="Bookman Old Style" w:cs="Arial"/>
        </w:rPr>
        <w:lastRenderedPageBreak/>
        <w:t>- Valorar la capacidad de generación de respaldo de la oferta eficiente;</w:t>
      </w:r>
    </w:p>
    <w:p w:rsidR="00026739" w:rsidRPr="003C3499" w:rsidRDefault="00026739" w:rsidP="00026739">
      <w:pPr>
        <w:ind w:left="426"/>
        <w:rPr>
          <w:rFonts w:ascii="Bookman Old Style" w:hAnsi="Bookman Old Style" w:cs="Arial"/>
        </w:rPr>
      </w:pPr>
    </w:p>
    <w:p w:rsidR="00026739" w:rsidRPr="003C3499" w:rsidRDefault="00026739" w:rsidP="00026739">
      <w:pPr>
        <w:ind w:left="426"/>
        <w:rPr>
          <w:rFonts w:ascii="Bookman Old Style" w:hAnsi="Bookman Old Style" w:cs="Arial"/>
        </w:rPr>
      </w:pPr>
      <w:r w:rsidRPr="003C3499">
        <w:rPr>
          <w:rFonts w:ascii="Bookman Old Style" w:hAnsi="Bookman Old Style" w:cs="Arial"/>
        </w:rPr>
        <w:t>- Definir y hacer operativos los criterios técnicos de calidad, confiabilidad y seguridad del servicio de energía; y</w:t>
      </w:r>
    </w:p>
    <w:p w:rsidR="00026739" w:rsidRPr="003C3499" w:rsidRDefault="00026739" w:rsidP="00026739">
      <w:pPr>
        <w:ind w:left="426"/>
        <w:rPr>
          <w:rFonts w:ascii="Bookman Old Style" w:hAnsi="Bookman Old Style" w:cs="Arial"/>
        </w:rPr>
      </w:pPr>
    </w:p>
    <w:p w:rsidR="00026739" w:rsidRPr="003C3499" w:rsidRDefault="00026739" w:rsidP="00026739">
      <w:pPr>
        <w:ind w:left="426"/>
        <w:rPr>
          <w:rFonts w:ascii="Bookman Old Style" w:hAnsi="Bookman Old Style" w:cs="Arial"/>
        </w:rPr>
      </w:pPr>
      <w:r w:rsidRPr="003C3499">
        <w:rPr>
          <w:rFonts w:ascii="Bookman Old Style" w:hAnsi="Bookman Old Style" w:cs="Arial"/>
        </w:rPr>
        <w:t>- Determinar las condiciones para la liberación gradual del mercado hacia la libre competencia.</w:t>
      </w:r>
    </w:p>
    <w:p w:rsidR="00026739" w:rsidRPr="003C3499" w:rsidRDefault="00026739" w:rsidP="00026739">
      <w:pPr>
        <w:rPr>
          <w:rFonts w:ascii="Bookman Old Style" w:hAnsi="Bookman Old Style" w:cs="Arial"/>
          <w:b/>
        </w:rPr>
      </w:pPr>
    </w:p>
    <w:p w:rsidR="00026739" w:rsidRPr="003C3499" w:rsidRDefault="00026739" w:rsidP="00026739">
      <w:pPr>
        <w:ind w:left="0"/>
        <w:rPr>
          <w:rFonts w:ascii="Bookman Old Style" w:hAnsi="Bookman Old Style" w:cs="Arial"/>
        </w:rPr>
      </w:pPr>
      <w:r w:rsidRPr="003C3499">
        <w:rPr>
          <w:rFonts w:ascii="Bookman Old Style" w:hAnsi="Bookman Old Style" w:cs="Arial"/>
        </w:rPr>
        <w:t>De acuerdo con lo establecido en el literal c) del artículo 74.1 de la ley 142 de 1994, le corresponde a la CREG establecer el Reglamento de Operación, para regular el funcionamiento del Mercado Mayorista.</w:t>
      </w:r>
    </w:p>
    <w:p w:rsidR="00026739" w:rsidRPr="003C3499" w:rsidRDefault="00026739" w:rsidP="00026739">
      <w:pPr>
        <w:pStyle w:val="Vietaletra"/>
        <w:numPr>
          <w:ilvl w:val="0"/>
          <w:numId w:val="0"/>
        </w:numPr>
        <w:suppressAutoHyphens w:val="0"/>
        <w:overflowPunct/>
        <w:autoSpaceDE/>
        <w:textAlignment w:val="auto"/>
        <w:rPr>
          <w:rFonts w:ascii="Bookman Old Style" w:hAnsi="Bookman Old Style" w:cs="Arial"/>
          <w:bCs/>
          <w:szCs w:val="24"/>
          <w:lang w:val="es-CO" w:eastAsia="es-ES"/>
        </w:rPr>
      </w:pPr>
    </w:p>
    <w:p w:rsidR="00026739" w:rsidRPr="003C3499" w:rsidRDefault="00026739" w:rsidP="00026739">
      <w:pPr>
        <w:pStyle w:val="Vietaletra"/>
        <w:numPr>
          <w:ilvl w:val="0"/>
          <w:numId w:val="0"/>
        </w:numPr>
        <w:suppressAutoHyphens w:val="0"/>
        <w:overflowPunct/>
        <w:autoSpaceDE/>
        <w:textAlignment w:val="auto"/>
        <w:rPr>
          <w:rFonts w:ascii="Bookman Old Style" w:hAnsi="Bookman Old Style" w:cs="Arial"/>
          <w:bCs/>
          <w:szCs w:val="24"/>
          <w:lang w:val="es-CO" w:eastAsia="es-ES"/>
        </w:rPr>
      </w:pPr>
      <w:r w:rsidRPr="003C3499">
        <w:rPr>
          <w:rFonts w:ascii="Bookman Old Style" w:hAnsi="Bookman Old Style" w:cs="Arial"/>
          <w:bCs/>
          <w:szCs w:val="24"/>
          <w:lang w:val="es-CO" w:eastAsia="es-ES"/>
        </w:rPr>
        <w:t>L</w:t>
      </w:r>
      <w:r>
        <w:rPr>
          <w:rFonts w:ascii="Bookman Old Style" w:hAnsi="Bookman Old Style" w:cs="Arial"/>
          <w:bCs/>
          <w:szCs w:val="24"/>
          <w:lang w:val="es-CO" w:eastAsia="es-ES"/>
        </w:rPr>
        <w:t xml:space="preserve">a CREG mediante Resolución CREG </w:t>
      </w:r>
      <w:r w:rsidRPr="003C3499">
        <w:rPr>
          <w:rFonts w:ascii="Bookman Old Style" w:hAnsi="Bookman Old Style" w:cs="Arial"/>
          <w:bCs/>
          <w:szCs w:val="24"/>
          <w:lang w:val="es-CO" w:eastAsia="es-ES"/>
        </w:rPr>
        <w:t>071 de 2006, adoptó la metodología para la remuneración del Cargo por Confiabilidad en el Mercado Mayorista de Energía, en la cual se estableció que con el fin de garantizar la confiabilidad del servicio de energía eléctrica en el Sistema Interconectado Nacional se definirá una Demanda Objetivo que se debe cubrir mediante Obligaciones de Energía Firme.</w:t>
      </w:r>
    </w:p>
    <w:p w:rsidR="00026739" w:rsidRPr="00BC4290" w:rsidRDefault="00026739" w:rsidP="00026739">
      <w:pPr>
        <w:rPr>
          <w:rFonts w:ascii="Bookman Old Style" w:hAnsi="Bookman Old Style" w:cs="Arial"/>
          <w:bCs/>
          <w:sz w:val="22"/>
        </w:rPr>
      </w:pPr>
    </w:p>
    <w:p w:rsidR="00026739" w:rsidRPr="003C3499" w:rsidRDefault="00026739" w:rsidP="00026739">
      <w:pPr>
        <w:pStyle w:val="Vietaletra"/>
        <w:numPr>
          <w:ilvl w:val="0"/>
          <w:numId w:val="0"/>
        </w:numPr>
        <w:suppressAutoHyphens w:val="0"/>
        <w:overflowPunct/>
        <w:autoSpaceDE/>
        <w:textAlignment w:val="auto"/>
        <w:rPr>
          <w:rFonts w:ascii="Bookman Old Style" w:hAnsi="Bookman Old Style" w:cs="Arial"/>
          <w:bCs/>
          <w:szCs w:val="24"/>
          <w:lang w:val="es-CO" w:eastAsia="es-ES"/>
        </w:rPr>
      </w:pPr>
      <w:r w:rsidRPr="003C3499">
        <w:rPr>
          <w:rFonts w:ascii="Bookman Old Style" w:hAnsi="Bookman Old Style" w:cs="Arial"/>
          <w:bCs/>
          <w:szCs w:val="24"/>
          <w:lang w:val="es-CO" w:eastAsia="es-ES"/>
        </w:rPr>
        <w:t xml:space="preserve">En el artículo 2 de la Resolución </w:t>
      </w:r>
      <w:r>
        <w:rPr>
          <w:rFonts w:ascii="Bookman Old Style" w:hAnsi="Bookman Old Style" w:cs="Arial"/>
          <w:bCs/>
          <w:szCs w:val="24"/>
          <w:lang w:val="es-CO" w:eastAsia="es-ES"/>
        </w:rPr>
        <w:t xml:space="preserve">CREG </w:t>
      </w:r>
      <w:r w:rsidRPr="003C3499">
        <w:rPr>
          <w:rFonts w:ascii="Bookman Old Style" w:hAnsi="Bookman Old Style" w:cs="Arial"/>
          <w:bCs/>
          <w:szCs w:val="24"/>
          <w:lang w:val="es-CO" w:eastAsia="es-ES"/>
        </w:rPr>
        <w:t>071 de 2006, se definió la Demanda Objetivo como aquella que “equivale a la Demanda Total Doméstica de Energía para cada uno de los meses comprendidos entre el 1º de Diciembre y el 30 de noviembre del año siguiente al Período de Planeación, más un porcentaje que fijará la CREG</w:t>
      </w:r>
      <w:r>
        <w:rPr>
          <w:rFonts w:ascii="Bookman Old Style" w:hAnsi="Bookman Old Style" w:cs="Arial"/>
          <w:bCs/>
          <w:szCs w:val="24"/>
          <w:lang w:val="es-CO" w:eastAsia="es-ES"/>
        </w:rPr>
        <w:t>…”</w:t>
      </w:r>
      <w:r w:rsidRPr="003C3499">
        <w:rPr>
          <w:rFonts w:ascii="Bookman Old Style" w:hAnsi="Bookman Old Style" w:cs="Arial"/>
          <w:bCs/>
          <w:szCs w:val="24"/>
          <w:lang w:val="es-CO" w:eastAsia="es-ES"/>
        </w:rPr>
        <w:t>; y se estableció que “la Demanda Total Doméstica de Energía corresponderá a la proyección más reciente elaborada por la UPME para el escenario de proyección seleccionado por la CREG”.</w:t>
      </w:r>
    </w:p>
    <w:p w:rsidR="00026739" w:rsidRPr="00BC4290" w:rsidRDefault="00026739" w:rsidP="00026739">
      <w:pPr>
        <w:rPr>
          <w:rFonts w:ascii="Bookman Old Style" w:hAnsi="Bookman Old Style" w:cs="Arial"/>
          <w:bCs/>
          <w:sz w:val="22"/>
        </w:rPr>
      </w:pPr>
    </w:p>
    <w:p w:rsidR="00026739" w:rsidRDefault="00026739" w:rsidP="00026739">
      <w:pPr>
        <w:ind w:left="0"/>
        <w:jc w:val="both"/>
        <w:rPr>
          <w:rFonts w:ascii="Bookman Old Style" w:hAnsi="Bookman Old Style" w:cs="Arial"/>
          <w:bCs/>
          <w:i/>
        </w:rPr>
      </w:pPr>
      <w:r w:rsidRPr="003C3499">
        <w:rPr>
          <w:rFonts w:ascii="Bookman Old Style" w:hAnsi="Bookman Old Style" w:cs="Arial"/>
          <w:bCs/>
        </w:rPr>
        <w:t>Según lo dispuesto en el artículo 18 de la Resolución CREG</w:t>
      </w:r>
      <w:r>
        <w:rPr>
          <w:rFonts w:ascii="Bookman Old Style" w:hAnsi="Bookman Old Style" w:cs="Arial"/>
          <w:bCs/>
        </w:rPr>
        <w:t xml:space="preserve"> </w:t>
      </w:r>
      <w:r w:rsidRPr="003C3499">
        <w:rPr>
          <w:rFonts w:ascii="Bookman Old Style" w:hAnsi="Bookman Old Style" w:cs="Arial"/>
          <w:bCs/>
        </w:rPr>
        <w:t xml:space="preserve">071 de 2006, </w:t>
      </w:r>
      <w:r w:rsidRPr="003C3499">
        <w:rPr>
          <w:rFonts w:ascii="Bookman Old Style" w:hAnsi="Bookman Old Style" w:cs="Arial"/>
          <w:bCs/>
          <w:i/>
        </w:rPr>
        <w:t>“Durante el primer semestre de cada año la CREG verificará si la suma de la ENFICC de cada una de las plantas y/o unidades de generación es mayor o igual a la Demanda Objetivo calculada para el año que inicia el 1º de diciembre del año t+p, de acuerdo con lo establecido en el Artículo 19 de esta resolución”.</w:t>
      </w:r>
    </w:p>
    <w:p w:rsidR="00026739" w:rsidRPr="00BC4290" w:rsidRDefault="00026739" w:rsidP="00026739">
      <w:pPr>
        <w:rPr>
          <w:rFonts w:ascii="Bookman Old Style" w:hAnsi="Bookman Old Style" w:cs="Arial"/>
          <w:bCs/>
          <w:i/>
          <w:sz w:val="22"/>
        </w:rPr>
      </w:pPr>
    </w:p>
    <w:p w:rsidR="00026739" w:rsidRPr="003C3499" w:rsidRDefault="00026739" w:rsidP="00026739">
      <w:pPr>
        <w:ind w:left="0"/>
        <w:jc w:val="both"/>
        <w:rPr>
          <w:rFonts w:ascii="Bookman Old Style" w:hAnsi="Bookman Old Style" w:cs="Arial"/>
          <w:i/>
        </w:rPr>
      </w:pPr>
      <w:r w:rsidRPr="003C3499">
        <w:rPr>
          <w:rFonts w:ascii="Bookman Old Style" w:hAnsi="Bookman Old Style" w:cs="Arial"/>
          <w:bCs/>
        </w:rPr>
        <w:t>En el citado ar</w:t>
      </w:r>
      <w:r w:rsidR="00D14C41">
        <w:rPr>
          <w:rFonts w:ascii="Bookman Old Style" w:hAnsi="Bookman Old Style" w:cs="Arial"/>
          <w:bCs/>
        </w:rPr>
        <w:t xml:space="preserve">tículo 18 de la Resolución CREG </w:t>
      </w:r>
      <w:r w:rsidRPr="003C3499">
        <w:rPr>
          <w:rFonts w:ascii="Bookman Old Style" w:hAnsi="Bookman Old Style" w:cs="Arial"/>
          <w:bCs/>
        </w:rPr>
        <w:t xml:space="preserve">071 de 2006 se estableció que </w:t>
      </w:r>
      <w:r w:rsidRPr="003C3499">
        <w:rPr>
          <w:rFonts w:ascii="Bookman Old Style" w:hAnsi="Bookman Old Style" w:cs="Arial"/>
          <w:bCs/>
          <w:i/>
        </w:rPr>
        <w:t>“l</w:t>
      </w:r>
      <w:r w:rsidRPr="003C3499">
        <w:rPr>
          <w:rFonts w:ascii="Bookman Old Style" w:hAnsi="Bookman Old Style" w:cs="Arial"/>
          <w:i/>
        </w:rPr>
        <w:t>a CREG fijará, mediante resolución, la oportunidad en que el ASIC debe llevar a cabo la Subasta o el mecanismo de asignación que haga sus veces; así como el cronograma de las actividades que deben ejecutarse durante los Períodos de Precalificación y de Planeación de la Subasta, o las fechas máximas de ejecución de las actividades asociadas al mecanismo de asignación, según sea el caso”.</w:t>
      </w:r>
    </w:p>
    <w:p w:rsidR="00026739" w:rsidRPr="00BC4290" w:rsidRDefault="00026739" w:rsidP="00026739">
      <w:pPr>
        <w:rPr>
          <w:rFonts w:ascii="Bookman Old Style" w:hAnsi="Bookman Old Style" w:cs="Arial"/>
          <w:bCs/>
          <w:sz w:val="22"/>
        </w:rPr>
      </w:pPr>
    </w:p>
    <w:p w:rsidR="00026739" w:rsidRPr="003C3499" w:rsidRDefault="00026739" w:rsidP="00026739">
      <w:pPr>
        <w:ind w:left="0"/>
        <w:jc w:val="both"/>
        <w:rPr>
          <w:rFonts w:ascii="Bookman Old Style" w:hAnsi="Bookman Old Style" w:cs="Arial"/>
          <w:bCs/>
        </w:rPr>
      </w:pPr>
      <w:r w:rsidRPr="003C3499">
        <w:rPr>
          <w:rFonts w:ascii="Bookman Old Style" w:hAnsi="Bookman Old Style" w:cs="Arial"/>
          <w:bCs/>
        </w:rPr>
        <w:t>La CREG expidió la Resolución CREG</w:t>
      </w:r>
      <w:r>
        <w:rPr>
          <w:rFonts w:ascii="Bookman Old Style" w:hAnsi="Bookman Old Style" w:cs="Arial"/>
          <w:bCs/>
        </w:rPr>
        <w:t xml:space="preserve"> 180</w:t>
      </w:r>
      <w:r w:rsidRPr="003C3499">
        <w:rPr>
          <w:rFonts w:ascii="Bookman Old Style" w:hAnsi="Bookman Old Style" w:cs="Arial"/>
          <w:bCs/>
        </w:rPr>
        <w:t xml:space="preserve"> de 20</w:t>
      </w:r>
      <w:r>
        <w:rPr>
          <w:rFonts w:ascii="Bookman Old Style" w:hAnsi="Bookman Old Style" w:cs="Arial"/>
          <w:bCs/>
        </w:rPr>
        <w:t>10</w:t>
      </w:r>
      <w:r w:rsidRPr="003C3499">
        <w:rPr>
          <w:rFonts w:ascii="Bookman Old Style" w:hAnsi="Bookman Old Style" w:cs="Arial"/>
          <w:bCs/>
        </w:rPr>
        <w:t xml:space="preserve"> “</w:t>
      </w:r>
      <w:r>
        <w:rPr>
          <w:rFonts w:ascii="Bookman Old Style" w:hAnsi="Bookman Old Style" w:cs="Arial"/>
          <w:bCs/>
          <w:i/>
        </w:rPr>
        <w:t>Por la cual se fija la oportunidad en que se asignarán las Obligaciones de Energía Firme del Cargo por Confiabilidad para el período comprendido entre el 1 de diciembre de 2014 y el 30 de noviembre de 2015 a quienes representen plantas existentes</w:t>
      </w:r>
      <w:r w:rsidRPr="003C3499">
        <w:rPr>
          <w:rFonts w:ascii="Bookman Old Style" w:hAnsi="Bookman Old Style" w:cs="Arial"/>
          <w:bCs/>
        </w:rPr>
        <w:t>”.</w:t>
      </w:r>
    </w:p>
    <w:p w:rsidR="00026739" w:rsidRPr="00BC4290" w:rsidRDefault="00026739" w:rsidP="00026739">
      <w:pPr>
        <w:rPr>
          <w:rFonts w:ascii="Bookman Old Style" w:hAnsi="Bookman Old Style" w:cs="Arial"/>
          <w:bCs/>
          <w:sz w:val="22"/>
        </w:rPr>
      </w:pPr>
    </w:p>
    <w:p w:rsidR="00026739" w:rsidRDefault="00026739" w:rsidP="00026739">
      <w:pPr>
        <w:ind w:left="0"/>
        <w:jc w:val="both"/>
        <w:rPr>
          <w:rFonts w:ascii="Bookman Old Style" w:hAnsi="Bookman Old Style" w:cs="Arial"/>
          <w:bCs/>
        </w:rPr>
      </w:pPr>
      <w:r w:rsidRPr="003C3499">
        <w:rPr>
          <w:rFonts w:ascii="Bookman Old Style" w:hAnsi="Bookman Old Style" w:cs="Arial"/>
          <w:bCs/>
        </w:rPr>
        <w:t xml:space="preserve">Se recibieron comentarios de </w:t>
      </w:r>
      <w:r>
        <w:rPr>
          <w:rFonts w:ascii="Bookman Old Style" w:hAnsi="Bookman Old Style" w:cs="Arial"/>
          <w:bCs/>
        </w:rPr>
        <w:t>GECELCA E.S.P,</w:t>
      </w:r>
      <w:r w:rsidRPr="003C3499">
        <w:rPr>
          <w:rFonts w:ascii="Bookman Old Style" w:hAnsi="Bookman Old Style" w:cs="Arial"/>
          <w:bCs/>
        </w:rPr>
        <w:t>, radicado E-20</w:t>
      </w:r>
      <w:r>
        <w:rPr>
          <w:rFonts w:ascii="Bookman Old Style" w:hAnsi="Bookman Old Style" w:cs="Arial"/>
          <w:bCs/>
        </w:rPr>
        <w:t>11</w:t>
      </w:r>
      <w:r w:rsidRPr="003C3499">
        <w:rPr>
          <w:rFonts w:ascii="Bookman Old Style" w:hAnsi="Bookman Old Style" w:cs="Arial"/>
          <w:bCs/>
        </w:rPr>
        <w:t>-00</w:t>
      </w:r>
      <w:r>
        <w:rPr>
          <w:rFonts w:ascii="Bookman Old Style" w:hAnsi="Bookman Old Style" w:cs="Arial"/>
          <w:bCs/>
        </w:rPr>
        <w:t>0644</w:t>
      </w:r>
      <w:r w:rsidR="00AA39A7">
        <w:rPr>
          <w:rFonts w:ascii="Bookman Old Style" w:hAnsi="Bookman Old Style" w:cs="Arial"/>
          <w:bCs/>
        </w:rPr>
        <w:t xml:space="preserve">, EPM E.S.P., radicado E-2011-000645, </w:t>
      </w:r>
      <w:r w:rsidR="00E75D5B">
        <w:rPr>
          <w:rFonts w:ascii="Bookman Old Style" w:hAnsi="Bookman Old Style" w:cs="Arial"/>
          <w:bCs/>
        </w:rPr>
        <w:t xml:space="preserve">ISAGEN E.S.P., radicado E-2011-000518, </w:t>
      </w:r>
      <w:r>
        <w:rPr>
          <w:rFonts w:ascii="Bookman Old Style" w:hAnsi="Bookman Old Style" w:cs="Arial"/>
          <w:bCs/>
        </w:rPr>
        <w:t>ANDEG,  radicado CREG E-</w:t>
      </w:r>
      <w:r w:rsidR="00AA39A7">
        <w:rPr>
          <w:rFonts w:ascii="Bookman Old Style" w:hAnsi="Bookman Old Style" w:cs="Arial"/>
          <w:bCs/>
        </w:rPr>
        <w:t xml:space="preserve">2011-000586, </w:t>
      </w:r>
      <w:r w:rsidR="00E75D5B">
        <w:rPr>
          <w:rFonts w:ascii="Bookman Old Style" w:hAnsi="Bookman Old Style" w:cs="Arial"/>
          <w:bCs/>
        </w:rPr>
        <w:t xml:space="preserve">y ACOLGEN, radicado E-2011-000638, </w:t>
      </w:r>
      <w:r w:rsidR="00AA39A7">
        <w:rPr>
          <w:rFonts w:ascii="Bookman Old Style" w:hAnsi="Bookman Old Style" w:cs="Arial"/>
          <w:bCs/>
        </w:rPr>
        <w:t>solicitando el aplazamiento del cronograma de asignación.</w:t>
      </w:r>
    </w:p>
    <w:p w:rsidR="00AA39A7" w:rsidRDefault="00AA39A7" w:rsidP="00026739">
      <w:pPr>
        <w:ind w:left="0"/>
        <w:jc w:val="both"/>
        <w:rPr>
          <w:rFonts w:ascii="Bookman Old Style" w:hAnsi="Bookman Old Style" w:cs="Arial"/>
          <w:bCs/>
        </w:rPr>
      </w:pPr>
    </w:p>
    <w:p w:rsidR="00AA39A7" w:rsidRPr="003C3499" w:rsidRDefault="00AA39A7" w:rsidP="00026739">
      <w:pPr>
        <w:ind w:left="0"/>
        <w:jc w:val="both"/>
        <w:rPr>
          <w:rFonts w:ascii="Bookman Old Style" w:hAnsi="Bookman Old Style" w:cs="Arial"/>
          <w:bCs/>
        </w:rPr>
      </w:pPr>
      <w:r>
        <w:rPr>
          <w:rFonts w:ascii="Bookman Old Style" w:hAnsi="Bookman Old Style" w:cs="Arial"/>
          <w:bCs/>
        </w:rPr>
        <w:t>La CREG</w:t>
      </w:r>
      <w:r w:rsidR="00F52A1C">
        <w:rPr>
          <w:rFonts w:ascii="Bookman Old Style" w:hAnsi="Bookman Old Style" w:cs="Arial"/>
          <w:bCs/>
        </w:rPr>
        <w:t xml:space="preserve"> ha</w:t>
      </w:r>
      <w:r>
        <w:rPr>
          <w:rFonts w:ascii="Bookman Old Style" w:hAnsi="Bookman Old Style" w:cs="Arial"/>
          <w:bCs/>
        </w:rPr>
        <w:t xml:space="preserve"> encontrado conveniente </w:t>
      </w:r>
      <w:r w:rsidR="00F52A1C">
        <w:rPr>
          <w:rFonts w:ascii="Bookman Old Style" w:hAnsi="Bookman Old Style" w:cs="Arial"/>
          <w:bCs/>
        </w:rPr>
        <w:t xml:space="preserve"> ajustar el </w:t>
      </w:r>
      <w:r>
        <w:rPr>
          <w:rFonts w:ascii="Bookman Old Style" w:hAnsi="Bookman Old Style" w:cs="Arial"/>
          <w:bCs/>
        </w:rPr>
        <w:t xml:space="preserve">cronograma de asignaciones del período diciembre de 2014 a noviembre de 2015 para hacer consistente con </w:t>
      </w:r>
      <w:r>
        <w:rPr>
          <w:rFonts w:ascii="Bookman Old Style" w:hAnsi="Bookman Old Style" w:cs="Arial"/>
          <w:bCs/>
        </w:rPr>
        <w:lastRenderedPageBreak/>
        <w:t>la resolución definitiva de la opción de gas natural importado para respaldar Obligaciones de Energía Firme del Cargo por Confiabilidad.</w:t>
      </w:r>
    </w:p>
    <w:p w:rsidR="00026739" w:rsidRDefault="00026739" w:rsidP="00AA39A7">
      <w:pPr>
        <w:ind w:left="0"/>
        <w:rPr>
          <w:rFonts w:ascii="Bookman Old Style" w:hAnsi="Bookman Old Style" w:cs="Arial"/>
          <w:bCs/>
        </w:rPr>
      </w:pPr>
    </w:p>
    <w:p w:rsidR="00E75D5B" w:rsidRDefault="00E75D5B" w:rsidP="00E75D5B">
      <w:pPr>
        <w:ind w:left="0"/>
        <w:jc w:val="both"/>
        <w:rPr>
          <w:rFonts w:ascii="Bookman Old Style" w:hAnsi="Bookman Old Style"/>
        </w:rPr>
      </w:pPr>
      <w:r>
        <w:rPr>
          <w:rFonts w:ascii="Bookman Old Style" w:hAnsi="Bookman Old Style"/>
        </w:rPr>
        <w:t>De conformidad con lo establecido en el parágrafo del artículo 9 del Decreto 2696 de 2004 y el numeral 3 del a</w:t>
      </w:r>
      <w:r w:rsidR="00D14C41">
        <w:rPr>
          <w:rFonts w:ascii="Bookman Old Style" w:hAnsi="Bookman Old Style"/>
        </w:rPr>
        <w:t xml:space="preserve">rtículo 2 de la Resolución CREG </w:t>
      </w:r>
      <w:r>
        <w:rPr>
          <w:rFonts w:ascii="Bookman Old Style" w:hAnsi="Bookman Old Style"/>
        </w:rPr>
        <w:t xml:space="preserve">097 de 2004, la Comisión decidió por unanimidad que la presente Resolución no estará sometida a las disposiciones sobre publicidad de proyectos de regulación previstas en el Decreto, por razones de conveniencia general y oportunidad, teniendo en cuenta que </w:t>
      </w:r>
      <w:r w:rsidR="00F47B8C">
        <w:rPr>
          <w:rFonts w:ascii="Bookman Old Style" w:hAnsi="Bookman Old Style"/>
        </w:rPr>
        <w:t>las reglas que aquí se adoptan se requieren para que los agentes puedan tomar decisiones y remitir a la CREG la información necesaria para participar en la asignación</w:t>
      </w:r>
      <w:r w:rsidR="008704F3">
        <w:rPr>
          <w:rFonts w:ascii="Bookman Old Style" w:hAnsi="Bookman Old Style"/>
        </w:rPr>
        <w:t xml:space="preserve"> de las OEF</w:t>
      </w:r>
      <w:r w:rsidR="00F47B8C">
        <w:rPr>
          <w:rFonts w:ascii="Bookman Old Style" w:hAnsi="Bookman Old Style"/>
        </w:rPr>
        <w:t>, según el cronograma definido</w:t>
      </w:r>
      <w:r>
        <w:rPr>
          <w:rFonts w:ascii="Bookman Old Style" w:hAnsi="Bookman Old Style"/>
        </w:rPr>
        <w:t>.</w:t>
      </w:r>
    </w:p>
    <w:p w:rsidR="00AA39A7" w:rsidRDefault="00AA39A7" w:rsidP="00AA39A7">
      <w:pPr>
        <w:ind w:left="0"/>
        <w:rPr>
          <w:rFonts w:ascii="Bookman Old Style" w:hAnsi="Bookman Old Style" w:cs="Arial"/>
          <w:bCs/>
        </w:rPr>
      </w:pPr>
    </w:p>
    <w:p w:rsidR="00026739" w:rsidRDefault="00026739" w:rsidP="00026739">
      <w:pPr>
        <w:ind w:left="0"/>
        <w:jc w:val="both"/>
        <w:rPr>
          <w:rFonts w:ascii="Bookman Old Style" w:hAnsi="Bookman Old Style"/>
        </w:rPr>
      </w:pPr>
      <w:r>
        <w:rPr>
          <w:rFonts w:ascii="Bookman Old Style" w:hAnsi="Bookman Old Style"/>
        </w:rPr>
        <w:t>No se informó este acto a la Superi</w:t>
      </w:r>
      <w:r w:rsidR="00BC2822">
        <w:rPr>
          <w:rFonts w:ascii="Bookman Old Style" w:hAnsi="Bookman Old Style"/>
        </w:rPr>
        <w:t>n</w:t>
      </w:r>
      <w:r>
        <w:rPr>
          <w:rFonts w:ascii="Bookman Old Style" w:hAnsi="Bookman Old Style"/>
        </w:rPr>
        <w:t xml:space="preserve">tendencia de Industria y Comercio por cuanto no tiene incidencia sobre la libre competencia según </w:t>
      </w:r>
      <w:r w:rsidR="00F52A1C">
        <w:rPr>
          <w:rFonts w:ascii="Bookman Old Style" w:hAnsi="Bookman Old Style"/>
        </w:rPr>
        <w:t xml:space="preserve"> señalado en </w:t>
      </w:r>
      <w:r>
        <w:rPr>
          <w:rFonts w:ascii="Bookman Old Style" w:hAnsi="Bookman Old Style"/>
        </w:rPr>
        <w:t xml:space="preserve">el Decreto 2897 de 2010. </w:t>
      </w:r>
    </w:p>
    <w:p w:rsidR="00026739" w:rsidRDefault="00026739" w:rsidP="00026739">
      <w:pPr>
        <w:ind w:left="0"/>
        <w:jc w:val="both"/>
        <w:rPr>
          <w:rFonts w:ascii="Bookman Old Style" w:hAnsi="Bookman Old Style"/>
          <w:bCs/>
        </w:rPr>
      </w:pPr>
    </w:p>
    <w:p w:rsidR="00F47B8C" w:rsidRPr="003B187B" w:rsidRDefault="00F47B8C" w:rsidP="00F47B8C">
      <w:pPr>
        <w:ind w:left="0"/>
        <w:jc w:val="both"/>
        <w:rPr>
          <w:rFonts w:ascii="Bookman Old Style" w:hAnsi="Bookman Old Style"/>
        </w:rPr>
      </w:pPr>
      <w:r w:rsidRPr="003B187B">
        <w:rPr>
          <w:rFonts w:ascii="Bookman Old Style" w:hAnsi="Bookman Old Style"/>
        </w:rPr>
        <w:t xml:space="preserve">La Comisión de Regulación de Energía y Gas, en su Sesión </w:t>
      </w:r>
      <w:r w:rsidR="00DE1DC2">
        <w:rPr>
          <w:rFonts w:ascii="Bookman Old Style" w:hAnsi="Bookman Old Style"/>
        </w:rPr>
        <w:t>478</w:t>
      </w:r>
      <w:r w:rsidRPr="003B187B">
        <w:rPr>
          <w:rFonts w:ascii="Bookman Old Style" w:hAnsi="Bookman Old Style"/>
        </w:rPr>
        <w:t xml:space="preserve"> del </w:t>
      </w:r>
      <w:r w:rsidR="00F52A1C">
        <w:rPr>
          <w:rFonts w:ascii="Bookman Old Style" w:hAnsi="Bookman Old Style"/>
        </w:rPr>
        <w:t xml:space="preserve">10 </w:t>
      </w:r>
      <w:r w:rsidRPr="003B187B">
        <w:rPr>
          <w:rFonts w:ascii="Bookman Old Style" w:hAnsi="Bookman Old Style"/>
        </w:rPr>
        <w:t xml:space="preserve">de </w:t>
      </w:r>
      <w:r>
        <w:rPr>
          <w:rFonts w:ascii="Bookman Old Style" w:hAnsi="Bookman Old Style"/>
        </w:rPr>
        <w:t>febrero</w:t>
      </w:r>
      <w:r w:rsidRPr="003B187B">
        <w:rPr>
          <w:rFonts w:ascii="Bookman Old Style" w:hAnsi="Bookman Old Style"/>
        </w:rPr>
        <w:t xml:space="preserve"> de 201</w:t>
      </w:r>
      <w:r>
        <w:rPr>
          <w:rFonts w:ascii="Bookman Old Style" w:hAnsi="Bookman Old Style"/>
        </w:rPr>
        <w:t>1</w:t>
      </w:r>
      <w:r w:rsidRPr="003B187B">
        <w:rPr>
          <w:rFonts w:ascii="Bookman Old Style" w:hAnsi="Bookman Old Style"/>
        </w:rPr>
        <w:t>, acordó expedir esta resolución.</w:t>
      </w:r>
    </w:p>
    <w:p w:rsidR="00C435C3" w:rsidRPr="00C435C3" w:rsidRDefault="00C435C3" w:rsidP="002C614D">
      <w:pPr>
        <w:ind w:left="0"/>
        <w:rPr>
          <w:rFonts w:ascii="Bookman Old Style" w:hAnsi="Bookman Old Style"/>
        </w:rPr>
      </w:pPr>
    </w:p>
    <w:p w:rsidR="00C435C3" w:rsidRPr="00C435C3" w:rsidRDefault="00C435C3" w:rsidP="00C435C3">
      <w:pPr>
        <w:ind w:left="0"/>
        <w:jc w:val="both"/>
        <w:rPr>
          <w:rFonts w:ascii="Bookman Old Style" w:hAnsi="Bookman Old Style"/>
        </w:rPr>
      </w:pPr>
    </w:p>
    <w:p w:rsidR="00C435C3" w:rsidRPr="00C435C3" w:rsidRDefault="00C435C3" w:rsidP="00C435C3">
      <w:pPr>
        <w:ind w:left="0"/>
        <w:jc w:val="both"/>
        <w:rPr>
          <w:rFonts w:ascii="Bookman Old Style" w:hAnsi="Bookman Old Style"/>
        </w:rPr>
      </w:pPr>
    </w:p>
    <w:p w:rsidR="00C435C3" w:rsidRPr="00C435C3" w:rsidRDefault="00C435C3" w:rsidP="00C435C3">
      <w:pPr>
        <w:suppressAutoHyphens/>
        <w:jc w:val="center"/>
        <w:rPr>
          <w:rFonts w:ascii="Bookman Old Style" w:hAnsi="Bookman Old Style"/>
          <w:spacing w:val="-3"/>
        </w:rPr>
      </w:pPr>
      <w:r w:rsidRPr="00C435C3">
        <w:rPr>
          <w:rFonts w:ascii="Bookman Old Style" w:hAnsi="Bookman Old Style"/>
          <w:b/>
          <w:spacing w:val="-3"/>
        </w:rPr>
        <w:t>R E S U E L V E:</w:t>
      </w:r>
    </w:p>
    <w:p w:rsidR="00C435C3" w:rsidRDefault="00C435C3" w:rsidP="00C435C3">
      <w:pPr>
        <w:jc w:val="center"/>
        <w:rPr>
          <w:rFonts w:ascii="Bookman Old Style" w:hAnsi="Bookman Old Style"/>
        </w:rPr>
      </w:pPr>
    </w:p>
    <w:p w:rsidR="00C435C3" w:rsidRDefault="002A782A" w:rsidP="0074046D">
      <w:pPr>
        <w:ind w:left="0"/>
        <w:jc w:val="both"/>
        <w:rPr>
          <w:rFonts w:ascii="Bookman Old Style" w:hAnsi="Bookman Old Style"/>
        </w:rPr>
      </w:pPr>
      <w:r w:rsidRPr="002A782A">
        <w:rPr>
          <w:rFonts w:ascii="Bookman Old Style" w:hAnsi="Bookman Old Style"/>
          <w:b/>
        </w:rPr>
        <w:t xml:space="preserve">Artículo 1. </w:t>
      </w:r>
      <w:r w:rsidR="0074046D">
        <w:rPr>
          <w:rFonts w:ascii="Bookman Old Style" w:hAnsi="Bookman Old Style"/>
          <w:b/>
        </w:rPr>
        <w:t>Modificación del A</w:t>
      </w:r>
      <w:r w:rsidR="00D14C41">
        <w:rPr>
          <w:rFonts w:ascii="Bookman Old Style" w:hAnsi="Bookman Old Style"/>
          <w:b/>
        </w:rPr>
        <w:t xml:space="preserve">nexo de la Resolución CREG </w:t>
      </w:r>
      <w:r w:rsidR="0074046D">
        <w:rPr>
          <w:rFonts w:ascii="Bookman Old Style" w:hAnsi="Bookman Old Style"/>
          <w:b/>
        </w:rPr>
        <w:t>180 de 2010.</w:t>
      </w:r>
      <w:r w:rsidR="0074046D">
        <w:rPr>
          <w:rFonts w:ascii="Bookman Old Style" w:hAnsi="Bookman Old Style"/>
        </w:rPr>
        <w:t xml:space="preserve"> Se modifica</w:t>
      </w:r>
      <w:r w:rsidR="00D14C41">
        <w:rPr>
          <w:rFonts w:ascii="Bookman Old Style" w:hAnsi="Bookman Old Style"/>
        </w:rPr>
        <w:t xml:space="preserve"> el Anexo de la Resolución CREG </w:t>
      </w:r>
      <w:r w:rsidR="0074046D">
        <w:rPr>
          <w:rFonts w:ascii="Bookman Old Style" w:hAnsi="Bookman Old Style"/>
        </w:rPr>
        <w:t>180 de 2010 el cual quedará como se presenta en el anexo de esta Resolución.</w:t>
      </w:r>
    </w:p>
    <w:p w:rsidR="0074046D" w:rsidRDefault="0074046D" w:rsidP="0074046D">
      <w:pPr>
        <w:ind w:left="0"/>
        <w:jc w:val="both"/>
        <w:rPr>
          <w:rFonts w:ascii="Bookman Old Style" w:hAnsi="Bookman Old Style"/>
        </w:rPr>
      </w:pPr>
    </w:p>
    <w:p w:rsidR="0074046D" w:rsidRPr="0074046D" w:rsidRDefault="0074046D" w:rsidP="0074046D">
      <w:pPr>
        <w:ind w:left="0"/>
        <w:jc w:val="both"/>
        <w:rPr>
          <w:rFonts w:ascii="Bookman Old Style" w:hAnsi="Bookman Old Style"/>
        </w:rPr>
      </w:pPr>
      <w:r w:rsidRPr="002A782A">
        <w:rPr>
          <w:rFonts w:ascii="Bookman Old Style" w:hAnsi="Bookman Old Style"/>
          <w:b/>
        </w:rPr>
        <w:t xml:space="preserve">Artículo </w:t>
      </w:r>
      <w:r>
        <w:rPr>
          <w:rFonts w:ascii="Bookman Old Style" w:hAnsi="Bookman Old Style"/>
          <w:b/>
        </w:rPr>
        <w:t>2</w:t>
      </w:r>
      <w:r w:rsidRPr="002A782A">
        <w:rPr>
          <w:rFonts w:ascii="Bookman Old Style" w:hAnsi="Bookman Old Style"/>
          <w:b/>
        </w:rPr>
        <w:t xml:space="preserve">. </w:t>
      </w:r>
      <w:r>
        <w:rPr>
          <w:rFonts w:ascii="Bookman Old Style" w:hAnsi="Bookman Old Style"/>
          <w:b/>
        </w:rPr>
        <w:t>Vigencia.</w:t>
      </w:r>
      <w:r>
        <w:rPr>
          <w:rFonts w:ascii="Bookman Old Style" w:hAnsi="Bookman Old Style"/>
        </w:rPr>
        <w:t xml:space="preserve"> Esta resolución rige a partir de su publicación en el Diario Oficial y modifica las disposiciones que le sean contrarias.</w:t>
      </w:r>
    </w:p>
    <w:p w:rsidR="00C435C3" w:rsidRPr="00C435C3" w:rsidRDefault="00C435C3" w:rsidP="0074046D">
      <w:pPr>
        <w:jc w:val="both"/>
        <w:rPr>
          <w:rFonts w:ascii="Bookman Old Style" w:hAnsi="Bookman Old Style"/>
        </w:rPr>
      </w:pPr>
    </w:p>
    <w:p w:rsidR="00C435C3" w:rsidRDefault="00C435C3" w:rsidP="00AA5E8E">
      <w:pPr>
        <w:widowControl w:val="0"/>
        <w:adjustRightInd w:val="0"/>
        <w:ind w:left="0"/>
        <w:textAlignment w:val="baseline"/>
        <w:rPr>
          <w:rFonts w:ascii="Bookman Old Style" w:hAnsi="Bookman Old Style"/>
        </w:rPr>
      </w:pPr>
    </w:p>
    <w:p w:rsidR="00C435C3" w:rsidRPr="00C435C3" w:rsidRDefault="00C435C3" w:rsidP="00C435C3">
      <w:pPr>
        <w:rPr>
          <w:rFonts w:ascii="Bookman Old Style" w:hAnsi="Bookman Old Style"/>
        </w:rPr>
      </w:pPr>
    </w:p>
    <w:p w:rsidR="00C435C3" w:rsidRPr="00C435C3" w:rsidRDefault="00C435C3" w:rsidP="00C435C3">
      <w:pPr>
        <w:jc w:val="center"/>
        <w:rPr>
          <w:rFonts w:ascii="Bookman Old Style" w:hAnsi="Bookman Old Style"/>
          <w:b/>
        </w:rPr>
      </w:pPr>
      <w:r w:rsidRPr="00C435C3">
        <w:rPr>
          <w:rFonts w:ascii="Bookman Old Style" w:hAnsi="Bookman Old Style"/>
          <w:b/>
        </w:rPr>
        <w:t>PU</w:t>
      </w:r>
      <w:r w:rsidR="006433A4">
        <w:rPr>
          <w:rFonts w:ascii="Bookman Old Style" w:hAnsi="Bookman Old Style"/>
          <w:b/>
        </w:rPr>
        <w:t>B</w:t>
      </w:r>
      <w:r w:rsidRPr="00C435C3">
        <w:rPr>
          <w:rFonts w:ascii="Bookman Old Style" w:hAnsi="Bookman Old Style"/>
          <w:b/>
        </w:rPr>
        <w:t>LÍQUESE Y CÚMPLASE</w:t>
      </w:r>
    </w:p>
    <w:p w:rsidR="00C435C3" w:rsidRPr="00C435C3" w:rsidRDefault="00C435C3" w:rsidP="00C435C3">
      <w:pPr>
        <w:rPr>
          <w:rFonts w:ascii="Bookman Old Style" w:hAnsi="Bookman Old Style"/>
        </w:rPr>
      </w:pPr>
    </w:p>
    <w:p w:rsidR="00C435C3" w:rsidRPr="00C435C3" w:rsidRDefault="00C435C3" w:rsidP="00C435C3">
      <w:pPr>
        <w:rPr>
          <w:rFonts w:ascii="Bookman Old Style" w:hAnsi="Bookman Old Style"/>
        </w:rPr>
      </w:pPr>
    </w:p>
    <w:p w:rsidR="00C435C3" w:rsidRPr="00C435C3" w:rsidRDefault="00C435C3" w:rsidP="00C435C3">
      <w:pPr>
        <w:ind w:left="0"/>
        <w:rPr>
          <w:rFonts w:ascii="Bookman Old Style" w:hAnsi="Bookman Old Style"/>
        </w:rPr>
      </w:pPr>
      <w:r w:rsidRPr="00C435C3">
        <w:rPr>
          <w:rFonts w:ascii="Bookman Old Style" w:hAnsi="Bookman Old Style"/>
        </w:rPr>
        <w:t>Dada en Bogotá. D. C., a los</w:t>
      </w:r>
    </w:p>
    <w:p w:rsidR="00C435C3" w:rsidRPr="00C435C3" w:rsidRDefault="00C435C3" w:rsidP="00C435C3">
      <w:pPr>
        <w:ind w:left="0"/>
        <w:rPr>
          <w:rFonts w:ascii="Bookman Old Style" w:hAnsi="Bookman Old Style"/>
        </w:rPr>
      </w:pPr>
    </w:p>
    <w:p w:rsidR="00C435C3" w:rsidRDefault="00C435C3" w:rsidP="00C435C3">
      <w:pPr>
        <w:ind w:left="0"/>
        <w:rPr>
          <w:rFonts w:ascii="Bookman Old Style" w:hAnsi="Bookman Old Style"/>
        </w:rPr>
      </w:pPr>
    </w:p>
    <w:p w:rsidR="00DE1DC2" w:rsidRDefault="00DE1DC2" w:rsidP="00C435C3">
      <w:pPr>
        <w:ind w:left="0"/>
        <w:rPr>
          <w:rFonts w:ascii="Bookman Old Style" w:hAnsi="Bookman Old Style"/>
        </w:rPr>
      </w:pPr>
    </w:p>
    <w:p w:rsidR="00C435C3" w:rsidRDefault="00C435C3" w:rsidP="00C435C3">
      <w:pPr>
        <w:ind w:left="0"/>
        <w:rPr>
          <w:rFonts w:ascii="Bookman Old Style" w:hAnsi="Bookman Old Style"/>
        </w:rPr>
      </w:pPr>
    </w:p>
    <w:tbl>
      <w:tblPr>
        <w:tblW w:w="9761" w:type="dxa"/>
        <w:jc w:val="right"/>
        <w:tblLayout w:type="fixed"/>
        <w:tblCellMar>
          <w:left w:w="70" w:type="dxa"/>
          <w:right w:w="70" w:type="dxa"/>
        </w:tblCellMar>
        <w:tblLook w:val="0000" w:firstRow="0" w:lastRow="0" w:firstColumn="0" w:lastColumn="0" w:noHBand="0" w:noVBand="0"/>
      </w:tblPr>
      <w:tblGrid>
        <w:gridCol w:w="4503"/>
        <w:gridCol w:w="5258"/>
      </w:tblGrid>
      <w:tr w:rsidR="00C435C3" w:rsidRPr="00720520" w:rsidTr="00CA3A3D">
        <w:trPr>
          <w:jc w:val="right"/>
        </w:trPr>
        <w:tc>
          <w:tcPr>
            <w:tcW w:w="4503" w:type="dxa"/>
          </w:tcPr>
          <w:p w:rsidR="00C435C3" w:rsidRPr="00720520" w:rsidRDefault="00C435C3" w:rsidP="005F6F41">
            <w:pPr>
              <w:ind w:left="204"/>
              <w:rPr>
                <w:rFonts w:ascii="Bookman Old Style" w:hAnsi="Bookman Old Style" w:cs="Arial"/>
                <w:b/>
                <w:spacing w:val="-3"/>
                <w:lang w:val="es-ES_tradnl"/>
              </w:rPr>
            </w:pPr>
            <w:r>
              <w:rPr>
                <w:rFonts w:ascii="Bookman Old Style" w:hAnsi="Bookman Old Style" w:cs="Arial"/>
                <w:b/>
                <w:spacing w:val="-3"/>
              </w:rPr>
              <w:t xml:space="preserve">  </w:t>
            </w:r>
            <w:r w:rsidR="005F6F41">
              <w:rPr>
                <w:rFonts w:ascii="Bookman Old Style" w:hAnsi="Bookman Old Style" w:cs="Arial"/>
                <w:b/>
                <w:spacing w:val="-3"/>
              </w:rPr>
              <w:t>TOMÁS GONZÁLEZ ESTRADA</w:t>
            </w:r>
          </w:p>
        </w:tc>
        <w:tc>
          <w:tcPr>
            <w:tcW w:w="5258" w:type="dxa"/>
          </w:tcPr>
          <w:p w:rsidR="00C435C3" w:rsidRPr="00720520" w:rsidRDefault="00C435C3" w:rsidP="00275DAB">
            <w:pPr>
              <w:ind w:left="161" w:right="567"/>
              <w:jc w:val="right"/>
              <w:rPr>
                <w:rFonts w:ascii="Bookman Old Style" w:hAnsi="Bookman Old Style" w:cs="Arial"/>
                <w:b/>
                <w:spacing w:val="-3"/>
                <w:lang w:val="es-ES_tradnl"/>
              </w:rPr>
            </w:pPr>
            <w:r w:rsidRPr="00720520">
              <w:rPr>
                <w:rFonts w:ascii="Bookman Old Style" w:hAnsi="Bookman Old Style" w:cs="Arial"/>
                <w:b/>
                <w:spacing w:val="-3"/>
                <w:lang w:val="es-ES_tradnl"/>
              </w:rPr>
              <w:t>JAVIER AUGUSTO DÍAZ VELASCO</w:t>
            </w:r>
          </w:p>
        </w:tc>
      </w:tr>
      <w:tr w:rsidR="00C435C3" w:rsidRPr="00720520" w:rsidTr="00CA3A3D">
        <w:trPr>
          <w:jc w:val="right"/>
        </w:trPr>
        <w:tc>
          <w:tcPr>
            <w:tcW w:w="4503" w:type="dxa"/>
          </w:tcPr>
          <w:p w:rsidR="00C435C3" w:rsidRPr="00720520" w:rsidRDefault="00C435C3" w:rsidP="00275DAB">
            <w:pPr>
              <w:ind w:left="0"/>
              <w:jc w:val="center"/>
              <w:rPr>
                <w:rFonts w:ascii="Bookman Old Style" w:hAnsi="Bookman Old Style" w:cs="Arial"/>
                <w:spacing w:val="-3"/>
                <w:lang w:val="es-ES_tradnl"/>
              </w:rPr>
            </w:pPr>
            <w:r w:rsidRPr="00720520">
              <w:rPr>
                <w:rFonts w:ascii="Bookman Old Style" w:hAnsi="Bookman Old Style" w:cs="Arial"/>
                <w:spacing w:val="-3"/>
                <w:lang w:val="es-ES_tradnl"/>
              </w:rPr>
              <w:t>Viceministr</w:t>
            </w:r>
            <w:r w:rsidR="005F6F41">
              <w:rPr>
                <w:rFonts w:ascii="Bookman Old Style" w:hAnsi="Bookman Old Style" w:cs="Arial"/>
                <w:spacing w:val="-3"/>
                <w:lang w:val="es-ES_tradnl"/>
              </w:rPr>
              <w:t>o</w:t>
            </w:r>
            <w:r w:rsidRPr="00720520">
              <w:rPr>
                <w:rFonts w:ascii="Bookman Old Style" w:hAnsi="Bookman Old Style" w:cs="Arial"/>
                <w:spacing w:val="-3"/>
                <w:lang w:val="es-ES_tradnl"/>
              </w:rPr>
              <w:t xml:space="preserve"> de Minas y Energía</w:t>
            </w:r>
          </w:p>
          <w:p w:rsidR="00C435C3" w:rsidRPr="00720520" w:rsidRDefault="00C435C3" w:rsidP="005F6F41">
            <w:pPr>
              <w:ind w:left="0"/>
              <w:jc w:val="center"/>
              <w:rPr>
                <w:rFonts w:ascii="Bookman Old Style" w:hAnsi="Bookman Old Style" w:cs="Arial"/>
                <w:spacing w:val="-3"/>
                <w:lang w:val="es-ES_tradnl"/>
              </w:rPr>
            </w:pPr>
            <w:r w:rsidRPr="00720520">
              <w:rPr>
                <w:rFonts w:ascii="Bookman Old Style" w:hAnsi="Bookman Old Style" w:cs="Arial"/>
                <w:spacing w:val="-3"/>
                <w:lang w:val="es-ES_tradnl"/>
              </w:rPr>
              <w:t>Delegad</w:t>
            </w:r>
            <w:r w:rsidR="005F6F41">
              <w:rPr>
                <w:rFonts w:ascii="Bookman Old Style" w:hAnsi="Bookman Old Style" w:cs="Arial"/>
                <w:spacing w:val="-3"/>
                <w:lang w:val="es-ES_tradnl"/>
              </w:rPr>
              <w:t>o</w:t>
            </w:r>
            <w:r w:rsidRPr="00720520">
              <w:rPr>
                <w:rFonts w:ascii="Bookman Old Style" w:hAnsi="Bookman Old Style" w:cs="Arial"/>
                <w:spacing w:val="-3"/>
                <w:lang w:val="es-ES_tradnl"/>
              </w:rPr>
              <w:t xml:space="preserve"> del Ministro de Minas y Energía</w:t>
            </w:r>
          </w:p>
        </w:tc>
        <w:tc>
          <w:tcPr>
            <w:tcW w:w="5258" w:type="dxa"/>
          </w:tcPr>
          <w:p w:rsidR="00C435C3" w:rsidRPr="00720520" w:rsidRDefault="00C435C3" w:rsidP="00275DAB">
            <w:pPr>
              <w:rPr>
                <w:rFonts w:ascii="Bookman Old Style" w:hAnsi="Bookman Old Style" w:cs="Arial"/>
                <w:spacing w:val="-3"/>
                <w:lang w:val="es-ES_tradnl"/>
              </w:rPr>
            </w:pPr>
            <w:r>
              <w:rPr>
                <w:rFonts w:ascii="Bookman Old Style" w:hAnsi="Bookman Old Style" w:cs="Arial"/>
                <w:spacing w:val="-3"/>
                <w:lang w:val="es-ES_tradnl"/>
              </w:rPr>
              <w:t xml:space="preserve">           </w:t>
            </w:r>
            <w:r w:rsidRPr="00720520">
              <w:rPr>
                <w:rFonts w:ascii="Bookman Old Style" w:hAnsi="Bookman Old Style" w:cs="Arial"/>
                <w:spacing w:val="-3"/>
                <w:lang w:val="es-ES_tradnl"/>
              </w:rPr>
              <w:t>Director Ejecutivo</w:t>
            </w:r>
          </w:p>
        </w:tc>
      </w:tr>
      <w:tr w:rsidR="00C435C3" w:rsidRPr="00720520" w:rsidTr="00CA3A3D">
        <w:trPr>
          <w:jc w:val="right"/>
        </w:trPr>
        <w:tc>
          <w:tcPr>
            <w:tcW w:w="4503" w:type="dxa"/>
          </w:tcPr>
          <w:p w:rsidR="00C435C3" w:rsidRPr="00720520" w:rsidRDefault="00C435C3" w:rsidP="00275DAB">
            <w:pPr>
              <w:rPr>
                <w:rFonts w:ascii="Bookman Old Style" w:hAnsi="Bookman Old Style" w:cs="Arial"/>
                <w:spacing w:val="-3"/>
              </w:rPr>
            </w:pPr>
            <w:r>
              <w:rPr>
                <w:rFonts w:ascii="Bookman Old Style" w:hAnsi="Bookman Old Style" w:cs="Arial"/>
                <w:spacing w:val="-3"/>
              </w:rPr>
              <w:t xml:space="preserve">             </w:t>
            </w:r>
            <w:r w:rsidRPr="00720520">
              <w:rPr>
                <w:rFonts w:ascii="Bookman Old Style" w:hAnsi="Bookman Old Style" w:cs="Arial"/>
                <w:spacing w:val="-3"/>
              </w:rPr>
              <w:t>Presidente</w:t>
            </w:r>
          </w:p>
        </w:tc>
        <w:tc>
          <w:tcPr>
            <w:tcW w:w="5258" w:type="dxa"/>
          </w:tcPr>
          <w:p w:rsidR="00C435C3" w:rsidRPr="00720520" w:rsidRDefault="00C435C3" w:rsidP="00275DAB">
            <w:pPr>
              <w:rPr>
                <w:rFonts w:ascii="Bookman Old Style" w:hAnsi="Bookman Old Style" w:cs="Arial"/>
                <w:spacing w:val="-3"/>
              </w:rPr>
            </w:pPr>
          </w:p>
        </w:tc>
      </w:tr>
    </w:tbl>
    <w:p w:rsidR="00C435C3" w:rsidRDefault="00C435C3" w:rsidP="00C435C3">
      <w:pPr>
        <w:ind w:left="0"/>
        <w:rPr>
          <w:rFonts w:ascii="Bookman Old Style" w:hAnsi="Bookman Old Style"/>
          <w:bCs/>
          <w:lang w:val="es-CO"/>
        </w:rPr>
      </w:pPr>
    </w:p>
    <w:p w:rsidR="00B351B4" w:rsidRDefault="00B351B4" w:rsidP="00012259">
      <w:pPr>
        <w:ind w:left="0"/>
        <w:rPr>
          <w:rFonts w:ascii="Bookman Old Style" w:hAnsi="Bookman Old Style"/>
          <w:bCs/>
          <w:lang w:val="es-CO"/>
        </w:rPr>
      </w:pPr>
    </w:p>
    <w:p w:rsidR="00B351B4" w:rsidRDefault="00B351B4" w:rsidP="00012259">
      <w:pPr>
        <w:ind w:left="0"/>
        <w:rPr>
          <w:rFonts w:ascii="Bookman Old Style" w:hAnsi="Bookman Old Style"/>
          <w:bCs/>
          <w:lang w:val="es-CO"/>
        </w:rPr>
      </w:pPr>
    </w:p>
    <w:p w:rsidR="0074046D" w:rsidRDefault="0074046D" w:rsidP="00012259">
      <w:pPr>
        <w:ind w:left="0"/>
        <w:rPr>
          <w:rFonts w:ascii="Bookman Old Style" w:hAnsi="Bookman Old Style"/>
          <w:bCs/>
          <w:lang w:val="es-CO"/>
        </w:rPr>
      </w:pPr>
    </w:p>
    <w:p w:rsidR="0074046D" w:rsidRDefault="0074046D" w:rsidP="00012259">
      <w:pPr>
        <w:ind w:left="0"/>
        <w:rPr>
          <w:rFonts w:ascii="Bookman Old Style" w:hAnsi="Bookman Old Style"/>
          <w:bCs/>
          <w:lang w:val="es-CO"/>
        </w:rPr>
      </w:pPr>
    </w:p>
    <w:p w:rsidR="0074046D" w:rsidRDefault="0074046D" w:rsidP="00012259">
      <w:pPr>
        <w:ind w:left="0"/>
        <w:rPr>
          <w:rFonts w:ascii="Bookman Old Style" w:hAnsi="Bookman Old Style"/>
          <w:bCs/>
          <w:lang w:val="es-CO"/>
        </w:rPr>
      </w:pPr>
    </w:p>
    <w:p w:rsidR="0074046D" w:rsidRPr="00526425" w:rsidRDefault="0074046D" w:rsidP="0074046D">
      <w:pPr>
        <w:pStyle w:val="Ttulo1"/>
        <w:rPr>
          <w:rFonts w:ascii="Bookman Old Style" w:hAnsi="Bookman Old Style"/>
          <w:b w:val="0"/>
          <w:szCs w:val="22"/>
        </w:rPr>
      </w:pPr>
      <w:r w:rsidRPr="00526425">
        <w:rPr>
          <w:rFonts w:ascii="Bookman Old Style" w:hAnsi="Bookman Old Style"/>
          <w:szCs w:val="22"/>
        </w:rPr>
        <w:t>ANEXO</w:t>
      </w:r>
    </w:p>
    <w:p w:rsidR="0074046D" w:rsidRDefault="0074046D" w:rsidP="0074046D">
      <w:pPr>
        <w:pStyle w:val="Ttulo1"/>
        <w:ind w:left="426"/>
        <w:rPr>
          <w:rFonts w:ascii="Bookman Old Style" w:hAnsi="Bookman Old Style"/>
          <w:szCs w:val="22"/>
        </w:rPr>
      </w:pPr>
    </w:p>
    <w:p w:rsidR="0074046D" w:rsidRDefault="0074046D" w:rsidP="0074046D">
      <w:pPr>
        <w:pStyle w:val="Ttulo1"/>
        <w:ind w:left="426"/>
        <w:rPr>
          <w:rFonts w:ascii="Bookman Old Style" w:hAnsi="Bookman Old Style"/>
          <w:szCs w:val="22"/>
        </w:rPr>
      </w:pPr>
      <w:r w:rsidRPr="00EA6E9C">
        <w:rPr>
          <w:rFonts w:ascii="Bookman Old Style" w:hAnsi="Bookman Old Style"/>
          <w:szCs w:val="22"/>
        </w:rPr>
        <w:tab/>
        <w:t>CRONOGRAMA PARA EL REPORTE DE INFORMACIÓN POR PARTE</w:t>
      </w:r>
    </w:p>
    <w:p w:rsidR="0074046D" w:rsidRDefault="0074046D" w:rsidP="0074046D">
      <w:pPr>
        <w:pStyle w:val="Ttulo1"/>
        <w:rPr>
          <w:rFonts w:ascii="Bookman Old Style" w:hAnsi="Bookman Old Style"/>
          <w:szCs w:val="22"/>
        </w:rPr>
      </w:pPr>
      <w:r w:rsidRPr="00EA6E9C">
        <w:rPr>
          <w:rFonts w:ascii="Bookman Old Style" w:hAnsi="Bookman Old Style"/>
          <w:szCs w:val="22"/>
        </w:rPr>
        <w:t xml:space="preserve"> DE QUIENES DESEEN</w:t>
      </w:r>
      <w:r>
        <w:rPr>
          <w:rFonts w:ascii="Bookman Old Style" w:hAnsi="Bookman Old Style"/>
          <w:szCs w:val="22"/>
        </w:rPr>
        <w:t xml:space="preserve"> </w:t>
      </w:r>
      <w:r w:rsidRPr="00EA6E9C">
        <w:rPr>
          <w:rFonts w:ascii="Bookman Old Style" w:hAnsi="Bookman Old Style"/>
          <w:szCs w:val="22"/>
        </w:rPr>
        <w:t xml:space="preserve">SER HABILITADOS PARA PARTICIPAR EN LA ASIGNACIÓN </w:t>
      </w:r>
      <w:r>
        <w:rPr>
          <w:rFonts w:ascii="Bookman Old Style" w:hAnsi="Bookman Old Style"/>
          <w:szCs w:val="22"/>
        </w:rPr>
        <w:t xml:space="preserve"> </w:t>
      </w:r>
      <w:r w:rsidRPr="00EA6E9C">
        <w:rPr>
          <w:rFonts w:ascii="Bookman Old Style" w:hAnsi="Bookman Old Style"/>
          <w:szCs w:val="22"/>
        </w:rPr>
        <w:t>DE OBLIGACIONES DE ENERGÍA FIRME</w:t>
      </w:r>
      <w:r>
        <w:rPr>
          <w:rFonts w:ascii="Bookman Old Style" w:hAnsi="Bookman Old Style"/>
          <w:szCs w:val="22"/>
        </w:rPr>
        <w:t xml:space="preserve"> PARA EL </w:t>
      </w:r>
    </w:p>
    <w:p w:rsidR="0074046D" w:rsidRPr="00EA6E9C" w:rsidRDefault="0074046D" w:rsidP="0074046D">
      <w:pPr>
        <w:pStyle w:val="Ttulo1"/>
        <w:rPr>
          <w:rFonts w:ascii="Bookman Old Style" w:hAnsi="Bookman Old Style"/>
          <w:b w:val="0"/>
          <w:szCs w:val="22"/>
        </w:rPr>
      </w:pPr>
      <w:r>
        <w:rPr>
          <w:rFonts w:ascii="Bookman Old Style" w:hAnsi="Bookman Old Style"/>
          <w:szCs w:val="22"/>
        </w:rPr>
        <w:t>PERÍODO 1° DE DICIEMBRE DE 2014 A 30 DE NOVIEMBRE DE 2015</w:t>
      </w:r>
    </w:p>
    <w:p w:rsidR="0074046D" w:rsidRDefault="0074046D" w:rsidP="0074046D">
      <w:pPr>
        <w:jc w:val="center"/>
        <w:rPr>
          <w:rFonts w:ascii="Bookman Old Style" w:hAnsi="Bookman Old Style" w:cs="Arial"/>
          <w:b/>
          <w:sz w:val="22"/>
          <w:szCs w:val="22"/>
        </w:rPr>
      </w:pPr>
    </w:p>
    <w:p w:rsidR="0074046D" w:rsidRPr="00526425" w:rsidRDefault="0074046D" w:rsidP="0074046D">
      <w:pPr>
        <w:jc w:val="center"/>
        <w:rPr>
          <w:rFonts w:ascii="Bookman Old Style" w:hAnsi="Bookman Old Style" w:cs="Arial"/>
          <w:b/>
          <w:sz w:val="22"/>
          <w:szCs w:val="22"/>
        </w:rPr>
      </w:pPr>
    </w:p>
    <w:tbl>
      <w:tblPr>
        <w:tblW w:w="5000" w:type="pct"/>
        <w:tblInd w:w="-72" w:type="dxa"/>
        <w:tblLayout w:type="fixed"/>
        <w:tblCellMar>
          <w:left w:w="70" w:type="dxa"/>
          <w:right w:w="70" w:type="dxa"/>
        </w:tblCellMar>
        <w:tblLook w:val="0000" w:firstRow="0" w:lastRow="0" w:firstColumn="0" w:lastColumn="0" w:noHBand="0" w:noVBand="0"/>
      </w:tblPr>
      <w:tblGrid>
        <w:gridCol w:w="1702"/>
        <w:gridCol w:w="3261"/>
        <w:gridCol w:w="2693"/>
        <w:gridCol w:w="1840"/>
      </w:tblGrid>
      <w:tr w:rsidR="0074046D" w:rsidRPr="00AE2220" w:rsidTr="00AD5DAF">
        <w:trPr>
          <w:trHeight w:val="240"/>
          <w:tblHeader/>
        </w:trPr>
        <w:tc>
          <w:tcPr>
            <w:tcW w:w="896" w:type="pct"/>
            <w:tcBorders>
              <w:top w:val="single" w:sz="4" w:space="0" w:color="auto"/>
              <w:left w:val="single" w:sz="4" w:space="0" w:color="auto"/>
              <w:bottom w:val="single" w:sz="4" w:space="0" w:color="auto"/>
              <w:right w:val="single" w:sz="4" w:space="0" w:color="auto"/>
            </w:tcBorders>
            <w:noWrap/>
            <w:vAlign w:val="bottom"/>
          </w:tcPr>
          <w:p w:rsidR="0074046D" w:rsidRPr="00AE2220" w:rsidRDefault="0074046D" w:rsidP="00AD5DAF">
            <w:pPr>
              <w:ind w:left="72"/>
              <w:jc w:val="center"/>
              <w:rPr>
                <w:rFonts w:ascii="Bookman Old Style" w:hAnsi="Bookman Old Style" w:cs="Arial"/>
                <w:b/>
                <w:bCs/>
                <w:sz w:val="20"/>
                <w:szCs w:val="20"/>
              </w:rPr>
            </w:pPr>
            <w:r w:rsidRPr="00AE2220">
              <w:rPr>
                <w:rFonts w:ascii="Bookman Old Style" w:hAnsi="Bookman Old Style" w:cs="Arial"/>
                <w:b/>
                <w:bCs/>
                <w:sz w:val="20"/>
                <w:szCs w:val="20"/>
              </w:rPr>
              <w:t>Tipo</w:t>
            </w:r>
          </w:p>
        </w:tc>
        <w:tc>
          <w:tcPr>
            <w:tcW w:w="1717" w:type="pct"/>
            <w:tcBorders>
              <w:top w:val="single" w:sz="4" w:space="0" w:color="auto"/>
              <w:left w:val="nil"/>
              <w:bottom w:val="single" w:sz="4" w:space="0" w:color="auto"/>
              <w:right w:val="single" w:sz="4" w:space="0" w:color="auto"/>
            </w:tcBorders>
            <w:noWrap/>
            <w:vAlign w:val="bottom"/>
          </w:tcPr>
          <w:p w:rsidR="0074046D" w:rsidRPr="00AE2220" w:rsidRDefault="0074046D" w:rsidP="00AD5DAF">
            <w:pPr>
              <w:ind w:left="0"/>
              <w:jc w:val="center"/>
              <w:rPr>
                <w:rFonts w:ascii="Bookman Old Style" w:hAnsi="Bookman Old Style" w:cs="Arial"/>
                <w:b/>
                <w:bCs/>
                <w:sz w:val="20"/>
                <w:szCs w:val="20"/>
              </w:rPr>
            </w:pPr>
            <w:r w:rsidRPr="00AE2220">
              <w:rPr>
                <w:rFonts w:ascii="Bookman Old Style" w:hAnsi="Bookman Old Style" w:cs="Arial"/>
                <w:b/>
                <w:bCs/>
                <w:sz w:val="20"/>
                <w:szCs w:val="20"/>
              </w:rPr>
              <w:t>Descripción</w:t>
            </w:r>
          </w:p>
        </w:tc>
        <w:tc>
          <w:tcPr>
            <w:tcW w:w="1418" w:type="pct"/>
            <w:tcBorders>
              <w:top w:val="single" w:sz="4" w:space="0" w:color="auto"/>
              <w:left w:val="nil"/>
              <w:bottom w:val="single" w:sz="4" w:space="0" w:color="auto"/>
              <w:right w:val="single" w:sz="4" w:space="0" w:color="auto"/>
            </w:tcBorders>
            <w:noWrap/>
            <w:vAlign w:val="bottom"/>
          </w:tcPr>
          <w:p w:rsidR="0074046D" w:rsidRPr="00AE2220" w:rsidRDefault="0074046D" w:rsidP="00AD5DAF">
            <w:pPr>
              <w:ind w:left="36"/>
              <w:jc w:val="center"/>
              <w:rPr>
                <w:rFonts w:ascii="Bookman Old Style" w:hAnsi="Bookman Old Style" w:cs="Arial"/>
                <w:b/>
                <w:bCs/>
                <w:sz w:val="20"/>
                <w:szCs w:val="20"/>
              </w:rPr>
            </w:pPr>
            <w:r w:rsidRPr="00AE2220">
              <w:rPr>
                <w:rFonts w:ascii="Bookman Old Style" w:hAnsi="Bookman Old Style" w:cs="Arial"/>
                <w:b/>
                <w:bCs/>
                <w:sz w:val="20"/>
                <w:szCs w:val="20"/>
              </w:rPr>
              <w:t>Responsable</w:t>
            </w:r>
          </w:p>
        </w:tc>
        <w:tc>
          <w:tcPr>
            <w:tcW w:w="969" w:type="pct"/>
            <w:tcBorders>
              <w:top w:val="single" w:sz="4" w:space="0" w:color="auto"/>
              <w:left w:val="nil"/>
              <w:bottom w:val="single" w:sz="4" w:space="0" w:color="auto"/>
              <w:right w:val="single" w:sz="4" w:space="0" w:color="auto"/>
            </w:tcBorders>
            <w:noWrap/>
            <w:vAlign w:val="bottom"/>
          </w:tcPr>
          <w:p w:rsidR="0074046D" w:rsidRPr="00AE2220" w:rsidRDefault="0074046D" w:rsidP="00AD5DAF">
            <w:pPr>
              <w:ind w:left="20"/>
              <w:jc w:val="center"/>
              <w:rPr>
                <w:rFonts w:ascii="Bookman Old Style" w:hAnsi="Bookman Old Style" w:cs="Arial"/>
                <w:b/>
                <w:bCs/>
                <w:sz w:val="20"/>
                <w:szCs w:val="20"/>
              </w:rPr>
            </w:pPr>
            <w:r w:rsidRPr="00AE2220">
              <w:rPr>
                <w:rFonts w:ascii="Bookman Old Style" w:hAnsi="Bookman Old Style" w:cs="Arial"/>
                <w:b/>
                <w:bCs/>
                <w:sz w:val="20"/>
                <w:szCs w:val="20"/>
              </w:rPr>
              <w:t>Fecha</w:t>
            </w:r>
          </w:p>
        </w:tc>
      </w:tr>
      <w:tr w:rsidR="0074046D" w:rsidRPr="00AE2220" w:rsidTr="00AD5DAF">
        <w:trPr>
          <w:cantSplit/>
          <w:trHeight w:val="1275"/>
        </w:trPr>
        <w:tc>
          <w:tcPr>
            <w:tcW w:w="896" w:type="pct"/>
            <w:tcBorders>
              <w:top w:val="nil"/>
              <w:left w:val="single" w:sz="4" w:space="0" w:color="auto"/>
              <w:bottom w:val="single" w:sz="4" w:space="0" w:color="auto"/>
              <w:right w:val="single" w:sz="4" w:space="0" w:color="auto"/>
            </w:tcBorders>
            <w:noWrap/>
            <w:vAlign w:val="center"/>
          </w:tcPr>
          <w:p w:rsidR="0074046D" w:rsidRPr="00AE2220" w:rsidRDefault="0074046D" w:rsidP="00AD5DAF">
            <w:pPr>
              <w:ind w:left="72"/>
              <w:rPr>
                <w:rFonts w:ascii="Bookman Old Style" w:hAnsi="Bookman Old Style" w:cs="Arial"/>
                <w:sz w:val="20"/>
                <w:szCs w:val="20"/>
              </w:rPr>
            </w:pPr>
            <w:r w:rsidRPr="00AE2220">
              <w:rPr>
                <w:rFonts w:ascii="Bookman Old Style" w:hAnsi="Bookman Old Style" w:cs="Arial"/>
                <w:sz w:val="20"/>
                <w:szCs w:val="20"/>
              </w:rPr>
              <w:t>Declaración de parámetros</w:t>
            </w:r>
          </w:p>
        </w:tc>
        <w:tc>
          <w:tcPr>
            <w:tcW w:w="1717" w:type="pct"/>
            <w:tcBorders>
              <w:top w:val="nil"/>
              <w:left w:val="nil"/>
              <w:bottom w:val="single" w:sz="4" w:space="0" w:color="auto"/>
              <w:right w:val="single" w:sz="4" w:space="0" w:color="auto"/>
            </w:tcBorders>
            <w:vAlign w:val="center"/>
          </w:tcPr>
          <w:p w:rsidR="0074046D" w:rsidRPr="000E37AE" w:rsidRDefault="0074046D" w:rsidP="00AD5DAF">
            <w:pPr>
              <w:ind w:left="0" w:right="142"/>
              <w:rPr>
                <w:rFonts w:ascii="Bookman Old Style" w:hAnsi="Bookman Old Style" w:cs="Arial"/>
                <w:sz w:val="20"/>
                <w:szCs w:val="20"/>
              </w:rPr>
            </w:pPr>
            <w:r w:rsidRPr="000E37AE">
              <w:rPr>
                <w:rFonts w:ascii="Bookman Old Style" w:hAnsi="Bookman Old Style" w:cs="Arial"/>
                <w:sz w:val="20"/>
                <w:szCs w:val="20"/>
              </w:rPr>
              <w:t>La totalidad de parámetros establecidos en el numeral 5.2 del Anexo 5 de la Resolución CREG 071 de 2006. Esta información deberá ser remitida haciendo uso de los formatos establecidos para tal fin.</w:t>
            </w:r>
          </w:p>
          <w:p w:rsidR="0074046D" w:rsidRPr="000E37AE" w:rsidRDefault="0074046D" w:rsidP="00AD5DAF">
            <w:pPr>
              <w:ind w:left="0" w:right="142"/>
              <w:rPr>
                <w:rFonts w:ascii="Bookman Old Style" w:hAnsi="Bookman Old Style" w:cs="Arial"/>
                <w:sz w:val="20"/>
                <w:szCs w:val="20"/>
              </w:rPr>
            </w:pPr>
          </w:p>
          <w:p w:rsidR="0074046D" w:rsidRPr="000E37AE" w:rsidRDefault="0074046D" w:rsidP="0074046D">
            <w:pPr>
              <w:ind w:left="0" w:right="142"/>
              <w:rPr>
                <w:rFonts w:ascii="Bookman Old Style" w:hAnsi="Bookman Old Style" w:cs="Arial"/>
                <w:sz w:val="20"/>
                <w:szCs w:val="20"/>
              </w:rPr>
            </w:pPr>
            <w:r w:rsidRPr="000E37AE">
              <w:rPr>
                <w:rFonts w:ascii="Bookman Old Style" w:hAnsi="Bookman Old Style" w:cs="Arial"/>
                <w:sz w:val="20"/>
                <w:szCs w:val="20"/>
              </w:rPr>
              <w:t>Una planta térmica podrá declarar varias opciones de abastecimiento de combustibles para lo cual deberá declarar por cada opción los parámetros.</w:t>
            </w:r>
          </w:p>
        </w:tc>
        <w:tc>
          <w:tcPr>
            <w:tcW w:w="1418" w:type="pct"/>
            <w:tcBorders>
              <w:top w:val="single" w:sz="4" w:space="0" w:color="auto"/>
              <w:left w:val="nil"/>
              <w:bottom w:val="single" w:sz="4" w:space="0" w:color="auto"/>
              <w:right w:val="single" w:sz="4" w:space="0" w:color="auto"/>
            </w:tcBorders>
            <w:noWrap/>
            <w:vAlign w:val="center"/>
          </w:tcPr>
          <w:p w:rsidR="0074046D" w:rsidRPr="00AE2220" w:rsidRDefault="0074046D" w:rsidP="00D847E1">
            <w:pPr>
              <w:ind w:left="36" w:right="142"/>
              <w:rPr>
                <w:rFonts w:ascii="Bookman Old Style" w:hAnsi="Bookman Old Style" w:cs="Arial"/>
                <w:sz w:val="20"/>
                <w:szCs w:val="20"/>
              </w:rPr>
            </w:pPr>
            <w:r w:rsidRPr="00AE2220">
              <w:rPr>
                <w:rFonts w:ascii="Bookman Old Style" w:hAnsi="Bookman Old Style" w:cs="Arial"/>
                <w:sz w:val="20"/>
                <w:szCs w:val="20"/>
              </w:rPr>
              <w:t>Agentes con plantas o unidades de generación existentes</w:t>
            </w:r>
            <w:r w:rsidR="00D96CBA">
              <w:rPr>
                <w:rFonts w:ascii="Bookman Old Style" w:hAnsi="Bookman Old Style" w:cs="Arial"/>
                <w:sz w:val="20"/>
                <w:szCs w:val="20"/>
              </w:rPr>
              <w:t xml:space="preserve"> que vayan a modificar su ENFICC de conformidad con el Artículo 41 de la Resolución CREG 071 de 2006.</w:t>
            </w:r>
          </w:p>
        </w:tc>
        <w:tc>
          <w:tcPr>
            <w:tcW w:w="969" w:type="pct"/>
            <w:tcBorders>
              <w:top w:val="single" w:sz="4" w:space="0" w:color="auto"/>
              <w:left w:val="nil"/>
              <w:bottom w:val="single" w:sz="4" w:space="0" w:color="auto"/>
              <w:right w:val="single" w:sz="4" w:space="0" w:color="auto"/>
            </w:tcBorders>
            <w:noWrap/>
            <w:vAlign w:val="center"/>
          </w:tcPr>
          <w:p w:rsidR="0074046D" w:rsidRPr="00AE2220" w:rsidRDefault="000E37AE" w:rsidP="00AD5DAF">
            <w:pPr>
              <w:ind w:left="20" w:right="9"/>
              <w:rPr>
                <w:rFonts w:ascii="Bookman Old Style" w:hAnsi="Bookman Old Style" w:cs="Arial"/>
                <w:sz w:val="20"/>
                <w:szCs w:val="20"/>
              </w:rPr>
            </w:pPr>
            <w:r>
              <w:rPr>
                <w:rFonts w:ascii="Bookman Old Style" w:hAnsi="Bookman Old Style" w:cs="Arial"/>
                <w:sz w:val="20"/>
                <w:szCs w:val="20"/>
              </w:rPr>
              <w:t>Mar. 11/11</w:t>
            </w:r>
          </w:p>
        </w:tc>
      </w:tr>
      <w:tr w:rsidR="0074046D" w:rsidRPr="00AE2220" w:rsidTr="000E37AE">
        <w:trPr>
          <w:trHeight w:val="960"/>
        </w:trPr>
        <w:tc>
          <w:tcPr>
            <w:tcW w:w="896" w:type="pct"/>
            <w:tcBorders>
              <w:top w:val="single" w:sz="4" w:space="0" w:color="auto"/>
              <w:left w:val="single" w:sz="4" w:space="0" w:color="auto"/>
              <w:bottom w:val="single" w:sz="4" w:space="0" w:color="auto"/>
              <w:right w:val="single" w:sz="4" w:space="0" w:color="auto"/>
            </w:tcBorders>
            <w:noWrap/>
            <w:vAlign w:val="center"/>
          </w:tcPr>
          <w:p w:rsidR="0074046D" w:rsidRPr="00AE2220" w:rsidRDefault="0074046D" w:rsidP="00AD5DAF">
            <w:pPr>
              <w:ind w:left="72"/>
              <w:rPr>
                <w:rFonts w:ascii="Bookman Old Style" w:hAnsi="Bookman Old Style" w:cs="Arial"/>
                <w:sz w:val="20"/>
                <w:szCs w:val="20"/>
              </w:rPr>
            </w:pPr>
            <w:r w:rsidRPr="00AE2220">
              <w:rPr>
                <w:rFonts w:ascii="Bookman Old Style" w:hAnsi="Bookman Old Style" w:cs="Arial"/>
                <w:sz w:val="20"/>
                <w:szCs w:val="20"/>
              </w:rPr>
              <w:t>Solicitud aclaración de parámetros</w:t>
            </w:r>
          </w:p>
        </w:tc>
        <w:tc>
          <w:tcPr>
            <w:tcW w:w="1717" w:type="pct"/>
            <w:tcBorders>
              <w:top w:val="single" w:sz="4" w:space="0" w:color="auto"/>
              <w:left w:val="nil"/>
              <w:bottom w:val="single" w:sz="4" w:space="0" w:color="auto"/>
              <w:right w:val="single" w:sz="4" w:space="0" w:color="auto"/>
            </w:tcBorders>
            <w:vAlign w:val="center"/>
          </w:tcPr>
          <w:p w:rsidR="0074046D" w:rsidRPr="00AE2220" w:rsidRDefault="0074046D" w:rsidP="00AD5DAF">
            <w:pPr>
              <w:ind w:left="0" w:right="142"/>
              <w:rPr>
                <w:rFonts w:ascii="Bookman Old Style" w:hAnsi="Bookman Old Style" w:cs="Arial"/>
                <w:sz w:val="20"/>
                <w:szCs w:val="20"/>
              </w:rPr>
            </w:pPr>
            <w:r w:rsidRPr="00AE2220">
              <w:rPr>
                <w:rFonts w:ascii="Bookman Old Style" w:hAnsi="Bookman Old Style" w:cs="Arial"/>
                <w:sz w:val="20"/>
                <w:szCs w:val="20"/>
              </w:rPr>
              <w:t>Solicitud de aclaración a la declaración de parámetros.</w:t>
            </w:r>
          </w:p>
        </w:tc>
        <w:tc>
          <w:tcPr>
            <w:tcW w:w="1418" w:type="pct"/>
            <w:tcBorders>
              <w:top w:val="single" w:sz="4" w:space="0" w:color="auto"/>
              <w:left w:val="nil"/>
              <w:bottom w:val="single" w:sz="4" w:space="0" w:color="auto"/>
              <w:right w:val="single" w:sz="4" w:space="0" w:color="auto"/>
            </w:tcBorders>
            <w:noWrap/>
            <w:vAlign w:val="center"/>
          </w:tcPr>
          <w:p w:rsidR="0074046D" w:rsidRPr="00AE2220" w:rsidRDefault="0074046D" w:rsidP="00AD5DAF">
            <w:pPr>
              <w:ind w:left="36"/>
              <w:jc w:val="center"/>
              <w:rPr>
                <w:rFonts w:ascii="Bookman Old Style" w:hAnsi="Bookman Old Style" w:cs="Arial"/>
                <w:sz w:val="20"/>
                <w:szCs w:val="20"/>
              </w:rPr>
            </w:pPr>
            <w:r w:rsidRPr="00AE2220">
              <w:rPr>
                <w:rFonts w:ascii="Bookman Old Style" w:hAnsi="Bookman Old Style" w:cs="Arial"/>
                <w:sz w:val="20"/>
                <w:szCs w:val="20"/>
              </w:rPr>
              <w:t>CREG</w:t>
            </w:r>
          </w:p>
        </w:tc>
        <w:tc>
          <w:tcPr>
            <w:tcW w:w="969" w:type="pct"/>
            <w:tcBorders>
              <w:top w:val="single" w:sz="4" w:space="0" w:color="auto"/>
              <w:left w:val="nil"/>
              <w:bottom w:val="single" w:sz="4" w:space="0" w:color="auto"/>
              <w:right w:val="single" w:sz="4" w:space="0" w:color="auto"/>
            </w:tcBorders>
            <w:vAlign w:val="center"/>
          </w:tcPr>
          <w:p w:rsidR="0074046D" w:rsidRPr="00AE2220" w:rsidRDefault="000E37AE" w:rsidP="000E37AE">
            <w:pPr>
              <w:ind w:left="20"/>
              <w:rPr>
                <w:rFonts w:ascii="Bookman Old Style" w:hAnsi="Bookman Old Style" w:cs="Arial"/>
                <w:sz w:val="20"/>
                <w:szCs w:val="20"/>
              </w:rPr>
            </w:pPr>
            <w:r>
              <w:rPr>
                <w:rFonts w:ascii="Bookman Old Style" w:hAnsi="Bookman Old Style" w:cs="Arial"/>
                <w:sz w:val="20"/>
                <w:szCs w:val="20"/>
              </w:rPr>
              <w:t>De Mar. 14/11 a Mar. 18/11</w:t>
            </w:r>
          </w:p>
        </w:tc>
      </w:tr>
      <w:tr w:rsidR="0074046D" w:rsidRPr="00AE2220" w:rsidTr="00AD5DAF">
        <w:trPr>
          <w:trHeight w:val="255"/>
        </w:trPr>
        <w:tc>
          <w:tcPr>
            <w:tcW w:w="896" w:type="pct"/>
            <w:tcBorders>
              <w:top w:val="nil"/>
              <w:left w:val="single" w:sz="4" w:space="0" w:color="auto"/>
              <w:bottom w:val="single" w:sz="4" w:space="0" w:color="auto"/>
              <w:right w:val="single" w:sz="4" w:space="0" w:color="auto"/>
            </w:tcBorders>
            <w:noWrap/>
            <w:vAlign w:val="center"/>
          </w:tcPr>
          <w:p w:rsidR="0074046D" w:rsidRPr="00AE2220" w:rsidRDefault="0074046D" w:rsidP="00AD5DAF">
            <w:pPr>
              <w:ind w:left="72"/>
              <w:rPr>
                <w:rFonts w:ascii="Bookman Old Style" w:hAnsi="Bookman Old Style" w:cs="Arial"/>
                <w:sz w:val="20"/>
                <w:szCs w:val="20"/>
              </w:rPr>
            </w:pPr>
            <w:r w:rsidRPr="00AE2220">
              <w:rPr>
                <w:rFonts w:ascii="Bookman Old Style" w:hAnsi="Bookman Old Style" w:cs="Arial"/>
                <w:sz w:val="20"/>
                <w:szCs w:val="20"/>
              </w:rPr>
              <w:t>Publicación documento de parámetros</w:t>
            </w:r>
          </w:p>
        </w:tc>
        <w:tc>
          <w:tcPr>
            <w:tcW w:w="1717" w:type="pct"/>
            <w:tcBorders>
              <w:top w:val="nil"/>
              <w:left w:val="nil"/>
              <w:bottom w:val="single" w:sz="4" w:space="0" w:color="auto"/>
              <w:right w:val="single" w:sz="4" w:space="0" w:color="auto"/>
            </w:tcBorders>
            <w:vAlign w:val="center"/>
          </w:tcPr>
          <w:p w:rsidR="0074046D" w:rsidRPr="00AE2220" w:rsidRDefault="0074046D" w:rsidP="00AD5DAF">
            <w:pPr>
              <w:ind w:left="0" w:right="142"/>
              <w:rPr>
                <w:rFonts w:ascii="Bookman Old Style" w:hAnsi="Bookman Old Style" w:cs="Arial"/>
                <w:sz w:val="20"/>
                <w:szCs w:val="20"/>
              </w:rPr>
            </w:pPr>
            <w:r w:rsidRPr="00AE2220">
              <w:rPr>
                <w:rFonts w:ascii="Bookman Old Style" w:hAnsi="Bookman Old Style" w:cs="Arial"/>
                <w:sz w:val="20"/>
                <w:szCs w:val="20"/>
              </w:rPr>
              <w:t>Publicación del documento de parámetros.</w:t>
            </w:r>
          </w:p>
        </w:tc>
        <w:tc>
          <w:tcPr>
            <w:tcW w:w="1418" w:type="pct"/>
            <w:tcBorders>
              <w:top w:val="nil"/>
              <w:left w:val="nil"/>
              <w:bottom w:val="single" w:sz="4" w:space="0" w:color="auto"/>
              <w:right w:val="single" w:sz="4" w:space="0" w:color="auto"/>
            </w:tcBorders>
            <w:noWrap/>
            <w:vAlign w:val="center"/>
          </w:tcPr>
          <w:p w:rsidR="0074046D" w:rsidRPr="00AE2220" w:rsidRDefault="0074046D" w:rsidP="00AD5DAF">
            <w:pPr>
              <w:ind w:left="36"/>
              <w:jc w:val="center"/>
              <w:rPr>
                <w:rFonts w:ascii="Bookman Old Style" w:hAnsi="Bookman Old Style" w:cs="Arial"/>
                <w:sz w:val="20"/>
                <w:szCs w:val="20"/>
              </w:rPr>
            </w:pPr>
            <w:r w:rsidRPr="00AE2220">
              <w:rPr>
                <w:rFonts w:ascii="Bookman Old Style" w:hAnsi="Bookman Old Style" w:cs="Arial"/>
                <w:sz w:val="20"/>
                <w:szCs w:val="20"/>
              </w:rPr>
              <w:t>CREG</w:t>
            </w:r>
          </w:p>
        </w:tc>
        <w:tc>
          <w:tcPr>
            <w:tcW w:w="969" w:type="pct"/>
            <w:tcBorders>
              <w:top w:val="nil"/>
              <w:left w:val="nil"/>
              <w:bottom w:val="single" w:sz="4" w:space="0" w:color="auto"/>
              <w:right w:val="single" w:sz="4" w:space="0" w:color="auto"/>
            </w:tcBorders>
            <w:noWrap/>
            <w:vAlign w:val="center"/>
          </w:tcPr>
          <w:p w:rsidR="0074046D" w:rsidRPr="00AE2220" w:rsidRDefault="000E37AE" w:rsidP="00AD5DAF">
            <w:pPr>
              <w:ind w:left="20"/>
              <w:rPr>
                <w:rFonts w:ascii="Bookman Old Style" w:hAnsi="Bookman Old Style" w:cs="Arial"/>
                <w:sz w:val="20"/>
                <w:szCs w:val="20"/>
              </w:rPr>
            </w:pPr>
            <w:r>
              <w:rPr>
                <w:rFonts w:ascii="Bookman Old Style" w:hAnsi="Bookman Old Style" w:cs="Arial"/>
                <w:sz w:val="20"/>
                <w:szCs w:val="20"/>
              </w:rPr>
              <w:t>Mar. 23/11</w:t>
            </w:r>
          </w:p>
        </w:tc>
      </w:tr>
      <w:tr w:rsidR="0074046D" w:rsidRPr="00AE2220" w:rsidTr="00AD5DAF">
        <w:trPr>
          <w:cantSplit/>
          <w:trHeight w:val="510"/>
        </w:trPr>
        <w:tc>
          <w:tcPr>
            <w:tcW w:w="896" w:type="pct"/>
            <w:tcBorders>
              <w:top w:val="nil"/>
              <w:left w:val="single" w:sz="4" w:space="0" w:color="auto"/>
              <w:bottom w:val="single" w:sz="4" w:space="0" w:color="000000"/>
              <w:right w:val="single" w:sz="4" w:space="0" w:color="auto"/>
            </w:tcBorders>
            <w:vAlign w:val="center"/>
          </w:tcPr>
          <w:p w:rsidR="0074046D" w:rsidRPr="00AE2220" w:rsidRDefault="0074046D" w:rsidP="00AD5DAF">
            <w:pPr>
              <w:ind w:left="72"/>
              <w:rPr>
                <w:rFonts w:ascii="Bookman Old Style" w:hAnsi="Bookman Old Style" w:cs="Arial"/>
                <w:sz w:val="20"/>
                <w:szCs w:val="20"/>
              </w:rPr>
            </w:pPr>
            <w:r w:rsidRPr="00AE2220">
              <w:rPr>
                <w:rFonts w:ascii="Bookman Old Style" w:hAnsi="Bookman Old Style" w:cs="Arial"/>
                <w:sz w:val="20"/>
                <w:szCs w:val="20"/>
              </w:rPr>
              <w:t>Declaración de ENFICC para participar en la asignación.</w:t>
            </w:r>
          </w:p>
        </w:tc>
        <w:tc>
          <w:tcPr>
            <w:tcW w:w="1717" w:type="pct"/>
            <w:tcBorders>
              <w:top w:val="nil"/>
              <w:left w:val="nil"/>
              <w:bottom w:val="single" w:sz="4" w:space="0" w:color="auto"/>
              <w:right w:val="single" w:sz="4" w:space="0" w:color="auto"/>
            </w:tcBorders>
            <w:vAlign w:val="center"/>
          </w:tcPr>
          <w:p w:rsidR="0074046D" w:rsidRPr="000E37AE" w:rsidRDefault="0074046D" w:rsidP="00AD5DAF">
            <w:pPr>
              <w:ind w:left="0" w:right="142"/>
              <w:rPr>
                <w:rFonts w:ascii="Bookman Old Style" w:hAnsi="Bookman Old Style" w:cs="Arial"/>
                <w:sz w:val="20"/>
                <w:szCs w:val="20"/>
              </w:rPr>
            </w:pPr>
            <w:r w:rsidRPr="000E37AE">
              <w:rPr>
                <w:rFonts w:ascii="Bookman Old Style" w:hAnsi="Bookman Old Style" w:cs="Arial"/>
                <w:sz w:val="20"/>
                <w:szCs w:val="20"/>
              </w:rPr>
              <w:t>La declaración de ENFICC deberán efectuarla a la CREG quienes la declaren por primera vez o la modifiquen, de conformidad con lo establecido en el Artículo 41 de la Resolución CREG 071 de 2006.</w:t>
            </w:r>
          </w:p>
          <w:p w:rsidR="000933D5" w:rsidRPr="000E37AE" w:rsidRDefault="000933D5" w:rsidP="00AD5DAF">
            <w:pPr>
              <w:ind w:left="0" w:right="142"/>
              <w:rPr>
                <w:rFonts w:ascii="Bookman Old Style" w:hAnsi="Bookman Old Style" w:cs="Arial"/>
                <w:sz w:val="20"/>
                <w:szCs w:val="20"/>
              </w:rPr>
            </w:pPr>
          </w:p>
          <w:p w:rsidR="000933D5" w:rsidRPr="000E37AE" w:rsidRDefault="000933D5" w:rsidP="00AD5DAF">
            <w:pPr>
              <w:ind w:left="0" w:right="142"/>
              <w:rPr>
                <w:rFonts w:ascii="Bookman Old Style" w:hAnsi="Bookman Old Style" w:cs="Arial"/>
                <w:sz w:val="20"/>
                <w:szCs w:val="20"/>
              </w:rPr>
            </w:pPr>
            <w:r w:rsidRPr="000E37AE">
              <w:rPr>
                <w:rFonts w:ascii="Bookman Old Style" w:hAnsi="Bookman Old Style" w:cs="Arial"/>
                <w:sz w:val="20"/>
                <w:szCs w:val="20"/>
              </w:rPr>
              <w:t xml:space="preserve">Para las plantas térmicas que declararon varias opciones de abastecimiento </w:t>
            </w:r>
            <w:r w:rsidR="001A68F9" w:rsidRPr="000E37AE">
              <w:rPr>
                <w:rFonts w:ascii="Bookman Old Style" w:hAnsi="Bookman Old Style" w:cs="Arial"/>
                <w:sz w:val="20"/>
                <w:szCs w:val="20"/>
              </w:rPr>
              <w:t xml:space="preserve">de combustibles </w:t>
            </w:r>
            <w:r w:rsidRPr="000E37AE">
              <w:rPr>
                <w:rFonts w:ascii="Bookman Old Style" w:hAnsi="Bookman Old Style" w:cs="Arial"/>
                <w:sz w:val="20"/>
                <w:szCs w:val="20"/>
              </w:rPr>
              <w:t>deberán declarar la ENFICC por cada opción.</w:t>
            </w:r>
          </w:p>
        </w:tc>
        <w:tc>
          <w:tcPr>
            <w:tcW w:w="1418" w:type="pct"/>
            <w:tcBorders>
              <w:top w:val="single" w:sz="4" w:space="0" w:color="auto"/>
              <w:left w:val="nil"/>
              <w:bottom w:val="single" w:sz="4" w:space="0" w:color="auto"/>
              <w:right w:val="single" w:sz="4" w:space="0" w:color="auto"/>
            </w:tcBorders>
            <w:noWrap/>
            <w:vAlign w:val="center"/>
          </w:tcPr>
          <w:p w:rsidR="0074046D" w:rsidRPr="00AE2220" w:rsidRDefault="0074046D" w:rsidP="00AD5DAF">
            <w:pPr>
              <w:ind w:left="36"/>
              <w:rPr>
                <w:rFonts w:ascii="Bookman Old Style" w:hAnsi="Bookman Old Style" w:cs="Arial"/>
                <w:sz w:val="20"/>
                <w:szCs w:val="20"/>
              </w:rPr>
            </w:pPr>
            <w:r w:rsidRPr="00AE2220">
              <w:rPr>
                <w:rFonts w:ascii="Bookman Old Style" w:hAnsi="Bookman Old Style" w:cs="Arial"/>
                <w:sz w:val="20"/>
                <w:szCs w:val="20"/>
              </w:rPr>
              <w:t>Agentes con plantas o unidades de generación existentes.</w:t>
            </w:r>
          </w:p>
          <w:p w:rsidR="0074046D" w:rsidRPr="00AE2220" w:rsidRDefault="0074046D" w:rsidP="00AD5DAF">
            <w:pPr>
              <w:ind w:left="36"/>
              <w:rPr>
                <w:rFonts w:ascii="Bookman Old Style" w:hAnsi="Bookman Old Style" w:cs="Arial"/>
                <w:sz w:val="20"/>
                <w:szCs w:val="20"/>
              </w:rPr>
            </w:pPr>
          </w:p>
          <w:p w:rsidR="0074046D" w:rsidRPr="00AE2220" w:rsidRDefault="0074046D" w:rsidP="00AD5DAF">
            <w:pPr>
              <w:ind w:left="36"/>
              <w:rPr>
                <w:rFonts w:ascii="Bookman Old Style" w:hAnsi="Bookman Old Style" w:cs="Arial"/>
                <w:sz w:val="20"/>
                <w:szCs w:val="20"/>
              </w:rPr>
            </w:pPr>
            <w:r w:rsidRPr="00AE2220">
              <w:rPr>
                <w:rFonts w:ascii="Bookman Old Style" w:hAnsi="Bookman Old Style" w:cs="Arial"/>
                <w:sz w:val="20"/>
                <w:szCs w:val="20"/>
              </w:rPr>
              <w:t>Para los agentes que no declaren ENFICC se tomará la ENFICC verificada para el período 2013-2014.</w:t>
            </w:r>
          </w:p>
        </w:tc>
        <w:tc>
          <w:tcPr>
            <w:tcW w:w="969" w:type="pct"/>
            <w:tcBorders>
              <w:top w:val="single" w:sz="4" w:space="0" w:color="auto"/>
              <w:left w:val="nil"/>
              <w:bottom w:val="single" w:sz="4" w:space="0" w:color="auto"/>
              <w:right w:val="single" w:sz="4" w:space="0" w:color="auto"/>
            </w:tcBorders>
            <w:noWrap/>
            <w:vAlign w:val="center"/>
          </w:tcPr>
          <w:p w:rsidR="0074046D" w:rsidRPr="00AE2220" w:rsidRDefault="000E37AE" w:rsidP="00AD5DAF">
            <w:pPr>
              <w:ind w:left="20"/>
              <w:rPr>
                <w:rFonts w:ascii="Bookman Old Style" w:hAnsi="Bookman Old Style" w:cs="Arial"/>
                <w:sz w:val="20"/>
                <w:szCs w:val="20"/>
              </w:rPr>
            </w:pPr>
            <w:r>
              <w:rPr>
                <w:rFonts w:ascii="Bookman Old Style" w:hAnsi="Bookman Old Style" w:cs="Arial"/>
                <w:sz w:val="20"/>
                <w:szCs w:val="20"/>
              </w:rPr>
              <w:t>Mar. 25/11</w:t>
            </w:r>
          </w:p>
        </w:tc>
      </w:tr>
      <w:tr w:rsidR="0074046D" w:rsidRPr="00AE2220" w:rsidTr="00AD5DAF">
        <w:trPr>
          <w:cantSplit/>
          <w:trHeight w:val="765"/>
        </w:trPr>
        <w:tc>
          <w:tcPr>
            <w:tcW w:w="896" w:type="pct"/>
            <w:tcBorders>
              <w:top w:val="nil"/>
              <w:left w:val="single" w:sz="4" w:space="0" w:color="auto"/>
              <w:bottom w:val="single" w:sz="4" w:space="0" w:color="000000"/>
              <w:right w:val="single" w:sz="4" w:space="0" w:color="auto"/>
            </w:tcBorders>
            <w:vAlign w:val="center"/>
          </w:tcPr>
          <w:p w:rsidR="0074046D" w:rsidRPr="00AE2220" w:rsidRDefault="0074046D" w:rsidP="00AD5DAF">
            <w:pPr>
              <w:ind w:left="72"/>
              <w:rPr>
                <w:rFonts w:ascii="Bookman Old Style" w:hAnsi="Bookman Old Style" w:cs="Arial"/>
                <w:sz w:val="20"/>
                <w:szCs w:val="20"/>
              </w:rPr>
            </w:pPr>
            <w:r w:rsidRPr="00AE2220">
              <w:rPr>
                <w:rFonts w:ascii="Bookman Old Style" w:hAnsi="Bookman Old Style" w:cs="Arial"/>
                <w:sz w:val="20"/>
                <w:szCs w:val="20"/>
              </w:rPr>
              <w:t>Declaración de contratos Plantas No Despachadas Centralmente</w:t>
            </w:r>
          </w:p>
        </w:tc>
        <w:tc>
          <w:tcPr>
            <w:tcW w:w="1717" w:type="pct"/>
            <w:tcBorders>
              <w:top w:val="nil"/>
              <w:left w:val="nil"/>
              <w:bottom w:val="single" w:sz="4" w:space="0" w:color="auto"/>
              <w:right w:val="single" w:sz="4" w:space="0" w:color="auto"/>
            </w:tcBorders>
            <w:vAlign w:val="center"/>
          </w:tcPr>
          <w:p w:rsidR="0074046D" w:rsidRPr="00AE2220" w:rsidRDefault="0074046D" w:rsidP="00AD5DAF">
            <w:pPr>
              <w:ind w:left="0"/>
              <w:rPr>
                <w:rFonts w:ascii="Bookman Old Style" w:hAnsi="Bookman Old Style" w:cs="Arial"/>
                <w:sz w:val="20"/>
                <w:szCs w:val="20"/>
              </w:rPr>
            </w:pPr>
            <w:r w:rsidRPr="00AE2220">
              <w:rPr>
                <w:rFonts w:ascii="Bookman Old Style" w:hAnsi="Bookman Old Style" w:cs="Arial"/>
                <w:sz w:val="20"/>
                <w:szCs w:val="20"/>
              </w:rPr>
              <w:t>Declaración en la que los agentes generadores que representan Plantas No Despachadas Centralmente informan si tienen contratos en los que suministren energía  para cubrir demanda del período de vigencia a asignar.</w:t>
            </w:r>
          </w:p>
        </w:tc>
        <w:tc>
          <w:tcPr>
            <w:tcW w:w="1418" w:type="pct"/>
            <w:tcBorders>
              <w:left w:val="nil"/>
              <w:bottom w:val="single" w:sz="4" w:space="0" w:color="auto"/>
              <w:right w:val="single" w:sz="4" w:space="0" w:color="auto"/>
            </w:tcBorders>
            <w:noWrap/>
            <w:vAlign w:val="center"/>
          </w:tcPr>
          <w:p w:rsidR="0074046D" w:rsidRPr="000E37AE" w:rsidRDefault="0074046D" w:rsidP="00AD5DAF">
            <w:pPr>
              <w:ind w:left="36"/>
              <w:rPr>
                <w:rFonts w:ascii="Bookman Old Style" w:hAnsi="Bookman Old Style" w:cs="Arial"/>
                <w:sz w:val="20"/>
                <w:szCs w:val="20"/>
              </w:rPr>
            </w:pPr>
            <w:r w:rsidRPr="000E37AE">
              <w:rPr>
                <w:rFonts w:ascii="Bookman Old Style" w:hAnsi="Bookman Old Style" w:cs="Arial"/>
                <w:sz w:val="20"/>
                <w:szCs w:val="20"/>
              </w:rPr>
              <w:t>Agentes con plantas o unidades existentes, no despachadas centralmente.</w:t>
            </w:r>
          </w:p>
        </w:tc>
        <w:tc>
          <w:tcPr>
            <w:tcW w:w="969" w:type="pct"/>
            <w:tcBorders>
              <w:left w:val="nil"/>
              <w:bottom w:val="single" w:sz="4" w:space="0" w:color="auto"/>
              <w:right w:val="single" w:sz="4" w:space="0" w:color="auto"/>
            </w:tcBorders>
            <w:noWrap/>
            <w:vAlign w:val="center"/>
          </w:tcPr>
          <w:p w:rsidR="0074046D" w:rsidRPr="000E37AE" w:rsidRDefault="008A51ED" w:rsidP="00AD5DAF">
            <w:pPr>
              <w:ind w:left="20"/>
              <w:rPr>
                <w:rFonts w:ascii="Bookman Old Style" w:hAnsi="Bookman Old Style" w:cs="Arial"/>
                <w:sz w:val="20"/>
                <w:szCs w:val="20"/>
              </w:rPr>
            </w:pPr>
            <w:r w:rsidRPr="000E37AE">
              <w:rPr>
                <w:rFonts w:ascii="Bookman Old Style" w:hAnsi="Bookman Old Style" w:cs="Arial"/>
                <w:sz w:val="20"/>
                <w:szCs w:val="20"/>
              </w:rPr>
              <w:t>En la misma fecha de declaración de ENFICC</w:t>
            </w:r>
          </w:p>
        </w:tc>
      </w:tr>
      <w:tr w:rsidR="008A51ED" w:rsidRPr="00AE2220" w:rsidTr="00AD5DAF">
        <w:trPr>
          <w:cantSplit/>
          <w:trHeight w:val="765"/>
        </w:trPr>
        <w:tc>
          <w:tcPr>
            <w:tcW w:w="896" w:type="pct"/>
            <w:tcBorders>
              <w:top w:val="nil"/>
              <w:left w:val="single" w:sz="4" w:space="0" w:color="auto"/>
              <w:bottom w:val="single" w:sz="4" w:space="0" w:color="000000"/>
              <w:right w:val="single" w:sz="4" w:space="0" w:color="auto"/>
            </w:tcBorders>
            <w:vAlign w:val="center"/>
          </w:tcPr>
          <w:p w:rsidR="008A51ED" w:rsidRPr="008A51ED" w:rsidRDefault="008A51ED" w:rsidP="00AD5DAF">
            <w:pPr>
              <w:ind w:left="72"/>
              <w:rPr>
                <w:rFonts w:ascii="Bookman Old Style" w:hAnsi="Bookman Old Style" w:cs="Arial"/>
                <w:sz w:val="20"/>
                <w:szCs w:val="20"/>
              </w:rPr>
            </w:pPr>
            <w:r w:rsidRPr="008A51ED">
              <w:rPr>
                <w:rFonts w:ascii="Bookman Old Style" w:hAnsi="Bookman Old Style" w:cs="Arial"/>
                <w:sz w:val="20"/>
                <w:szCs w:val="20"/>
              </w:rPr>
              <w:lastRenderedPageBreak/>
              <w:t>Entrega de manifestación escrita para cubrir OEF con gas importado.</w:t>
            </w:r>
          </w:p>
        </w:tc>
        <w:tc>
          <w:tcPr>
            <w:tcW w:w="1717" w:type="pct"/>
            <w:tcBorders>
              <w:top w:val="nil"/>
              <w:left w:val="nil"/>
              <w:bottom w:val="single" w:sz="4" w:space="0" w:color="auto"/>
              <w:right w:val="single" w:sz="4" w:space="0" w:color="auto"/>
            </w:tcBorders>
            <w:vAlign w:val="center"/>
          </w:tcPr>
          <w:p w:rsidR="008A51ED" w:rsidRPr="008A51ED" w:rsidRDefault="008A51ED" w:rsidP="00AD5DAF">
            <w:pPr>
              <w:ind w:left="0" w:right="142"/>
              <w:rPr>
                <w:rFonts w:ascii="Bookman Old Style" w:hAnsi="Bookman Old Style" w:cs="Arial"/>
                <w:sz w:val="20"/>
                <w:szCs w:val="20"/>
              </w:rPr>
            </w:pPr>
            <w:r w:rsidRPr="008A51ED">
              <w:rPr>
                <w:rFonts w:ascii="Bookman Old Style" w:hAnsi="Bookman Old Style" w:cs="Arial"/>
                <w:sz w:val="20"/>
                <w:szCs w:val="20"/>
              </w:rPr>
              <w:t>Las plantas o unidades que respalden la obligación con gas natural importado aplicarán lo definido en la resolución que adopte la Comisión para el efecto.</w:t>
            </w:r>
          </w:p>
        </w:tc>
        <w:tc>
          <w:tcPr>
            <w:tcW w:w="1418" w:type="pct"/>
            <w:tcBorders>
              <w:left w:val="nil"/>
              <w:bottom w:val="single" w:sz="4" w:space="0" w:color="auto"/>
              <w:right w:val="single" w:sz="4" w:space="0" w:color="auto"/>
            </w:tcBorders>
            <w:noWrap/>
            <w:vAlign w:val="center"/>
          </w:tcPr>
          <w:p w:rsidR="008A51ED" w:rsidRPr="008A51ED" w:rsidRDefault="008A51ED" w:rsidP="00AD5DAF">
            <w:pPr>
              <w:ind w:left="36"/>
              <w:jc w:val="center"/>
              <w:rPr>
                <w:rFonts w:ascii="Bookman Old Style" w:hAnsi="Bookman Old Style" w:cs="Arial"/>
                <w:sz w:val="20"/>
                <w:szCs w:val="20"/>
              </w:rPr>
            </w:pPr>
            <w:r w:rsidRPr="008A51ED">
              <w:rPr>
                <w:rFonts w:ascii="Bookman Old Style" w:hAnsi="Bookman Old Style" w:cs="Arial"/>
                <w:sz w:val="20"/>
                <w:szCs w:val="20"/>
              </w:rPr>
              <w:t>Agentes</w:t>
            </w:r>
          </w:p>
        </w:tc>
        <w:tc>
          <w:tcPr>
            <w:tcW w:w="969" w:type="pct"/>
            <w:tcBorders>
              <w:left w:val="nil"/>
              <w:bottom w:val="single" w:sz="4" w:space="0" w:color="auto"/>
              <w:right w:val="single" w:sz="4" w:space="0" w:color="auto"/>
            </w:tcBorders>
            <w:noWrap/>
            <w:vAlign w:val="center"/>
          </w:tcPr>
          <w:p w:rsidR="008A51ED" w:rsidRPr="000E37AE" w:rsidRDefault="008A51ED" w:rsidP="00AD5DAF">
            <w:pPr>
              <w:ind w:left="20"/>
              <w:rPr>
                <w:rFonts w:ascii="Bookman Old Style" w:hAnsi="Bookman Old Style" w:cs="Arial"/>
                <w:sz w:val="20"/>
                <w:szCs w:val="20"/>
              </w:rPr>
            </w:pPr>
            <w:r w:rsidRPr="000E37AE">
              <w:rPr>
                <w:rFonts w:ascii="Bookman Old Style" w:hAnsi="Bookman Old Style" w:cs="Arial"/>
                <w:sz w:val="20"/>
                <w:szCs w:val="20"/>
              </w:rPr>
              <w:t>En la misma fecha de declaración de ENFICC</w:t>
            </w:r>
          </w:p>
        </w:tc>
      </w:tr>
      <w:tr w:rsidR="008A51ED" w:rsidRPr="00AE2220" w:rsidTr="000E37AE">
        <w:trPr>
          <w:cantSplit/>
          <w:trHeight w:val="793"/>
        </w:trPr>
        <w:tc>
          <w:tcPr>
            <w:tcW w:w="896" w:type="pct"/>
            <w:tcBorders>
              <w:top w:val="nil"/>
              <w:left w:val="single" w:sz="4" w:space="0" w:color="auto"/>
              <w:bottom w:val="single" w:sz="4" w:space="0" w:color="000000"/>
              <w:right w:val="single" w:sz="4" w:space="0" w:color="auto"/>
            </w:tcBorders>
            <w:noWrap/>
            <w:vAlign w:val="center"/>
          </w:tcPr>
          <w:p w:rsidR="008A51ED" w:rsidRPr="00AE2220" w:rsidRDefault="008A51ED" w:rsidP="00AD5DAF">
            <w:pPr>
              <w:ind w:left="72"/>
              <w:rPr>
                <w:rFonts w:ascii="Bookman Old Style" w:hAnsi="Bookman Old Style" w:cs="Arial"/>
                <w:sz w:val="20"/>
                <w:szCs w:val="20"/>
              </w:rPr>
            </w:pPr>
            <w:r w:rsidRPr="00AE2220">
              <w:rPr>
                <w:rFonts w:ascii="Bookman Old Style" w:hAnsi="Bookman Old Style" w:cs="Arial"/>
                <w:sz w:val="20"/>
                <w:szCs w:val="20"/>
              </w:rPr>
              <w:t>Verificación</w:t>
            </w:r>
          </w:p>
        </w:tc>
        <w:tc>
          <w:tcPr>
            <w:tcW w:w="1717" w:type="pct"/>
            <w:tcBorders>
              <w:top w:val="nil"/>
              <w:left w:val="nil"/>
              <w:bottom w:val="single" w:sz="4" w:space="0" w:color="auto"/>
              <w:right w:val="single" w:sz="4" w:space="0" w:color="auto"/>
            </w:tcBorders>
            <w:vAlign w:val="center"/>
          </w:tcPr>
          <w:p w:rsidR="008A51ED" w:rsidRPr="00AE2220" w:rsidRDefault="008A51ED" w:rsidP="00AD5DAF">
            <w:pPr>
              <w:ind w:left="0" w:right="142"/>
              <w:rPr>
                <w:rFonts w:ascii="Bookman Old Style" w:hAnsi="Bookman Old Style" w:cs="Arial"/>
                <w:sz w:val="20"/>
                <w:szCs w:val="20"/>
              </w:rPr>
            </w:pPr>
            <w:r w:rsidRPr="00AE2220">
              <w:rPr>
                <w:rFonts w:ascii="Bookman Old Style" w:hAnsi="Bookman Old Style" w:cs="Arial"/>
                <w:sz w:val="20"/>
                <w:szCs w:val="20"/>
              </w:rPr>
              <w:t>Verificación y solicitud de aclaraciones a la declaración de ENFICC.</w:t>
            </w:r>
          </w:p>
        </w:tc>
        <w:tc>
          <w:tcPr>
            <w:tcW w:w="1418" w:type="pct"/>
            <w:tcBorders>
              <w:top w:val="single" w:sz="4" w:space="0" w:color="auto"/>
              <w:left w:val="nil"/>
              <w:bottom w:val="single" w:sz="4" w:space="0" w:color="auto"/>
              <w:right w:val="single" w:sz="4" w:space="0" w:color="auto"/>
            </w:tcBorders>
            <w:noWrap/>
            <w:vAlign w:val="center"/>
          </w:tcPr>
          <w:p w:rsidR="008A51ED" w:rsidRPr="00AE2220" w:rsidRDefault="008A51ED" w:rsidP="00AD5DAF">
            <w:pPr>
              <w:ind w:left="36"/>
              <w:jc w:val="center"/>
              <w:rPr>
                <w:rFonts w:ascii="Bookman Old Style" w:hAnsi="Bookman Old Style" w:cs="Arial"/>
                <w:sz w:val="20"/>
                <w:szCs w:val="20"/>
              </w:rPr>
            </w:pPr>
            <w:r w:rsidRPr="00AE2220">
              <w:rPr>
                <w:rFonts w:ascii="Bookman Old Style" w:hAnsi="Bookman Old Style" w:cs="Arial"/>
                <w:sz w:val="20"/>
                <w:szCs w:val="20"/>
              </w:rPr>
              <w:t>CND-CREG</w:t>
            </w:r>
          </w:p>
        </w:tc>
        <w:tc>
          <w:tcPr>
            <w:tcW w:w="969" w:type="pct"/>
            <w:tcBorders>
              <w:top w:val="single" w:sz="4" w:space="0" w:color="auto"/>
              <w:left w:val="nil"/>
              <w:bottom w:val="single" w:sz="4" w:space="0" w:color="auto"/>
              <w:right w:val="single" w:sz="4" w:space="0" w:color="auto"/>
            </w:tcBorders>
            <w:vAlign w:val="center"/>
          </w:tcPr>
          <w:p w:rsidR="008A51ED" w:rsidRPr="00AE2220" w:rsidRDefault="000E37AE" w:rsidP="000E37AE">
            <w:pPr>
              <w:ind w:left="20"/>
              <w:rPr>
                <w:rFonts w:ascii="Bookman Old Style" w:hAnsi="Bookman Old Style" w:cs="Arial"/>
                <w:sz w:val="20"/>
                <w:szCs w:val="20"/>
              </w:rPr>
            </w:pPr>
            <w:r>
              <w:rPr>
                <w:rFonts w:ascii="Bookman Old Style" w:hAnsi="Bookman Old Style" w:cs="Arial"/>
                <w:sz w:val="20"/>
                <w:szCs w:val="20"/>
              </w:rPr>
              <w:t>De Mar. 28/11 a Abr. Abr. 1/11</w:t>
            </w:r>
          </w:p>
          <w:p w:rsidR="008A51ED" w:rsidRPr="00AE2220" w:rsidRDefault="008A51ED" w:rsidP="000E37AE">
            <w:pPr>
              <w:ind w:left="20"/>
              <w:rPr>
                <w:rFonts w:ascii="Bookman Old Style" w:hAnsi="Bookman Old Style" w:cs="Arial"/>
                <w:sz w:val="20"/>
                <w:szCs w:val="20"/>
              </w:rPr>
            </w:pPr>
          </w:p>
        </w:tc>
      </w:tr>
      <w:tr w:rsidR="008A51ED" w:rsidRPr="00AE2220" w:rsidTr="00AD5DAF">
        <w:trPr>
          <w:cantSplit/>
          <w:trHeight w:val="793"/>
        </w:trPr>
        <w:tc>
          <w:tcPr>
            <w:tcW w:w="896" w:type="pct"/>
            <w:tcBorders>
              <w:top w:val="nil"/>
              <w:left w:val="single" w:sz="4" w:space="0" w:color="auto"/>
              <w:bottom w:val="single" w:sz="4" w:space="0" w:color="000000"/>
              <w:right w:val="single" w:sz="4" w:space="0" w:color="auto"/>
            </w:tcBorders>
            <w:noWrap/>
            <w:vAlign w:val="center"/>
          </w:tcPr>
          <w:p w:rsidR="008A51ED" w:rsidRPr="000E37AE" w:rsidRDefault="008A51ED" w:rsidP="00AD5DAF">
            <w:pPr>
              <w:ind w:left="72"/>
              <w:rPr>
                <w:rFonts w:ascii="Bookman Old Style" w:hAnsi="Bookman Old Style" w:cs="Arial"/>
                <w:sz w:val="20"/>
                <w:szCs w:val="20"/>
              </w:rPr>
            </w:pPr>
            <w:r w:rsidRPr="000E37AE">
              <w:rPr>
                <w:rFonts w:ascii="Bookman Old Style" w:hAnsi="Bookman Old Style" w:cs="Arial"/>
                <w:sz w:val="20"/>
                <w:szCs w:val="20"/>
              </w:rPr>
              <w:t>Declaración  de opción de abastecimiento de combustible</w:t>
            </w:r>
          </w:p>
        </w:tc>
        <w:tc>
          <w:tcPr>
            <w:tcW w:w="1717" w:type="pct"/>
            <w:tcBorders>
              <w:top w:val="nil"/>
              <w:left w:val="nil"/>
              <w:bottom w:val="single" w:sz="4" w:space="0" w:color="auto"/>
              <w:right w:val="single" w:sz="4" w:space="0" w:color="auto"/>
            </w:tcBorders>
            <w:vAlign w:val="center"/>
          </w:tcPr>
          <w:p w:rsidR="008A51ED" w:rsidRPr="000E37AE" w:rsidRDefault="008A51ED" w:rsidP="00AD5DAF">
            <w:pPr>
              <w:ind w:left="0" w:right="142"/>
              <w:rPr>
                <w:rFonts w:ascii="Bookman Old Style" w:hAnsi="Bookman Old Style" w:cs="Arial"/>
                <w:sz w:val="20"/>
                <w:szCs w:val="20"/>
              </w:rPr>
            </w:pPr>
            <w:r w:rsidRPr="000E37AE">
              <w:rPr>
                <w:rFonts w:ascii="Bookman Old Style" w:hAnsi="Bookman Old Style" w:cs="Arial"/>
                <w:sz w:val="20"/>
                <w:szCs w:val="20"/>
              </w:rPr>
              <w:t>Las plantas térmicas que declararon varias opciones de abastecimiento de combustibles deberán declarar al ASIC la opción que se les debe considerar para la asignación de OEF.</w:t>
            </w:r>
          </w:p>
        </w:tc>
        <w:tc>
          <w:tcPr>
            <w:tcW w:w="1418" w:type="pct"/>
            <w:tcBorders>
              <w:top w:val="single" w:sz="4" w:space="0" w:color="auto"/>
              <w:left w:val="nil"/>
              <w:bottom w:val="single" w:sz="4" w:space="0" w:color="auto"/>
              <w:right w:val="single" w:sz="4" w:space="0" w:color="auto"/>
            </w:tcBorders>
            <w:noWrap/>
            <w:vAlign w:val="center"/>
          </w:tcPr>
          <w:p w:rsidR="008A51ED" w:rsidRPr="000E37AE" w:rsidRDefault="008A51ED" w:rsidP="00AD5DAF">
            <w:pPr>
              <w:ind w:left="36"/>
              <w:jc w:val="center"/>
              <w:rPr>
                <w:rFonts w:ascii="Bookman Old Style" w:hAnsi="Bookman Old Style" w:cs="Arial"/>
                <w:sz w:val="20"/>
                <w:szCs w:val="20"/>
              </w:rPr>
            </w:pPr>
            <w:r w:rsidRPr="000E37AE">
              <w:rPr>
                <w:rFonts w:ascii="Bookman Old Style" w:hAnsi="Bookman Old Style" w:cs="Arial"/>
                <w:sz w:val="20"/>
                <w:szCs w:val="20"/>
              </w:rPr>
              <w:t>Agentes</w:t>
            </w:r>
          </w:p>
        </w:tc>
        <w:tc>
          <w:tcPr>
            <w:tcW w:w="969" w:type="pct"/>
            <w:tcBorders>
              <w:top w:val="single" w:sz="4" w:space="0" w:color="auto"/>
              <w:left w:val="nil"/>
              <w:bottom w:val="single" w:sz="4" w:space="0" w:color="auto"/>
              <w:right w:val="single" w:sz="4" w:space="0" w:color="auto"/>
            </w:tcBorders>
            <w:vAlign w:val="center"/>
          </w:tcPr>
          <w:p w:rsidR="008A51ED" w:rsidRPr="000E37AE" w:rsidRDefault="008A51ED" w:rsidP="00AD5DAF">
            <w:pPr>
              <w:ind w:left="20"/>
              <w:rPr>
                <w:rFonts w:ascii="Bookman Old Style" w:hAnsi="Bookman Old Style" w:cs="Arial"/>
                <w:sz w:val="20"/>
                <w:szCs w:val="20"/>
              </w:rPr>
            </w:pPr>
            <w:r w:rsidRPr="000E37AE">
              <w:rPr>
                <w:rFonts w:ascii="Bookman Old Style" w:hAnsi="Bookman Old Style" w:cs="Arial"/>
                <w:sz w:val="20"/>
                <w:szCs w:val="20"/>
              </w:rPr>
              <w:t>En la misma fecha en que se declara la Organización de que trata la resolución de gas natural importado</w:t>
            </w:r>
          </w:p>
        </w:tc>
      </w:tr>
      <w:tr w:rsidR="008A51ED" w:rsidRPr="00AE2220" w:rsidTr="00AD5DAF">
        <w:trPr>
          <w:trHeight w:val="1530"/>
        </w:trPr>
        <w:tc>
          <w:tcPr>
            <w:tcW w:w="896" w:type="pct"/>
            <w:tcBorders>
              <w:top w:val="single" w:sz="4" w:space="0" w:color="auto"/>
              <w:left w:val="single" w:sz="4" w:space="0" w:color="auto"/>
              <w:bottom w:val="single" w:sz="4" w:space="0" w:color="auto"/>
              <w:right w:val="single" w:sz="4" w:space="0" w:color="auto"/>
            </w:tcBorders>
            <w:vAlign w:val="center"/>
          </w:tcPr>
          <w:p w:rsidR="008A51ED" w:rsidRPr="00AE2220" w:rsidRDefault="008A51ED" w:rsidP="00AD5DAF">
            <w:pPr>
              <w:ind w:left="72"/>
              <w:rPr>
                <w:rFonts w:ascii="Bookman Old Style" w:hAnsi="Bookman Old Style" w:cs="Arial"/>
                <w:sz w:val="20"/>
                <w:szCs w:val="20"/>
              </w:rPr>
            </w:pPr>
            <w:r w:rsidRPr="00AE2220">
              <w:rPr>
                <w:rFonts w:ascii="Bookman Old Style" w:hAnsi="Bookman Old Style" w:cs="Arial"/>
                <w:sz w:val="20"/>
                <w:szCs w:val="20"/>
              </w:rPr>
              <w:t>Publicación de resultados de la asignación</w:t>
            </w:r>
          </w:p>
        </w:tc>
        <w:tc>
          <w:tcPr>
            <w:tcW w:w="1717" w:type="pct"/>
            <w:tcBorders>
              <w:top w:val="single" w:sz="4" w:space="0" w:color="auto"/>
              <w:left w:val="nil"/>
              <w:bottom w:val="single" w:sz="4" w:space="0" w:color="auto"/>
              <w:right w:val="single" w:sz="4" w:space="0" w:color="auto"/>
            </w:tcBorders>
            <w:vAlign w:val="center"/>
          </w:tcPr>
          <w:p w:rsidR="008A51ED" w:rsidRPr="00AE2220" w:rsidRDefault="008A51ED" w:rsidP="00AD5DAF">
            <w:pPr>
              <w:ind w:left="0" w:right="142"/>
              <w:rPr>
                <w:rFonts w:ascii="Bookman Old Style" w:hAnsi="Bookman Old Style" w:cs="Arial"/>
                <w:sz w:val="20"/>
                <w:szCs w:val="20"/>
              </w:rPr>
            </w:pPr>
            <w:r w:rsidRPr="00AE2220">
              <w:rPr>
                <w:rFonts w:ascii="Bookman Old Style" w:hAnsi="Bookman Old Style" w:cs="Arial"/>
                <w:sz w:val="20"/>
                <w:szCs w:val="20"/>
              </w:rPr>
              <w:t>Publicación de la asignación de OEF a cada planta y/o unidad.</w:t>
            </w:r>
          </w:p>
        </w:tc>
        <w:tc>
          <w:tcPr>
            <w:tcW w:w="1418" w:type="pct"/>
            <w:tcBorders>
              <w:top w:val="single" w:sz="4" w:space="0" w:color="auto"/>
              <w:left w:val="nil"/>
              <w:bottom w:val="single" w:sz="4" w:space="0" w:color="auto"/>
              <w:right w:val="single" w:sz="4" w:space="0" w:color="auto"/>
            </w:tcBorders>
            <w:noWrap/>
            <w:vAlign w:val="center"/>
          </w:tcPr>
          <w:p w:rsidR="008A51ED" w:rsidRPr="00AE2220" w:rsidRDefault="008A51ED" w:rsidP="00AD5DAF">
            <w:pPr>
              <w:ind w:left="36"/>
              <w:jc w:val="center"/>
              <w:rPr>
                <w:rFonts w:ascii="Bookman Old Style" w:hAnsi="Bookman Old Style" w:cs="Arial"/>
                <w:sz w:val="20"/>
                <w:szCs w:val="20"/>
              </w:rPr>
            </w:pPr>
            <w:r w:rsidRPr="00AE2220">
              <w:rPr>
                <w:rFonts w:ascii="Bookman Old Style" w:hAnsi="Bookman Old Style" w:cs="Arial"/>
                <w:sz w:val="20"/>
                <w:szCs w:val="20"/>
              </w:rPr>
              <w:t>ASIC</w:t>
            </w:r>
          </w:p>
        </w:tc>
        <w:tc>
          <w:tcPr>
            <w:tcW w:w="969" w:type="pct"/>
            <w:tcBorders>
              <w:top w:val="single" w:sz="4" w:space="0" w:color="auto"/>
              <w:left w:val="nil"/>
              <w:bottom w:val="single" w:sz="4" w:space="0" w:color="auto"/>
              <w:right w:val="single" w:sz="4" w:space="0" w:color="auto"/>
            </w:tcBorders>
            <w:vAlign w:val="center"/>
          </w:tcPr>
          <w:p w:rsidR="008A51ED" w:rsidRPr="000E37AE" w:rsidRDefault="008A51ED" w:rsidP="00AD5DAF">
            <w:pPr>
              <w:ind w:left="20"/>
              <w:rPr>
                <w:rFonts w:ascii="Bookman Old Style" w:hAnsi="Bookman Old Style" w:cs="Arial"/>
                <w:sz w:val="20"/>
                <w:szCs w:val="20"/>
              </w:rPr>
            </w:pPr>
            <w:r w:rsidRPr="000E37AE">
              <w:rPr>
                <w:rFonts w:ascii="Bookman Old Style" w:hAnsi="Bookman Old Style" w:cs="Arial"/>
                <w:sz w:val="20"/>
                <w:szCs w:val="20"/>
              </w:rPr>
              <w:t>Dentro de los 2 días hábiles siguientes a la fecha de declaración de opción</w:t>
            </w:r>
          </w:p>
        </w:tc>
      </w:tr>
      <w:tr w:rsidR="008A51ED" w:rsidRPr="00AE2220" w:rsidTr="00AD5DAF">
        <w:trPr>
          <w:trHeight w:val="1530"/>
        </w:trPr>
        <w:tc>
          <w:tcPr>
            <w:tcW w:w="896" w:type="pct"/>
            <w:tcBorders>
              <w:top w:val="single" w:sz="4" w:space="0" w:color="auto"/>
              <w:left w:val="single" w:sz="4" w:space="0" w:color="auto"/>
              <w:bottom w:val="single" w:sz="4" w:space="0" w:color="auto"/>
              <w:right w:val="single" w:sz="4" w:space="0" w:color="auto"/>
            </w:tcBorders>
            <w:vAlign w:val="center"/>
          </w:tcPr>
          <w:p w:rsidR="008A51ED" w:rsidRPr="00AE2220" w:rsidRDefault="008A51ED" w:rsidP="00AD5DAF">
            <w:pPr>
              <w:ind w:left="72"/>
              <w:rPr>
                <w:rFonts w:ascii="Bookman Old Style" w:hAnsi="Bookman Old Style" w:cs="Arial"/>
                <w:sz w:val="20"/>
                <w:szCs w:val="20"/>
              </w:rPr>
            </w:pPr>
            <w:r w:rsidRPr="00AE2220">
              <w:rPr>
                <w:rFonts w:ascii="Bookman Old Style" w:hAnsi="Bookman Old Style" w:cs="Arial"/>
                <w:sz w:val="20"/>
                <w:szCs w:val="20"/>
              </w:rPr>
              <w:t>Entrega de contratos o garantías y certificación actividades de operación y mantenimiento</w:t>
            </w:r>
          </w:p>
        </w:tc>
        <w:tc>
          <w:tcPr>
            <w:tcW w:w="1717" w:type="pct"/>
            <w:tcBorders>
              <w:top w:val="single" w:sz="4" w:space="0" w:color="auto"/>
              <w:left w:val="nil"/>
              <w:bottom w:val="single" w:sz="4" w:space="0" w:color="auto"/>
              <w:right w:val="single" w:sz="4" w:space="0" w:color="auto"/>
            </w:tcBorders>
            <w:vAlign w:val="center"/>
          </w:tcPr>
          <w:p w:rsidR="008A51ED" w:rsidRPr="00AE2220" w:rsidRDefault="008A51ED" w:rsidP="00AD5DAF">
            <w:pPr>
              <w:ind w:left="0" w:right="142"/>
              <w:rPr>
                <w:rFonts w:ascii="Bookman Old Style" w:hAnsi="Bookman Old Style" w:cs="Arial"/>
                <w:sz w:val="20"/>
                <w:szCs w:val="20"/>
              </w:rPr>
            </w:pPr>
            <w:r w:rsidRPr="00AE2220">
              <w:rPr>
                <w:rFonts w:ascii="Bookman Old Style" w:hAnsi="Bookman Old Style" w:cs="Arial"/>
                <w:sz w:val="20"/>
                <w:szCs w:val="20"/>
              </w:rPr>
              <w:t>Entrega de contratos de combustible o garantías. Para plantas térmicas a carbón las garantías, durante el período de planeación, pueden ser el  certificado del Plan de Trabajo y Obras y la carta de intención presentada según el artículo 46 de la Resolución CREG 071 de 2006.</w:t>
            </w:r>
          </w:p>
          <w:p w:rsidR="008A51ED" w:rsidRPr="00AE2220" w:rsidRDefault="008A51ED" w:rsidP="00AD5DAF">
            <w:pPr>
              <w:ind w:left="0" w:right="142"/>
              <w:rPr>
                <w:rFonts w:ascii="Bookman Old Style" w:hAnsi="Bookman Old Style" w:cs="Arial"/>
                <w:sz w:val="20"/>
                <w:szCs w:val="20"/>
              </w:rPr>
            </w:pPr>
          </w:p>
          <w:p w:rsidR="008A51ED" w:rsidRPr="00AE2220" w:rsidRDefault="008A51ED" w:rsidP="00AD5DAF">
            <w:pPr>
              <w:ind w:left="0" w:right="142"/>
              <w:rPr>
                <w:rFonts w:ascii="Bookman Old Style" w:hAnsi="Bookman Old Style" w:cs="Arial"/>
                <w:sz w:val="20"/>
                <w:szCs w:val="20"/>
              </w:rPr>
            </w:pPr>
            <w:r w:rsidRPr="00AE2220">
              <w:rPr>
                <w:rFonts w:ascii="Bookman Old Style" w:hAnsi="Bookman Old Style" w:cs="Arial"/>
                <w:sz w:val="20"/>
                <w:szCs w:val="20"/>
              </w:rPr>
              <w:t>Para plantas o unidades que respalden la obligación con combustible líquido pueden aplicar lo definido en el Artículo 13 de la Resolución CREG 085 de 2007.</w:t>
            </w:r>
          </w:p>
          <w:p w:rsidR="008A51ED" w:rsidRPr="00AE2220" w:rsidRDefault="008A51ED" w:rsidP="00AD5DAF">
            <w:pPr>
              <w:ind w:left="0" w:right="142"/>
              <w:rPr>
                <w:rFonts w:ascii="Bookman Old Style" w:hAnsi="Bookman Old Style" w:cs="Arial"/>
                <w:sz w:val="20"/>
                <w:szCs w:val="20"/>
              </w:rPr>
            </w:pPr>
          </w:p>
          <w:p w:rsidR="008A51ED" w:rsidRPr="00AE2220" w:rsidRDefault="008A51ED" w:rsidP="00AD5DAF">
            <w:pPr>
              <w:ind w:left="0" w:right="142"/>
              <w:rPr>
                <w:rFonts w:ascii="Bookman Old Style" w:hAnsi="Bookman Old Style" w:cs="Arial"/>
                <w:sz w:val="20"/>
                <w:szCs w:val="20"/>
              </w:rPr>
            </w:pPr>
            <w:r w:rsidRPr="00AE2220">
              <w:rPr>
                <w:rFonts w:ascii="Bookman Old Style" w:hAnsi="Bookman Old Style" w:cs="Arial"/>
                <w:sz w:val="20"/>
                <w:szCs w:val="20"/>
              </w:rPr>
              <w:t>La certificación de operación y mantenimiento será la definida en la Resolución CREG-005 de 2009.</w:t>
            </w:r>
          </w:p>
        </w:tc>
        <w:tc>
          <w:tcPr>
            <w:tcW w:w="1418" w:type="pct"/>
            <w:tcBorders>
              <w:top w:val="single" w:sz="4" w:space="0" w:color="auto"/>
              <w:left w:val="nil"/>
              <w:bottom w:val="single" w:sz="4" w:space="0" w:color="auto"/>
              <w:right w:val="single" w:sz="4" w:space="0" w:color="auto"/>
            </w:tcBorders>
            <w:noWrap/>
            <w:vAlign w:val="center"/>
          </w:tcPr>
          <w:p w:rsidR="008A51ED" w:rsidRPr="00AE2220" w:rsidRDefault="008A51ED" w:rsidP="00AD5DAF">
            <w:pPr>
              <w:ind w:left="36"/>
              <w:jc w:val="center"/>
              <w:rPr>
                <w:rFonts w:ascii="Bookman Old Style" w:hAnsi="Bookman Old Style" w:cs="Arial"/>
                <w:sz w:val="20"/>
                <w:szCs w:val="20"/>
              </w:rPr>
            </w:pPr>
            <w:r w:rsidRPr="00AE2220">
              <w:rPr>
                <w:rFonts w:ascii="Bookman Old Style" w:hAnsi="Bookman Old Style" w:cs="Arial"/>
                <w:sz w:val="20"/>
                <w:szCs w:val="20"/>
              </w:rPr>
              <w:t>Agentes</w:t>
            </w:r>
          </w:p>
        </w:tc>
        <w:tc>
          <w:tcPr>
            <w:tcW w:w="969" w:type="pct"/>
            <w:tcBorders>
              <w:top w:val="single" w:sz="4" w:space="0" w:color="auto"/>
              <w:left w:val="nil"/>
              <w:bottom w:val="single" w:sz="4" w:space="0" w:color="auto"/>
              <w:right w:val="single" w:sz="4" w:space="0" w:color="auto"/>
            </w:tcBorders>
            <w:vAlign w:val="center"/>
          </w:tcPr>
          <w:p w:rsidR="008A51ED" w:rsidRPr="00AE2220" w:rsidRDefault="008A51ED" w:rsidP="00AD5DAF">
            <w:pPr>
              <w:ind w:left="20"/>
              <w:rPr>
                <w:rFonts w:ascii="Bookman Old Style" w:hAnsi="Bookman Old Style" w:cs="Arial"/>
                <w:sz w:val="20"/>
                <w:szCs w:val="20"/>
              </w:rPr>
            </w:pPr>
            <w:r w:rsidRPr="00AE2220">
              <w:rPr>
                <w:rFonts w:ascii="Bookman Old Style" w:hAnsi="Bookman Old Style" w:cs="Arial"/>
                <w:sz w:val="20"/>
                <w:szCs w:val="20"/>
              </w:rPr>
              <w:t>Dentro de los 20 días hábiles siguientes a la fecha de publicación de asignación</w:t>
            </w:r>
          </w:p>
        </w:tc>
      </w:tr>
      <w:tr w:rsidR="008A51ED" w:rsidRPr="00AE2220" w:rsidTr="00AD5DAF">
        <w:trPr>
          <w:trHeight w:val="300"/>
        </w:trPr>
        <w:tc>
          <w:tcPr>
            <w:tcW w:w="896" w:type="pct"/>
            <w:tcBorders>
              <w:top w:val="single" w:sz="4" w:space="0" w:color="auto"/>
              <w:left w:val="single" w:sz="4" w:space="0" w:color="auto"/>
              <w:bottom w:val="single" w:sz="4" w:space="0" w:color="auto"/>
              <w:right w:val="single" w:sz="4" w:space="0" w:color="auto"/>
            </w:tcBorders>
            <w:vAlign w:val="center"/>
          </w:tcPr>
          <w:p w:rsidR="008A51ED" w:rsidRPr="00AE2220" w:rsidRDefault="008A51ED" w:rsidP="00AD5DAF">
            <w:pPr>
              <w:ind w:left="72"/>
              <w:rPr>
                <w:rFonts w:ascii="Bookman Old Style" w:hAnsi="Bookman Old Style" w:cs="Arial"/>
                <w:sz w:val="20"/>
                <w:szCs w:val="20"/>
              </w:rPr>
            </w:pPr>
            <w:r w:rsidRPr="00AE2220">
              <w:rPr>
                <w:rFonts w:ascii="Bookman Old Style" w:hAnsi="Bookman Old Style" w:cs="Arial"/>
                <w:sz w:val="20"/>
                <w:szCs w:val="20"/>
              </w:rPr>
              <w:t>Solicitud de aclaración de garantías que respaldan OEF</w:t>
            </w:r>
          </w:p>
        </w:tc>
        <w:tc>
          <w:tcPr>
            <w:tcW w:w="1717" w:type="pct"/>
            <w:tcBorders>
              <w:top w:val="single" w:sz="4" w:space="0" w:color="auto"/>
              <w:left w:val="nil"/>
              <w:bottom w:val="single" w:sz="4" w:space="0" w:color="auto"/>
              <w:right w:val="single" w:sz="4" w:space="0" w:color="auto"/>
            </w:tcBorders>
            <w:vAlign w:val="center"/>
          </w:tcPr>
          <w:p w:rsidR="008A51ED" w:rsidRPr="00AE2220" w:rsidRDefault="008A51ED" w:rsidP="00AD5DAF">
            <w:pPr>
              <w:ind w:left="0"/>
              <w:rPr>
                <w:rFonts w:ascii="Bookman Old Style" w:hAnsi="Bookman Old Style" w:cs="Arial"/>
                <w:sz w:val="20"/>
                <w:szCs w:val="20"/>
              </w:rPr>
            </w:pPr>
            <w:r w:rsidRPr="00AE2220">
              <w:rPr>
                <w:rFonts w:ascii="Bookman Old Style" w:hAnsi="Bookman Old Style" w:cs="Arial"/>
                <w:sz w:val="20"/>
                <w:szCs w:val="20"/>
              </w:rPr>
              <w:t>Solicitud de aclaración a la garantías remitidas</w:t>
            </w:r>
          </w:p>
        </w:tc>
        <w:tc>
          <w:tcPr>
            <w:tcW w:w="1418" w:type="pct"/>
            <w:tcBorders>
              <w:top w:val="single" w:sz="4" w:space="0" w:color="auto"/>
              <w:left w:val="nil"/>
              <w:bottom w:val="single" w:sz="4" w:space="0" w:color="auto"/>
              <w:right w:val="single" w:sz="4" w:space="0" w:color="auto"/>
            </w:tcBorders>
            <w:noWrap/>
            <w:vAlign w:val="center"/>
          </w:tcPr>
          <w:p w:rsidR="008A51ED" w:rsidRPr="00AE2220" w:rsidRDefault="008A51ED" w:rsidP="00AD5DAF">
            <w:pPr>
              <w:ind w:left="36"/>
              <w:jc w:val="center"/>
              <w:rPr>
                <w:rFonts w:ascii="Bookman Old Style" w:hAnsi="Bookman Old Style" w:cs="Arial"/>
                <w:sz w:val="20"/>
                <w:szCs w:val="20"/>
              </w:rPr>
            </w:pPr>
            <w:r w:rsidRPr="00AE2220">
              <w:rPr>
                <w:rFonts w:ascii="Bookman Old Style" w:hAnsi="Bookman Old Style" w:cs="Arial"/>
                <w:sz w:val="20"/>
                <w:szCs w:val="20"/>
              </w:rPr>
              <w:t>ASIC</w:t>
            </w:r>
          </w:p>
        </w:tc>
        <w:tc>
          <w:tcPr>
            <w:tcW w:w="969" w:type="pct"/>
            <w:tcBorders>
              <w:top w:val="single" w:sz="4" w:space="0" w:color="auto"/>
              <w:left w:val="nil"/>
              <w:bottom w:val="single" w:sz="4" w:space="0" w:color="auto"/>
              <w:right w:val="single" w:sz="4" w:space="0" w:color="auto"/>
            </w:tcBorders>
            <w:vAlign w:val="center"/>
          </w:tcPr>
          <w:p w:rsidR="008A51ED" w:rsidRPr="00AE2220" w:rsidRDefault="008A51ED" w:rsidP="00AD5DAF">
            <w:pPr>
              <w:ind w:left="20"/>
              <w:rPr>
                <w:rFonts w:ascii="Bookman Old Style" w:hAnsi="Bookman Old Style" w:cs="Arial"/>
                <w:sz w:val="20"/>
                <w:szCs w:val="20"/>
              </w:rPr>
            </w:pPr>
            <w:r w:rsidRPr="00AE2220">
              <w:rPr>
                <w:rFonts w:ascii="Bookman Old Style" w:hAnsi="Bookman Old Style" w:cs="Arial"/>
                <w:sz w:val="20"/>
                <w:szCs w:val="20"/>
              </w:rPr>
              <w:t>Dentro de los cinco (5) días hábiles siguientes a la fecha de  entrega de contratos o garantías.</w:t>
            </w:r>
          </w:p>
        </w:tc>
      </w:tr>
      <w:tr w:rsidR="008A51ED" w:rsidRPr="00AE2220" w:rsidTr="00AD5DAF">
        <w:trPr>
          <w:trHeight w:val="1530"/>
        </w:trPr>
        <w:tc>
          <w:tcPr>
            <w:tcW w:w="896" w:type="pct"/>
            <w:tcBorders>
              <w:top w:val="single" w:sz="4" w:space="0" w:color="auto"/>
              <w:left w:val="single" w:sz="4" w:space="0" w:color="auto"/>
              <w:bottom w:val="single" w:sz="4" w:space="0" w:color="auto"/>
              <w:right w:val="single" w:sz="4" w:space="0" w:color="auto"/>
            </w:tcBorders>
            <w:vAlign w:val="center"/>
          </w:tcPr>
          <w:p w:rsidR="008A51ED" w:rsidRPr="00AE2220" w:rsidRDefault="008A51ED" w:rsidP="00AD5DAF">
            <w:pPr>
              <w:ind w:left="72"/>
              <w:rPr>
                <w:rFonts w:ascii="Bookman Old Style" w:hAnsi="Bookman Old Style" w:cs="Arial"/>
                <w:sz w:val="20"/>
                <w:szCs w:val="20"/>
              </w:rPr>
            </w:pPr>
            <w:r w:rsidRPr="00AE2220">
              <w:rPr>
                <w:rFonts w:ascii="Bookman Old Style" w:hAnsi="Bookman Old Style" w:cs="Arial"/>
                <w:sz w:val="20"/>
                <w:szCs w:val="20"/>
              </w:rPr>
              <w:t>Expedición de certificado de asignación de Obligaciones de Energía Firme</w:t>
            </w:r>
          </w:p>
        </w:tc>
        <w:tc>
          <w:tcPr>
            <w:tcW w:w="1717" w:type="pct"/>
            <w:tcBorders>
              <w:top w:val="single" w:sz="4" w:space="0" w:color="auto"/>
              <w:left w:val="nil"/>
              <w:bottom w:val="single" w:sz="4" w:space="0" w:color="auto"/>
              <w:right w:val="single" w:sz="4" w:space="0" w:color="auto"/>
            </w:tcBorders>
            <w:vAlign w:val="center"/>
          </w:tcPr>
          <w:p w:rsidR="008A51ED" w:rsidRPr="00AE2220" w:rsidRDefault="008A51ED" w:rsidP="00AD5DAF">
            <w:pPr>
              <w:ind w:left="0"/>
              <w:rPr>
                <w:rFonts w:ascii="Bookman Old Style" w:hAnsi="Bookman Old Style" w:cs="Arial"/>
                <w:sz w:val="20"/>
                <w:szCs w:val="20"/>
              </w:rPr>
            </w:pPr>
            <w:r w:rsidRPr="00AE2220">
              <w:rPr>
                <w:rFonts w:ascii="Bookman Old Style" w:hAnsi="Bookman Old Style" w:cs="Arial"/>
                <w:sz w:val="20"/>
                <w:szCs w:val="20"/>
              </w:rPr>
              <w:t>Certificado expedido por el ASIC de conformidad con la regulación vigente</w:t>
            </w:r>
          </w:p>
        </w:tc>
        <w:tc>
          <w:tcPr>
            <w:tcW w:w="1418" w:type="pct"/>
            <w:tcBorders>
              <w:top w:val="single" w:sz="4" w:space="0" w:color="auto"/>
              <w:left w:val="nil"/>
              <w:bottom w:val="single" w:sz="4" w:space="0" w:color="auto"/>
              <w:right w:val="single" w:sz="4" w:space="0" w:color="auto"/>
            </w:tcBorders>
            <w:noWrap/>
            <w:vAlign w:val="center"/>
          </w:tcPr>
          <w:p w:rsidR="008A51ED" w:rsidRPr="00AE2220" w:rsidRDefault="008A51ED" w:rsidP="00AD5DAF">
            <w:pPr>
              <w:ind w:left="36"/>
              <w:jc w:val="center"/>
              <w:rPr>
                <w:rFonts w:ascii="Bookman Old Style" w:hAnsi="Bookman Old Style" w:cs="Arial"/>
                <w:sz w:val="20"/>
                <w:szCs w:val="20"/>
              </w:rPr>
            </w:pPr>
            <w:r w:rsidRPr="00AE2220">
              <w:rPr>
                <w:rFonts w:ascii="Bookman Old Style" w:hAnsi="Bookman Old Style" w:cs="Arial"/>
                <w:sz w:val="20"/>
                <w:szCs w:val="20"/>
              </w:rPr>
              <w:t>ASIC</w:t>
            </w:r>
          </w:p>
        </w:tc>
        <w:tc>
          <w:tcPr>
            <w:tcW w:w="969" w:type="pct"/>
            <w:tcBorders>
              <w:top w:val="single" w:sz="4" w:space="0" w:color="auto"/>
              <w:left w:val="nil"/>
              <w:bottom w:val="single" w:sz="4" w:space="0" w:color="auto"/>
              <w:right w:val="single" w:sz="4" w:space="0" w:color="auto"/>
            </w:tcBorders>
            <w:vAlign w:val="center"/>
          </w:tcPr>
          <w:p w:rsidR="008A51ED" w:rsidRPr="00AE2220" w:rsidRDefault="008A51ED" w:rsidP="00AD5DAF">
            <w:pPr>
              <w:ind w:left="20"/>
              <w:rPr>
                <w:rFonts w:ascii="Bookman Old Style" w:hAnsi="Bookman Old Style" w:cs="Arial"/>
                <w:sz w:val="20"/>
                <w:szCs w:val="20"/>
              </w:rPr>
            </w:pPr>
            <w:r w:rsidRPr="00AE2220">
              <w:rPr>
                <w:rFonts w:ascii="Bookman Old Style" w:hAnsi="Bookman Old Style" w:cs="Arial"/>
                <w:sz w:val="20"/>
                <w:szCs w:val="20"/>
              </w:rPr>
              <w:t xml:space="preserve">Dentro de los dos (2) días hábiles siguientes a la fecha de la solicitud de aclaración de </w:t>
            </w:r>
            <w:r w:rsidRPr="00AE2220">
              <w:rPr>
                <w:rFonts w:ascii="Bookman Old Style" w:hAnsi="Bookman Old Style" w:cs="Arial"/>
                <w:sz w:val="20"/>
                <w:szCs w:val="20"/>
              </w:rPr>
              <w:lastRenderedPageBreak/>
              <w:t>garantías que respaldan OEF</w:t>
            </w:r>
          </w:p>
        </w:tc>
      </w:tr>
    </w:tbl>
    <w:p w:rsidR="0074046D" w:rsidRDefault="0074046D" w:rsidP="0074046D">
      <w:pPr>
        <w:pStyle w:val="Textoindependiente2"/>
        <w:ind w:left="708"/>
        <w:jc w:val="center"/>
        <w:rPr>
          <w:sz w:val="22"/>
        </w:rPr>
      </w:pPr>
    </w:p>
    <w:p w:rsidR="00DE1DC2" w:rsidRDefault="00DE1DC2" w:rsidP="0074046D">
      <w:pPr>
        <w:pStyle w:val="Textoindependiente2"/>
        <w:ind w:left="708"/>
        <w:jc w:val="center"/>
        <w:rPr>
          <w:sz w:val="22"/>
        </w:rPr>
      </w:pPr>
    </w:p>
    <w:p w:rsidR="0074046D" w:rsidRDefault="0074046D" w:rsidP="0074046D">
      <w:pPr>
        <w:pStyle w:val="Textoindependiente2"/>
        <w:ind w:left="708"/>
        <w:jc w:val="center"/>
        <w:rPr>
          <w:sz w:val="22"/>
        </w:rPr>
      </w:pPr>
    </w:p>
    <w:tbl>
      <w:tblPr>
        <w:tblW w:w="0" w:type="auto"/>
        <w:jc w:val="center"/>
        <w:tblLayout w:type="fixed"/>
        <w:tblCellMar>
          <w:left w:w="70" w:type="dxa"/>
          <w:right w:w="70" w:type="dxa"/>
        </w:tblCellMar>
        <w:tblLook w:val="0000" w:firstRow="0" w:lastRow="0" w:firstColumn="0" w:lastColumn="0" w:noHBand="0" w:noVBand="0"/>
      </w:tblPr>
      <w:tblGrid>
        <w:gridCol w:w="4491"/>
        <w:gridCol w:w="4491"/>
      </w:tblGrid>
      <w:tr w:rsidR="0074046D" w:rsidTr="00AD5DAF">
        <w:trPr>
          <w:trHeight w:val="349"/>
          <w:jc w:val="center"/>
        </w:trPr>
        <w:tc>
          <w:tcPr>
            <w:tcW w:w="4491" w:type="dxa"/>
            <w:vAlign w:val="center"/>
          </w:tcPr>
          <w:p w:rsidR="0074046D" w:rsidRPr="003C3499" w:rsidRDefault="0074046D" w:rsidP="00AD5DAF">
            <w:pPr>
              <w:tabs>
                <w:tab w:val="left" w:pos="-720"/>
              </w:tabs>
              <w:snapToGrid w:val="0"/>
              <w:ind w:left="310"/>
              <w:jc w:val="center"/>
              <w:rPr>
                <w:rFonts w:ascii="Bookman Old Style" w:hAnsi="Bookman Old Style" w:cs="Arial"/>
                <w:b/>
                <w:spacing w:val="-3"/>
              </w:rPr>
            </w:pPr>
            <w:r>
              <w:rPr>
                <w:rFonts w:ascii="Bookman Old Style" w:hAnsi="Bookman Old Style" w:cs="Arial"/>
                <w:b/>
                <w:spacing w:val="-3"/>
              </w:rPr>
              <w:t>TOMÁS GONZÁLEZ ESTRADA</w:t>
            </w:r>
          </w:p>
        </w:tc>
        <w:tc>
          <w:tcPr>
            <w:tcW w:w="4491" w:type="dxa"/>
            <w:vAlign w:val="center"/>
          </w:tcPr>
          <w:p w:rsidR="0074046D" w:rsidRPr="003C3499" w:rsidRDefault="0074046D" w:rsidP="00AD5DAF">
            <w:pPr>
              <w:tabs>
                <w:tab w:val="left" w:pos="-720"/>
              </w:tabs>
              <w:snapToGrid w:val="0"/>
              <w:ind w:left="72"/>
              <w:jc w:val="center"/>
              <w:rPr>
                <w:rFonts w:ascii="Bookman Old Style" w:hAnsi="Bookman Old Style" w:cs="Arial"/>
                <w:b/>
                <w:spacing w:val="-3"/>
              </w:rPr>
            </w:pPr>
            <w:r>
              <w:rPr>
                <w:rFonts w:ascii="Bookman Old Style" w:hAnsi="Bookman Old Style" w:cs="Arial"/>
                <w:b/>
                <w:spacing w:val="-3"/>
              </w:rPr>
              <w:t>JAVIER AUGUSTO DÍAZ VELASCO</w:t>
            </w:r>
          </w:p>
        </w:tc>
      </w:tr>
      <w:tr w:rsidR="0074046D" w:rsidTr="00AD5DAF">
        <w:trPr>
          <w:trHeight w:val="349"/>
          <w:jc w:val="center"/>
        </w:trPr>
        <w:tc>
          <w:tcPr>
            <w:tcW w:w="4491" w:type="dxa"/>
          </w:tcPr>
          <w:p w:rsidR="0074046D" w:rsidRPr="003C3499" w:rsidRDefault="0074046D" w:rsidP="00AD5DAF">
            <w:pPr>
              <w:tabs>
                <w:tab w:val="left" w:pos="-720"/>
              </w:tabs>
              <w:snapToGrid w:val="0"/>
              <w:ind w:left="310"/>
              <w:jc w:val="center"/>
              <w:rPr>
                <w:rFonts w:ascii="Bookman Old Style" w:hAnsi="Bookman Old Style" w:cs="Arial"/>
                <w:spacing w:val="-3"/>
              </w:rPr>
            </w:pPr>
            <w:r w:rsidRPr="003C3499">
              <w:rPr>
                <w:rFonts w:ascii="Bookman Old Style" w:hAnsi="Bookman Old Style" w:cs="Arial"/>
                <w:spacing w:val="-3"/>
              </w:rPr>
              <w:t>Viceministr</w:t>
            </w:r>
            <w:r>
              <w:rPr>
                <w:rFonts w:ascii="Bookman Old Style" w:hAnsi="Bookman Old Style" w:cs="Arial"/>
                <w:spacing w:val="-3"/>
              </w:rPr>
              <w:t>o</w:t>
            </w:r>
            <w:r w:rsidRPr="003C3499">
              <w:rPr>
                <w:rFonts w:ascii="Bookman Old Style" w:hAnsi="Bookman Old Style" w:cs="Arial"/>
                <w:spacing w:val="-3"/>
              </w:rPr>
              <w:t xml:space="preserve"> de Minas y Energía</w:t>
            </w:r>
          </w:p>
        </w:tc>
        <w:tc>
          <w:tcPr>
            <w:tcW w:w="4491" w:type="dxa"/>
          </w:tcPr>
          <w:p w:rsidR="0074046D" w:rsidRPr="003C3499" w:rsidRDefault="0074046D" w:rsidP="00AD5DAF">
            <w:pPr>
              <w:tabs>
                <w:tab w:val="left" w:pos="-720"/>
              </w:tabs>
              <w:snapToGrid w:val="0"/>
              <w:jc w:val="center"/>
              <w:rPr>
                <w:rFonts w:ascii="Bookman Old Style" w:hAnsi="Bookman Old Style" w:cs="Arial"/>
                <w:spacing w:val="-3"/>
              </w:rPr>
            </w:pPr>
            <w:r w:rsidRPr="003C3499">
              <w:rPr>
                <w:rFonts w:ascii="Bookman Old Style" w:hAnsi="Bookman Old Style" w:cs="Arial"/>
                <w:spacing w:val="-3"/>
              </w:rPr>
              <w:t xml:space="preserve">Director Ejecutivo </w:t>
            </w:r>
          </w:p>
        </w:tc>
      </w:tr>
      <w:tr w:rsidR="0074046D" w:rsidTr="00AD5DAF">
        <w:trPr>
          <w:trHeight w:val="349"/>
          <w:jc w:val="center"/>
        </w:trPr>
        <w:tc>
          <w:tcPr>
            <w:tcW w:w="4491" w:type="dxa"/>
          </w:tcPr>
          <w:p w:rsidR="0074046D" w:rsidRPr="003C3499" w:rsidRDefault="0074046D" w:rsidP="00AD5DAF">
            <w:pPr>
              <w:tabs>
                <w:tab w:val="left" w:pos="-720"/>
              </w:tabs>
              <w:snapToGrid w:val="0"/>
              <w:ind w:left="310"/>
              <w:jc w:val="center"/>
              <w:rPr>
                <w:rFonts w:ascii="Bookman Old Style" w:hAnsi="Bookman Old Style" w:cs="Arial"/>
                <w:spacing w:val="-3"/>
              </w:rPr>
            </w:pPr>
            <w:r w:rsidRPr="003C3499">
              <w:rPr>
                <w:rFonts w:ascii="Bookman Old Style" w:hAnsi="Bookman Old Style" w:cs="Arial"/>
                <w:spacing w:val="-3"/>
              </w:rPr>
              <w:t>Delegad</w:t>
            </w:r>
            <w:r>
              <w:rPr>
                <w:rFonts w:ascii="Bookman Old Style" w:hAnsi="Bookman Old Style" w:cs="Arial"/>
                <w:spacing w:val="-3"/>
              </w:rPr>
              <w:t>o</w:t>
            </w:r>
            <w:r w:rsidRPr="003C3499">
              <w:rPr>
                <w:rFonts w:ascii="Bookman Old Style" w:hAnsi="Bookman Old Style" w:cs="Arial"/>
                <w:spacing w:val="-3"/>
              </w:rPr>
              <w:t xml:space="preserve"> del Ministro de Minas y Energía</w:t>
            </w:r>
          </w:p>
        </w:tc>
        <w:tc>
          <w:tcPr>
            <w:tcW w:w="4491" w:type="dxa"/>
          </w:tcPr>
          <w:p w:rsidR="0074046D" w:rsidRPr="003C3499" w:rsidRDefault="0074046D" w:rsidP="00AD5DAF">
            <w:pPr>
              <w:tabs>
                <w:tab w:val="left" w:pos="-720"/>
              </w:tabs>
              <w:snapToGrid w:val="0"/>
              <w:jc w:val="center"/>
              <w:rPr>
                <w:rFonts w:ascii="Bookman Old Style" w:hAnsi="Bookman Old Style" w:cs="Arial"/>
                <w:spacing w:val="-3"/>
              </w:rPr>
            </w:pPr>
          </w:p>
        </w:tc>
      </w:tr>
      <w:tr w:rsidR="0074046D" w:rsidTr="00AD5DAF">
        <w:trPr>
          <w:trHeight w:val="349"/>
          <w:jc w:val="center"/>
        </w:trPr>
        <w:tc>
          <w:tcPr>
            <w:tcW w:w="4491" w:type="dxa"/>
          </w:tcPr>
          <w:p w:rsidR="0074046D" w:rsidRPr="003C3499" w:rsidRDefault="0074046D" w:rsidP="00AD5DAF">
            <w:pPr>
              <w:tabs>
                <w:tab w:val="left" w:pos="-720"/>
              </w:tabs>
              <w:snapToGrid w:val="0"/>
              <w:ind w:left="310"/>
              <w:jc w:val="center"/>
              <w:rPr>
                <w:rFonts w:ascii="Bookman Old Style" w:hAnsi="Bookman Old Style" w:cs="Arial"/>
                <w:spacing w:val="-3"/>
              </w:rPr>
            </w:pPr>
            <w:r w:rsidRPr="003C3499">
              <w:rPr>
                <w:rFonts w:ascii="Bookman Old Style" w:hAnsi="Bookman Old Style" w:cs="Arial"/>
                <w:spacing w:val="-3"/>
              </w:rPr>
              <w:t>Presidente</w:t>
            </w:r>
          </w:p>
        </w:tc>
        <w:tc>
          <w:tcPr>
            <w:tcW w:w="4491" w:type="dxa"/>
          </w:tcPr>
          <w:p w:rsidR="0074046D" w:rsidRPr="003C3499" w:rsidRDefault="0074046D" w:rsidP="00AD5DAF">
            <w:pPr>
              <w:tabs>
                <w:tab w:val="left" w:pos="-720"/>
              </w:tabs>
              <w:snapToGrid w:val="0"/>
              <w:jc w:val="center"/>
              <w:rPr>
                <w:rFonts w:ascii="Bookman Old Style" w:hAnsi="Bookman Old Style" w:cs="Arial"/>
                <w:spacing w:val="-3"/>
              </w:rPr>
            </w:pPr>
          </w:p>
        </w:tc>
      </w:tr>
    </w:tbl>
    <w:p w:rsidR="0074046D" w:rsidRPr="003B187B" w:rsidRDefault="00221CFD" w:rsidP="0074046D">
      <w:pPr>
        <w:ind w:left="0"/>
        <w:rPr>
          <w:rFonts w:ascii="Bookman Old Style" w:hAnsi="Bookman Old Style"/>
        </w:rPr>
      </w:pPr>
      <w:r>
        <w:rPr>
          <w:rFonts w:ascii="Bookman Old Style" w:hAnsi="Bookman Old Style" w:cs="Arial"/>
          <w:noProof/>
          <w:lang w:val="es-CO" w:eastAsia="es-CO"/>
        </w:rPr>
        <mc:AlternateContent>
          <mc:Choice Requires="wps">
            <w:drawing>
              <wp:anchor distT="0" distB="0" distL="114300" distR="114300" simplePos="0" relativeHeight="251658240" behindDoc="0" locked="0" layoutInCell="1" allowOverlap="1">
                <wp:simplePos x="0" y="0"/>
                <wp:positionH relativeFrom="column">
                  <wp:posOffset>-327660</wp:posOffset>
                </wp:positionH>
                <wp:positionV relativeFrom="paragraph">
                  <wp:posOffset>-68580</wp:posOffset>
                </wp:positionV>
                <wp:extent cx="6534150" cy="9410700"/>
                <wp:effectExtent l="0" t="0" r="3810" b="19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941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5.8pt;margin-top:-5.4pt;width:514.5pt;height:7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" filled="f" stroked="f"/>
            </w:pict>
          </mc:Fallback>
        </mc:AlternateContent>
      </w:r>
    </w:p>
    <w:p w:rsidR="0074046D" w:rsidRPr="00012259" w:rsidRDefault="0074046D" w:rsidP="00012259">
      <w:pPr>
        <w:ind w:left="0"/>
        <w:rPr>
          <w:rFonts w:ascii="Bookman Old Style" w:hAnsi="Bookman Old Style"/>
          <w:bCs/>
          <w:lang w:val="es-CO"/>
        </w:rPr>
      </w:pPr>
    </w:p>
    <w:sectPr w:rsidR="0074046D" w:rsidRPr="00012259" w:rsidSect="005A59EF">
      <w:headerReference w:type="default" r:id="rId11"/>
      <w:headerReference w:type="first" r:id="rId12"/>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888" w:rsidRDefault="00A20888">
      <w:r>
        <w:separator/>
      </w:r>
    </w:p>
  </w:endnote>
  <w:endnote w:type="continuationSeparator" w:id="0">
    <w:p w:rsidR="00A20888" w:rsidRDefault="00A2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888" w:rsidRDefault="00A20888">
      <w:r>
        <w:separator/>
      </w:r>
    </w:p>
  </w:footnote>
  <w:footnote w:type="continuationSeparator" w:id="0">
    <w:p w:rsidR="00A20888" w:rsidRDefault="00A20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1D4" w:rsidRDefault="00CC51D4" w:rsidP="00951F79">
    <w:pPr>
      <w:pStyle w:val="Ttulo1"/>
      <w:ind w:right="6"/>
      <w:jc w:val="left"/>
      <w:rPr>
        <w:rFonts w:ascii="Bookman Old Style" w:hAnsi="Bookman Old Style" w:cs="Arial"/>
        <w:b w:val="0"/>
        <w:sz w:val="22"/>
        <w:szCs w:val="22"/>
      </w:rPr>
    </w:pPr>
  </w:p>
  <w:p w:rsidR="0087657D" w:rsidRPr="00951F79" w:rsidRDefault="00725FA4"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RESOLUCIÓN No.</w:t>
    </w:r>
    <w:r w:rsidR="00951F79">
      <w:rPr>
        <w:rFonts w:ascii="Bookman Old Style" w:hAnsi="Bookman Old Style" w:cs="Arial"/>
        <w:b w:val="0"/>
        <w:sz w:val="22"/>
        <w:szCs w:val="22"/>
      </w:rPr>
      <w:t xml:space="preserve">  ________________</w:t>
    </w:r>
    <w:r w:rsidRPr="00654384">
      <w:rPr>
        <w:rFonts w:ascii="Bookman Old Style" w:hAnsi="Bookman Old Style" w:cs="Arial"/>
        <w:b w:val="0"/>
        <w:sz w:val="22"/>
        <w:szCs w:val="22"/>
      </w:rPr>
      <w:tab/>
    </w:r>
    <w:r w:rsidR="00886EE1">
      <w:rPr>
        <w:rFonts w:ascii="Bookman Old Style" w:hAnsi="Bookman Old Style" w:cs="Arial"/>
        <w:b w:val="0"/>
        <w:sz w:val="22"/>
        <w:szCs w:val="22"/>
      </w:rPr>
      <w:t>DE</w:t>
    </w:r>
    <w:r w:rsidR="000D26F8">
      <w:rPr>
        <w:rFonts w:ascii="Bookman Old Style" w:hAnsi="Bookman Old Style" w:cs="Arial"/>
        <w:b w:val="0"/>
        <w:sz w:val="22"/>
        <w:szCs w:val="22"/>
      </w:rPr>
      <w:t xml:space="preserve"> </w:t>
    </w:r>
    <w:r w:rsidR="00951F79">
      <w:rPr>
        <w:rFonts w:ascii="Bookman Old Style" w:hAnsi="Bookman Old Style" w:cs="Arial"/>
        <w:b w:val="0"/>
        <w:sz w:val="22"/>
        <w:szCs w:val="22"/>
      </w:rPr>
      <w:t>________________</w:t>
    </w:r>
    <w:r w:rsidR="003D076C">
      <w:rPr>
        <w:rFonts w:ascii="Bookman Old Style" w:hAnsi="Bookman Old Style" w:cs="Arial"/>
        <w:b w:val="0"/>
        <w:sz w:val="22"/>
        <w:szCs w:val="22"/>
      </w:rPr>
      <w:tab/>
    </w:r>
    <w:r w:rsidRPr="00654384">
      <w:rPr>
        <w:rFonts w:ascii="Bookman Old Style" w:hAnsi="Bookman Old Style" w:cs="Arial"/>
        <w:b w:val="0"/>
        <w:sz w:val="22"/>
        <w:szCs w:val="22"/>
      </w:rPr>
      <w:t>HOJA No.</w:t>
    </w:r>
    <w:r w:rsidR="00593C4F" w:rsidRPr="00654384">
      <w:rPr>
        <w:rFonts w:ascii="Bookman Old Style" w:hAnsi="Bookman Old Style" w:cs="Arial"/>
        <w:b w:val="0"/>
        <w:sz w:val="22"/>
        <w:szCs w:val="22"/>
      </w:rPr>
      <w:t xml:space="preserve"> </w:t>
    </w:r>
    <w:r w:rsidR="00A72B05" w:rsidRPr="00654384">
      <w:rPr>
        <w:rFonts w:ascii="Bookman Old Style" w:hAnsi="Bookman Old Style" w:cs="Arial"/>
        <w:b w:val="0"/>
        <w:sz w:val="22"/>
        <w:szCs w:val="22"/>
      </w:rPr>
      <w:fldChar w:fldCharType="begin"/>
    </w:r>
    <w:r w:rsidR="00593C4F" w:rsidRPr="00654384">
      <w:rPr>
        <w:rFonts w:ascii="Bookman Old Style" w:hAnsi="Bookman Old Style" w:cs="Arial"/>
        <w:b w:val="0"/>
        <w:sz w:val="22"/>
        <w:szCs w:val="22"/>
      </w:rPr>
      <w:instrText xml:space="preserve"> PAGE   \* MERGEFORMAT </w:instrText>
    </w:r>
    <w:r w:rsidR="00A72B05" w:rsidRPr="00654384">
      <w:rPr>
        <w:rFonts w:ascii="Bookman Old Style" w:hAnsi="Bookman Old Style" w:cs="Arial"/>
        <w:b w:val="0"/>
        <w:sz w:val="22"/>
        <w:szCs w:val="22"/>
      </w:rPr>
      <w:fldChar w:fldCharType="separate"/>
    </w:r>
    <w:r w:rsidR="00221CFD">
      <w:rPr>
        <w:rFonts w:ascii="Bookman Old Style" w:hAnsi="Bookman Old Style" w:cs="Arial"/>
        <w:b w:val="0"/>
        <w:noProof/>
        <w:sz w:val="22"/>
        <w:szCs w:val="22"/>
      </w:rPr>
      <w:t>6</w:t>
    </w:r>
    <w:r w:rsidR="00A72B05"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fldSimple w:instr=" NUMPAGES  \* MERGEFORMAT ">
      <w:r w:rsidR="00221CFD" w:rsidRPr="00221CFD">
        <w:rPr>
          <w:rFonts w:ascii="Bookman Old Style" w:hAnsi="Bookman Old Style" w:cs="Arial"/>
          <w:b w:val="0"/>
          <w:noProof/>
          <w:sz w:val="22"/>
          <w:szCs w:val="22"/>
        </w:rPr>
        <w:t>6</w:t>
      </w:r>
    </w:fldSimple>
  </w:p>
  <w:p w:rsidR="006F6D95" w:rsidRDefault="00221CFD" w:rsidP="00AD01E4">
    <w:pPr>
      <w:ind w:left="142" w:right="148"/>
      <w:rPr>
        <w:rFonts w:ascii="Bookman Old Style" w:hAnsi="Bookman Old Style" w:cs="Arial"/>
      </w:rPr>
    </w:pPr>
    <w:r>
      <w:rPr>
        <w:noProof/>
        <w:lang w:val="es-CO" w:eastAsia="es-CO"/>
      </w:rPr>
      <mc:AlternateContent>
        <mc:Choice Requires="wps">
          <w:drawing>
            <wp:anchor distT="0" distB="0" distL="114300" distR="114300" simplePos="0" relativeHeight="251657216" behindDoc="0" locked="0" layoutInCell="1" allowOverlap="1">
              <wp:simplePos x="0" y="0"/>
              <wp:positionH relativeFrom="column">
                <wp:posOffset>-175260</wp:posOffset>
              </wp:positionH>
              <wp:positionV relativeFrom="paragraph">
                <wp:posOffset>139065</wp:posOffset>
              </wp:positionV>
              <wp:extent cx="6267450" cy="9900920"/>
              <wp:effectExtent l="15240" t="15240" r="1333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" filled="f" strokeweight="1.5pt"/>
          </w:pict>
        </mc:Fallback>
      </mc:AlternateContent>
    </w:r>
  </w:p>
  <w:p w:rsidR="00C435C3" w:rsidRPr="002C614D" w:rsidRDefault="00C435C3" w:rsidP="00D14C41">
    <w:pPr>
      <w:ind w:left="0"/>
      <w:jc w:val="center"/>
      <w:rPr>
        <w:rFonts w:ascii="Bookman Old Style" w:hAnsi="Bookman Old Style"/>
        <w:sz w:val="22"/>
        <w:szCs w:val="22"/>
        <w:lang w:val="es-CO"/>
      </w:rPr>
    </w:pPr>
    <w:r w:rsidRPr="002C614D">
      <w:rPr>
        <w:rFonts w:ascii="Bookman Old Style" w:hAnsi="Bookman Old Style"/>
        <w:sz w:val="22"/>
        <w:szCs w:val="22"/>
        <w:lang w:val="es-CO"/>
      </w:rPr>
      <w:t xml:space="preserve">Por </w:t>
    </w:r>
    <w:r w:rsidR="003E78B5" w:rsidRPr="002C614D">
      <w:rPr>
        <w:rFonts w:ascii="Bookman Old Style" w:hAnsi="Bookman Old Style"/>
        <w:sz w:val="22"/>
        <w:szCs w:val="22"/>
        <w:lang w:val="es-CO"/>
      </w:rPr>
      <w:t xml:space="preserve"> </w:t>
    </w:r>
    <w:r w:rsidR="002C614D" w:rsidRPr="002C614D">
      <w:rPr>
        <w:rFonts w:ascii="Bookman Old Style" w:hAnsi="Bookman Old Style"/>
        <w:sz w:val="22"/>
        <w:szCs w:val="22"/>
        <w:lang w:val="es-CO"/>
      </w:rPr>
      <w:t>la cual se modifica</w:t>
    </w:r>
    <w:r w:rsidR="00D14C41">
      <w:rPr>
        <w:rFonts w:ascii="Bookman Old Style" w:hAnsi="Bookman Old Style"/>
        <w:sz w:val="22"/>
        <w:szCs w:val="22"/>
        <w:lang w:val="es-CO"/>
      </w:rPr>
      <w:t xml:space="preserve"> el Anexo de la Resolución CREG </w:t>
    </w:r>
    <w:r w:rsidR="002C614D" w:rsidRPr="002C614D">
      <w:rPr>
        <w:rFonts w:ascii="Bookman Old Style" w:hAnsi="Bookman Old Style"/>
        <w:sz w:val="22"/>
        <w:szCs w:val="22"/>
        <w:lang w:val="es-CO"/>
      </w:rPr>
      <w:t>180 de 2010</w:t>
    </w:r>
    <w:r w:rsidR="00D14C41">
      <w:rPr>
        <w:rFonts w:ascii="Bookman Old Style" w:hAnsi="Bookman Old Style"/>
        <w:sz w:val="22"/>
        <w:szCs w:val="22"/>
        <w:lang w:val="es-CO"/>
      </w:rPr>
      <w:t>.</w:t>
    </w:r>
  </w:p>
  <w:p w:rsidR="003A31F6" w:rsidRPr="002C614D" w:rsidRDefault="003A31F6" w:rsidP="00AD01E4">
    <w:pPr>
      <w:pBdr>
        <w:bottom w:val="single" w:sz="4" w:space="1" w:color="auto"/>
      </w:pBdr>
      <w:ind w:left="142" w:right="148"/>
      <w:rPr>
        <w:b/>
        <w:lang w:val="es-C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FA4" w:rsidRDefault="00025383" w:rsidP="00025383">
    <w:pPr>
      <w:pStyle w:val="Encabezado"/>
      <w:jc w:val="both"/>
      <w:rPr>
        <w:rFonts w:ascii="Arial" w:hAnsi="Arial" w:cs="Arial"/>
        <w:spacing w:val="20"/>
        <w:sz w:val="20"/>
      </w:rPr>
    </w:pPr>
    <w:r>
      <w:rPr>
        <w:rFonts w:ascii="Arial" w:hAnsi="Arial" w:cs="Arial"/>
        <w:spacing w:val="20"/>
        <w:sz w:val="20"/>
      </w:rPr>
      <w:t xml:space="preserve">                                   </w:t>
    </w:r>
    <w:r w:rsidR="00725FA4">
      <w:rPr>
        <w:rFonts w:ascii="Arial" w:hAnsi="Arial" w:cs="Arial"/>
        <w:spacing w:val="20"/>
        <w:sz w:val="20"/>
      </w:rPr>
      <w:t>República de Colombia</w:t>
    </w:r>
  </w:p>
  <w:p w:rsidR="00725FA4" w:rsidRDefault="00725FA4">
    <w:pPr>
      <w:pStyle w:val="Encabezado"/>
      <w:jc w:val="center"/>
      <w:rPr>
        <w:rFonts w:ascii="Arial" w:hAnsi="Arial" w:cs="Arial"/>
        <w:spacing w:val="20"/>
        <w:sz w:val="20"/>
      </w:rPr>
    </w:pPr>
  </w:p>
  <w:p w:rsidR="00725FA4" w:rsidRDefault="00221CFD" w:rsidP="00CA77FB">
    <w:pPr>
      <w:pStyle w:val="Encabezado"/>
      <w:jc w:val="center"/>
    </w:pPr>
    <w:r>
      <w:rPr>
        <w:rFonts w:ascii="Arial" w:hAnsi="Arial" w:cs="Arial"/>
        <w:noProof/>
        <w:spacing w:val="20"/>
        <w:sz w:val="20"/>
        <w:lang w:eastAsia="es-CO"/>
      </w:rPr>
      <mc:AlternateContent>
        <mc:Choice Requires="wps">
          <w:drawing>
            <wp:anchor distT="0" distB="0" distL="114300" distR="114300" simplePos="0" relativeHeight="251658240" behindDoc="0" locked="0" layoutInCell="1" allowOverlap="1">
              <wp:simplePos x="0" y="0"/>
              <wp:positionH relativeFrom="column">
                <wp:posOffset>-213360</wp:posOffset>
              </wp:positionH>
              <wp:positionV relativeFrom="paragraph">
                <wp:posOffset>377190</wp:posOffset>
              </wp:positionV>
              <wp:extent cx="6343650" cy="9839325"/>
              <wp:effectExtent l="15240" t="15240" r="13335"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" filled="f"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F"/>
    <w:multiLevelType w:val="multilevel"/>
    <w:tmpl w:val="0000001F"/>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2">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8">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4"/>
  </w:num>
  <w:num w:numId="4">
    <w:abstractNumId w:val="5"/>
  </w:num>
  <w:num w:numId="5">
    <w:abstractNumId w:val="10"/>
  </w:num>
  <w:num w:numId="6">
    <w:abstractNumId w:val="3"/>
  </w:num>
  <w:num w:numId="7">
    <w:abstractNumId w:val="2"/>
  </w:num>
  <w:num w:numId="8">
    <w:abstractNumId w:val="12"/>
  </w:num>
  <w:num w:numId="9">
    <w:abstractNumId w:val="11"/>
  </w:num>
  <w:num w:numId="10">
    <w:abstractNumId w:val="8"/>
  </w:num>
  <w:num w:numId="11">
    <w:abstractNumId w:val="15"/>
  </w:num>
  <w:num w:numId="12">
    <w:abstractNumId w:val="13"/>
  </w:num>
  <w:num w:numId="13">
    <w:abstractNumId w:val="6"/>
  </w:num>
  <w:num w:numId="14">
    <w:abstractNumId w:val="1"/>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340"/>
    <w:rsid w:val="00006AE2"/>
    <w:rsid w:val="000076A1"/>
    <w:rsid w:val="00012259"/>
    <w:rsid w:val="00025383"/>
    <w:rsid w:val="00026739"/>
    <w:rsid w:val="00063657"/>
    <w:rsid w:val="00076680"/>
    <w:rsid w:val="0008073E"/>
    <w:rsid w:val="00091CDB"/>
    <w:rsid w:val="000933D5"/>
    <w:rsid w:val="000A19AC"/>
    <w:rsid w:val="000D26F8"/>
    <w:rsid w:val="000E37AE"/>
    <w:rsid w:val="00113754"/>
    <w:rsid w:val="001405C6"/>
    <w:rsid w:val="00141013"/>
    <w:rsid w:val="001711A0"/>
    <w:rsid w:val="00192CBF"/>
    <w:rsid w:val="00192FF1"/>
    <w:rsid w:val="001A5F1B"/>
    <w:rsid w:val="001A68F9"/>
    <w:rsid w:val="001B1C22"/>
    <w:rsid w:val="001B34C6"/>
    <w:rsid w:val="001D7832"/>
    <w:rsid w:val="00211D34"/>
    <w:rsid w:val="00214F04"/>
    <w:rsid w:val="00221CFD"/>
    <w:rsid w:val="00266CD6"/>
    <w:rsid w:val="00275DAB"/>
    <w:rsid w:val="002A782A"/>
    <w:rsid w:val="002B11E2"/>
    <w:rsid w:val="002B24B8"/>
    <w:rsid w:val="002C614D"/>
    <w:rsid w:val="002D3AE9"/>
    <w:rsid w:val="002D4510"/>
    <w:rsid w:val="002F0734"/>
    <w:rsid w:val="002F0984"/>
    <w:rsid w:val="002F46E7"/>
    <w:rsid w:val="003101DA"/>
    <w:rsid w:val="003146FE"/>
    <w:rsid w:val="00314757"/>
    <w:rsid w:val="003211CE"/>
    <w:rsid w:val="0035403A"/>
    <w:rsid w:val="0036394B"/>
    <w:rsid w:val="003709B5"/>
    <w:rsid w:val="003759C2"/>
    <w:rsid w:val="00397365"/>
    <w:rsid w:val="003A31F6"/>
    <w:rsid w:val="003C3447"/>
    <w:rsid w:val="003D076C"/>
    <w:rsid w:val="003E78B5"/>
    <w:rsid w:val="00415BAB"/>
    <w:rsid w:val="00415ED2"/>
    <w:rsid w:val="0042068C"/>
    <w:rsid w:val="00425FD4"/>
    <w:rsid w:val="0047122B"/>
    <w:rsid w:val="00473B7A"/>
    <w:rsid w:val="004960E9"/>
    <w:rsid w:val="004A2E88"/>
    <w:rsid w:val="004A5305"/>
    <w:rsid w:val="004D7634"/>
    <w:rsid w:val="004F38D0"/>
    <w:rsid w:val="005300D3"/>
    <w:rsid w:val="00544F82"/>
    <w:rsid w:val="00593C4F"/>
    <w:rsid w:val="005946A8"/>
    <w:rsid w:val="005A4407"/>
    <w:rsid w:val="005A59EF"/>
    <w:rsid w:val="005F6F41"/>
    <w:rsid w:val="00625DC6"/>
    <w:rsid w:val="006433A4"/>
    <w:rsid w:val="0064391D"/>
    <w:rsid w:val="00651821"/>
    <w:rsid w:val="00654384"/>
    <w:rsid w:val="006675CD"/>
    <w:rsid w:val="00684D9B"/>
    <w:rsid w:val="00697556"/>
    <w:rsid w:val="006B4C2B"/>
    <w:rsid w:val="006B6D47"/>
    <w:rsid w:val="006C5AFE"/>
    <w:rsid w:val="006F6D95"/>
    <w:rsid w:val="00706F13"/>
    <w:rsid w:val="007072E8"/>
    <w:rsid w:val="0071618D"/>
    <w:rsid w:val="00725FA4"/>
    <w:rsid w:val="00740446"/>
    <w:rsid w:val="0074046D"/>
    <w:rsid w:val="007438A9"/>
    <w:rsid w:val="0074491E"/>
    <w:rsid w:val="00775964"/>
    <w:rsid w:val="00791365"/>
    <w:rsid w:val="00795BFB"/>
    <w:rsid w:val="007B2760"/>
    <w:rsid w:val="00806C01"/>
    <w:rsid w:val="0081335F"/>
    <w:rsid w:val="008148CC"/>
    <w:rsid w:val="008211A4"/>
    <w:rsid w:val="008704F3"/>
    <w:rsid w:val="00873150"/>
    <w:rsid w:val="0087657D"/>
    <w:rsid w:val="008807D5"/>
    <w:rsid w:val="00880832"/>
    <w:rsid w:val="00886EE1"/>
    <w:rsid w:val="0088727D"/>
    <w:rsid w:val="00897C75"/>
    <w:rsid w:val="008A51ED"/>
    <w:rsid w:val="008C1130"/>
    <w:rsid w:val="008D18E6"/>
    <w:rsid w:val="008D7A9B"/>
    <w:rsid w:val="008E74D8"/>
    <w:rsid w:val="008E76AC"/>
    <w:rsid w:val="008F21F6"/>
    <w:rsid w:val="0090761C"/>
    <w:rsid w:val="0091163B"/>
    <w:rsid w:val="00951F79"/>
    <w:rsid w:val="009622A6"/>
    <w:rsid w:val="00974AB5"/>
    <w:rsid w:val="0098706D"/>
    <w:rsid w:val="009935FB"/>
    <w:rsid w:val="009E6D6D"/>
    <w:rsid w:val="009F4A54"/>
    <w:rsid w:val="009F4BEC"/>
    <w:rsid w:val="00A15C1B"/>
    <w:rsid w:val="00A20888"/>
    <w:rsid w:val="00A25FD7"/>
    <w:rsid w:val="00A43AFF"/>
    <w:rsid w:val="00A72B05"/>
    <w:rsid w:val="00A7793A"/>
    <w:rsid w:val="00A947CB"/>
    <w:rsid w:val="00AA39A7"/>
    <w:rsid w:val="00AA4CC7"/>
    <w:rsid w:val="00AA5E8E"/>
    <w:rsid w:val="00AB6CA7"/>
    <w:rsid w:val="00AD01E4"/>
    <w:rsid w:val="00AD0858"/>
    <w:rsid w:val="00AE7340"/>
    <w:rsid w:val="00AF1BBD"/>
    <w:rsid w:val="00B10207"/>
    <w:rsid w:val="00B141E7"/>
    <w:rsid w:val="00B351B4"/>
    <w:rsid w:val="00B46BCA"/>
    <w:rsid w:val="00B87806"/>
    <w:rsid w:val="00B87EC9"/>
    <w:rsid w:val="00BC2822"/>
    <w:rsid w:val="00BC38FD"/>
    <w:rsid w:val="00C034CB"/>
    <w:rsid w:val="00C051A8"/>
    <w:rsid w:val="00C054BC"/>
    <w:rsid w:val="00C17897"/>
    <w:rsid w:val="00C17D5A"/>
    <w:rsid w:val="00C409D5"/>
    <w:rsid w:val="00C435C3"/>
    <w:rsid w:val="00C50E46"/>
    <w:rsid w:val="00C6234B"/>
    <w:rsid w:val="00C63EAE"/>
    <w:rsid w:val="00C7629F"/>
    <w:rsid w:val="00C8661B"/>
    <w:rsid w:val="00CA139A"/>
    <w:rsid w:val="00CA2899"/>
    <w:rsid w:val="00CA3A3D"/>
    <w:rsid w:val="00CA77FB"/>
    <w:rsid w:val="00CB379B"/>
    <w:rsid w:val="00CB5DD0"/>
    <w:rsid w:val="00CC51D4"/>
    <w:rsid w:val="00CC65DA"/>
    <w:rsid w:val="00CF21B9"/>
    <w:rsid w:val="00CF6BF9"/>
    <w:rsid w:val="00D03800"/>
    <w:rsid w:val="00D065D3"/>
    <w:rsid w:val="00D14C41"/>
    <w:rsid w:val="00D14C94"/>
    <w:rsid w:val="00D342A6"/>
    <w:rsid w:val="00D464BF"/>
    <w:rsid w:val="00D53E26"/>
    <w:rsid w:val="00D80D78"/>
    <w:rsid w:val="00D847E1"/>
    <w:rsid w:val="00D96CBA"/>
    <w:rsid w:val="00DD4F0E"/>
    <w:rsid w:val="00DE1DC2"/>
    <w:rsid w:val="00E05E0A"/>
    <w:rsid w:val="00E534CF"/>
    <w:rsid w:val="00E75D5B"/>
    <w:rsid w:val="00E81CB4"/>
    <w:rsid w:val="00E8585B"/>
    <w:rsid w:val="00EA3F15"/>
    <w:rsid w:val="00EA7847"/>
    <w:rsid w:val="00EE2E6E"/>
    <w:rsid w:val="00F0759E"/>
    <w:rsid w:val="00F47B8C"/>
    <w:rsid w:val="00F52A1C"/>
    <w:rsid w:val="00F61A61"/>
    <w:rsid w:val="00F821A3"/>
    <w:rsid w:val="00F9314A"/>
    <w:rsid w:val="00FC58EF"/>
    <w:rsid w:val="00FD33DF"/>
    <w:rsid w:val="00FE39D7"/>
    <w:rsid w:val="00FE63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b/>
      <w:bCs/>
    </w:rPr>
  </w:style>
  <w:style w:type="paragraph" w:styleId="Textoindependiente3">
    <w:name w:val="Body Text 3"/>
    <w:basedOn w:val="Normal"/>
    <w:link w:val="Textoindependiente3Car"/>
    <w:semiHidden/>
    <w:rsid w:val="003101DA"/>
    <w:pPr>
      <w:jc w:val="center"/>
      <w:outlineLvl w:val="0"/>
    </w:pPr>
    <w:rPr>
      <w:rFonts w:ascii="Arial" w:hAnsi="Arial"/>
      <w:b/>
      <w:bCs/>
      <w:spacing w:val="-3"/>
    </w:rPr>
  </w:style>
  <w:style w:type="paragraph" w:styleId="Textodeglobo">
    <w:name w:val="Balloon Text"/>
    <w:basedOn w:val="Normal"/>
    <w:link w:val="TextodegloboCar"/>
    <w:uiPriority w:val="99"/>
    <w:semiHidden/>
    <w:unhideWhenUsed/>
    <w:rsid w:val="00725FA4"/>
    <w:rPr>
      <w:rFonts w:ascii="Tahoma" w:hAnsi="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uiPriority w:val="99"/>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styleId="Epgrafe">
    <w:name w:val="caption"/>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paragraph" w:styleId="Mapadeldocumento">
    <w:name w:val="Document Map"/>
    <w:basedOn w:val="Normal"/>
    <w:link w:val="MapadeldocumentoCar"/>
    <w:uiPriority w:val="99"/>
    <w:semiHidden/>
    <w:unhideWhenUsed/>
    <w:rsid w:val="006433A4"/>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6433A4"/>
    <w:rPr>
      <w:rFonts w:ascii="Tahoma" w:hAnsi="Tahoma" w:cs="Tahoma"/>
      <w:sz w:val="16"/>
      <w:szCs w:val="16"/>
      <w:lang w:val="es-ES" w:eastAsia="es-ES"/>
    </w:rPr>
  </w:style>
  <w:style w:type="paragraph" w:customStyle="1" w:styleId="Vietaletra">
    <w:name w:val="Viñeta letra"/>
    <w:basedOn w:val="Normal"/>
    <w:next w:val="Normal"/>
    <w:rsid w:val="00026739"/>
    <w:pPr>
      <w:numPr>
        <w:numId w:val="16"/>
      </w:numPr>
      <w:suppressAutoHyphens/>
      <w:overflowPunct w:val="0"/>
      <w:autoSpaceDE w:val="0"/>
      <w:ind w:left="0"/>
      <w:jc w:val="both"/>
      <w:textAlignment w:val="baseline"/>
    </w:pPr>
    <w:rPr>
      <w:rFonts w:ascii="Arial" w:hAnsi="Arial"/>
      <w:szCs w:val="20"/>
      <w:lang w:val="es-ES_tradnl"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b/>
      <w:bCs/>
    </w:rPr>
  </w:style>
  <w:style w:type="paragraph" w:styleId="Textoindependiente3">
    <w:name w:val="Body Text 3"/>
    <w:basedOn w:val="Normal"/>
    <w:link w:val="Textoindependiente3Car"/>
    <w:semiHidden/>
    <w:rsid w:val="003101DA"/>
    <w:pPr>
      <w:jc w:val="center"/>
      <w:outlineLvl w:val="0"/>
    </w:pPr>
    <w:rPr>
      <w:rFonts w:ascii="Arial" w:hAnsi="Arial"/>
      <w:b/>
      <w:bCs/>
      <w:spacing w:val="-3"/>
    </w:rPr>
  </w:style>
  <w:style w:type="paragraph" w:styleId="Textodeglobo">
    <w:name w:val="Balloon Text"/>
    <w:basedOn w:val="Normal"/>
    <w:link w:val="TextodegloboCar"/>
    <w:uiPriority w:val="99"/>
    <w:semiHidden/>
    <w:unhideWhenUsed/>
    <w:rsid w:val="00725FA4"/>
    <w:rPr>
      <w:rFonts w:ascii="Tahoma" w:hAnsi="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uiPriority w:val="99"/>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styleId="Epgrafe">
    <w:name w:val="caption"/>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paragraph" w:styleId="Mapadeldocumento">
    <w:name w:val="Document Map"/>
    <w:basedOn w:val="Normal"/>
    <w:link w:val="MapadeldocumentoCar"/>
    <w:uiPriority w:val="99"/>
    <w:semiHidden/>
    <w:unhideWhenUsed/>
    <w:rsid w:val="006433A4"/>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6433A4"/>
    <w:rPr>
      <w:rFonts w:ascii="Tahoma" w:hAnsi="Tahoma" w:cs="Tahoma"/>
      <w:sz w:val="16"/>
      <w:szCs w:val="16"/>
      <w:lang w:val="es-ES" w:eastAsia="es-ES"/>
    </w:rPr>
  </w:style>
  <w:style w:type="paragraph" w:customStyle="1" w:styleId="Vietaletra">
    <w:name w:val="Viñeta letra"/>
    <w:basedOn w:val="Normal"/>
    <w:next w:val="Normal"/>
    <w:rsid w:val="00026739"/>
    <w:pPr>
      <w:numPr>
        <w:numId w:val="16"/>
      </w:numPr>
      <w:suppressAutoHyphens/>
      <w:overflowPunct w:val="0"/>
      <w:autoSpaceDE w:val="0"/>
      <w:ind w:left="0"/>
      <w:jc w:val="both"/>
      <w:textAlignment w:val="baseline"/>
    </w:pPr>
    <w:rPr>
      <w:rFonts w:ascii="Arial" w:hAnsi="Arial"/>
      <w:szCs w:val="20"/>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D5EB2-0643-4A4E-9142-7438AC600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PLANTILLA1</Template>
  <TotalTime>0</TotalTime>
  <Pages>6</Pages>
  <Words>1650</Words>
  <Characters>9076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10705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LSROJAS</dc:creator>
  <cp:lastModifiedBy>Luz Stella Rojas Macias</cp:lastModifiedBy>
  <cp:revision>2</cp:revision>
  <cp:lastPrinted>2011-02-11T17:20:00Z</cp:lastPrinted>
  <dcterms:created xsi:type="dcterms:W3CDTF">2011-02-14T14:51:00Z</dcterms:created>
  <dcterms:modified xsi:type="dcterms:W3CDTF">2011-02-14T14:51:00Z</dcterms:modified>
</cp:coreProperties>
</file>