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C6" w:rsidRPr="00E060BE" w:rsidRDefault="00CC4EB2" w:rsidP="00012259">
      <w:pPr>
        <w:pStyle w:val="Encabezado"/>
        <w:tabs>
          <w:tab w:val="clear" w:pos="8504"/>
          <w:tab w:val="left" w:pos="0"/>
          <w:tab w:val="right" w:pos="9356"/>
        </w:tabs>
        <w:ind w:left="0"/>
        <w:jc w:val="both"/>
        <w:rPr>
          <w:rFonts w:ascii="Bookman Old Style" w:hAnsi="Bookman Old Style"/>
          <w:szCs w:val="24"/>
        </w:rPr>
      </w:pPr>
      <w:bookmarkStart w:id="0" w:name="_GoBack"/>
      <w:bookmarkEnd w:id="0"/>
      <w:r>
        <w:rPr>
          <w:rFonts w:ascii="Bookman Old Style" w:hAnsi="Bookman Old Style"/>
          <w:noProof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pt;margin-top:-53.35pt;width:52.5pt;height:48.75pt;z-index:251657728" fillcolor="#0c9">
            <v:imagedata r:id="rId9" o:title=""/>
          </v:shape>
          <o:OLEObject Type="Embed" ProgID="PBrush" ShapeID="_x0000_s1026" DrawAspect="Content" ObjectID="_1403077090" r:id="rId10"/>
        </w:pict>
      </w:r>
    </w:p>
    <w:p w:rsidR="00625DC6" w:rsidRPr="00E060BE" w:rsidRDefault="00625DC6" w:rsidP="00012259">
      <w:pPr>
        <w:pStyle w:val="Encabezado"/>
        <w:tabs>
          <w:tab w:val="clear" w:pos="8504"/>
          <w:tab w:val="left" w:pos="0"/>
          <w:tab w:val="right" w:pos="9356"/>
        </w:tabs>
        <w:ind w:left="0"/>
        <w:jc w:val="both"/>
        <w:rPr>
          <w:rFonts w:ascii="Bookman Old Style" w:hAnsi="Bookman Old Style"/>
          <w:szCs w:val="24"/>
        </w:rPr>
      </w:pPr>
    </w:p>
    <w:p w:rsidR="00CA77FB" w:rsidRPr="00E060BE" w:rsidRDefault="00CA77FB" w:rsidP="00012259">
      <w:pPr>
        <w:pStyle w:val="Ttulo4"/>
        <w:tabs>
          <w:tab w:val="left" w:pos="0"/>
          <w:tab w:val="right" w:pos="9356"/>
        </w:tabs>
        <w:ind w:left="0"/>
        <w:rPr>
          <w:rFonts w:ascii="Bookman Old Style" w:hAnsi="Bookman Old Style"/>
          <w:b w:val="0"/>
          <w:bCs/>
          <w:noProof/>
          <w:sz w:val="24"/>
          <w:szCs w:val="24"/>
          <w:lang w:val="es-ES"/>
        </w:rPr>
      </w:pPr>
      <w:r w:rsidRPr="00E060BE">
        <w:rPr>
          <w:rFonts w:ascii="Bookman Old Style" w:hAnsi="Bookman Old Style"/>
          <w:b w:val="0"/>
          <w:bCs/>
          <w:sz w:val="24"/>
          <w:szCs w:val="24"/>
        </w:rPr>
        <w:t>Ministerio de Minas y Energía</w:t>
      </w:r>
    </w:p>
    <w:p w:rsidR="00CA77FB" w:rsidRPr="00E060BE" w:rsidRDefault="00CA77FB" w:rsidP="00012259">
      <w:pPr>
        <w:pStyle w:val="Ttulo4"/>
        <w:tabs>
          <w:tab w:val="left" w:pos="0"/>
          <w:tab w:val="right" w:pos="9356"/>
        </w:tabs>
        <w:ind w:left="0"/>
        <w:rPr>
          <w:rFonts w:ascii="Bookman Old Style" w:hAnsi="Bookman Old Style"/>
          <w:b w:val="0"/>
          <w:bCs/>
          <w:sz w:val="24"/>
          <w:szCs w:val="24"/>
        </w:rPr>
      </w:pPr>
    </w:p>
    <w:p w:rsidR="00CA77FB" w:rsidRPr="00E060BE" w:rsidRDefault="00CA77FB" w:rsidP="00012259">
      <w:pPr>
        <w:pStyle w:val="Ttulo3"/>
        <w:tabs>
          <w:tab w:val="left" w:pos="0"/>
          <w:tab w:val="right" w:pos="9356"/>
        </w:tabs>
        <w:ind w:left="0"/>
        <w:rPr>
          <w:rFonts w:ascii="Bookman Old Style" w:hAnsi="Bookman Old Style" w:cs="Arial"/>
          <w:spacing w:val="20"/>
          <w:szCs w:val="24"/>
        </w:rPr>
      </w:pPr>
      <w:r w:rsidRPr="00E060BE">
        <w:rPr>
          <w:rFonts w:ascii="Bookman Old Style" w:hAnsi="Bookman Old Style" w:cs="Arial"/>
          <w:spacing w:val="20"/>
          <w:szCs w:val="24"/>
        </w:rPr>
        <w:t>COMISIÓN DE REGULACIÓN DE ENERGÍA Y GAS</w:t>
      </w:r>
    </w:p>
    <w:p w:rsidR="00CA77FB" w:rsidRPr="00E060BE" w:rsidRDefault="00CA77FB" w:rsidP="00012259">
      <w:pPr>
        <w:pStyle w:val="Ttulo5"/>
        <w:tabs>
          <w:tab w:val="left" w:pos="0"/>
          <w:tab w:val="right" w:pos="9356"/>
        </w:tabs>
        <w:ind w:left="0"/>
        <w:rPr>
          <w:rFonts w:ascii="Bookman Old Style" w:hAnsi="Bookman Old Style"/>
          <w:sz w:val="24"/>
          <w:szCs w:val="24"/>
        </w:rPr>
      </w:pPr>
    </w:p>
    <w:p w:rsidR="00CA77FB" w:rsidRPr="00E060BE" w:rsidRDefault="00CA77FB" w:rsidP="00012259">
      <w:pPr>
        <w:pStyle w:val="Ttulo5"/>
        <w:tabs>
          <w:tab w:val="left" w:pos="0"/>
          <w:tab w:val="right" w:pos="9356"/>
        </w:tabs>
        <w:ind w:left="0"/>
        <w:rPr>
          <w:rFonts w:ascii="Bookman Old Style" w:hAnsi="Bookman Old Style"/>
          <w:sz w:val="24"/>
          <w:szCs w:val="24"/>
        </w:rPr>
      </w:pPr>
    </w:p>
    <w:p w:rsidR="00CA77FB" w:rsidRPr="00E060BE" w:rsidRDefault="00CA77FB" w:rsidP="00012259">
      <w:pPr>
        <w:pStyle w:val="Ttulo5"/>
        <w:tabs>
          <w:tab w:val="left" w:pos="0"/>
          <w:tab w:val="right" w:pos="9356"/>
        </w:tabs>
        <w:ind w:left="0"/>
        <w:rPr>
          <w:rFonts w:ascii="Bookman Old Style" w:hAnsi="Bookman Old Style"/>
          <w:sz w:val="24"/>
          <w:szCs w:val="24"/>
        </w:rPr>
      </w:pPr>
      <w:r w:rsidRPr="00E060BE">
        <w:rPr>
          <w:rFonts w:ascii="Bookman Old Style" w:hAnsi="Bookman Old Style"/>
          <w:sz w:val="24"/>
          <w:szCs w:val="24"/>
        </w:rPr>
        <w:t xml:space="preserve">RESOLUCIÓN No. </w:t>
      </w:r>
      <w:r w:rsidR="00795BFB" w:rsidRPr="00E060BE">
        <w:rPr>
          <w:rFonts w:ascii="Bookman Old Style" w:hAnsi="Bookman Old Style"/>
          <w:sz w:val="24"/>
          <w:szCs w:val="24"/>
        </w:rPr>
        <w:t xml:space="preserve">                  </w:t>
      </w:r>
      <w:r w:rsidRPr="00E060BE">
        <w:rPr>
          <w:rFonts w:ascii="Bookman Old Style" w:hAnsi="Bookman Old Style"/>
          <w:sz w:val="24"/>
          <w:szCs w:val="24"/>
        </w:rPr>
        <w:t>DE 20</w:t>
      </w:r>
      <w:r w:rsidR="00795BFB" w:rsidRPr="00E060BE">
        <w:rPr>
          <w:rFonts w:ascii="Bookman Old Style" w:hAnsi="Bookman Old Style"/>
          <w:sz w:val="24"/>
          <w:szCs w:val="24"/>
        </w:rPr>
        <w:t>1</w:t>
      </w:r>
      <w:r w:rsidR="008E7091">
        <w:rPr>
          <w:rFonts w:ascii="Bookman Old Style" w:hAnsi="Bookman Old Style"/>
          <w:sz w:val="24"/>
          <w:szCs w:val="24"/>
        </w:rPr>
        <w:t>2</w:t>
      </w:r>
    </w:p>
    <w:p w:rsidR="00CA77FB" w:rsidRPr="00E060BE" w:rsidRDefault="00CA77FB" w:rsidP="00012259">
      <w:pPr>
        <w:tabs>
          <w:tab w:val="left" w:pos="0"/>
          <w:tab w:val="right" w:pos="9356"/>
        </w:tabs>
        <w:ind w:left="0"/>
        <w:jc w:val="center"/>
        <w:rPr>
          <w:rFonts w:ascii="Bookman Old Style" w:hAnsi="Bookman Old Style" w:cs="Arial"/>
          <w:b/>
          <w:snapToGrid w:val="0"/>
          <w:color w:val="000000"/>
          <w:lang w:val="es-ES_tradnl"/>
        </w:rPr>
      </w:pPr>
    </w:p>
    <w:p w:rsidR="00CA77FB" w:rsidRPr="00E060BE" w:rsidRDefault="00CA77FB" w:rsidP="00012259">
      <w:pPr>
        <w:pStyle w:val="Ttulo3"/>
        <w:tabs>
          <w:tab w:val="left" w:pos="0"/>
          <w:tab w:val="right" w:pos="9356"/>
        </w:tabs>
        <w:ind w:left="0"/>
        <w:rPr>
          <w:rFonts w:ascii="Bookman Old Style" w:hAnsi="Bookman Old Style"/>
          <w:b w:val="0"/>
          <w:szCs w:val="24"/>
        </w:rPr>
      </w:pPr>
      <w:r w:rsidRPr="00E060BE">
        <w:rPr>
          <w:rFonts w:ascii="Bookman Old Style" w:hAnsi="Bookman Old Style"/>
          <w:b w:val="0"/>
          <w:szCs w:val="24"/>
        </w:rPr>
        <w:t>(                                  )</w:t>
      </w:r>
    </w:p>
    <w:p w:rsidR="00CA77FB" w:rsidRDefault="00CA77FB" w:rsidP="00012259">
      <w:pPr>
        <w:tabs>
          <w:tab w:val="left" w:pos="0"/>
          <w:tab w:val="right" w:pos="9356"/>
        </w:tabs>
        <w:ind w:left="0"/>
        <w:jc w:val="center"/>
        <w:rPr>
          <w:rFonts w:ascii="Bookman Old Style" w:hAnsi="Bookman Old Style"/>
          <w:lang w:val="es-ES_tradnl"/>
        </w:rPr>
      </w:pPr>
    </w:p>
    <w:p w:rsidR="000775B2" w:rsidRDefault="000775B2" w:rsidP="00012259">
      <w:pPr>
        <w:tabs>
          <w:tab w:val="left" w:pos="0"/>
          <w:tab w:val="right" w:pos="9356"/>
        </w:tabs>
        <w:ind w:left="0"/>
        <w:jc w:val="center"/>
        <w:rPr>
          <w:rFonts w:ascii="Bookman Old Style" w:hAnsi="Bookman Old Style"/>
          <w:lang w:val="es-ES_tradnl"/>
        </w:rPr>
      </w:pPr>
    </w:p>
    <w:p w:rsidR="00A119ED" w:rsidRDefault="00A119ED" w:rsidP="00012259">
      <w:pPr>
        <w:tabs>
          <w:tab w:val="left" w:pos="0"/>
          <w:tab w:val="right" w:pos="9356"/>
        </w:tabs>
        <w:ind w:left="0"/>
        <w:jc w:val="center"/>
        <w:rPr>
          <w:rFonts w:ascii="Bookman Old Style" w:hAnsi="Bookman Old Style"/>
          <w:lang w:val="es-ES_tradnl"/>
        </w:rPr>
      </w:pPr>
    </w:p>
    <w:p w:rsidR="00A119ED" w:rsidRPr="00E060BE" w:rsidRDefault="00A119ED" w:rsidP="00012259">
      <w:pPr>
        <w:tabs>
          <w:tab w:val="left" w:pos="0"/>
          <w:tab w:val="right" w:pos="9356"/>
        </w:tabs>
        <w:ind w:left="0"/>
        <w:jc w:val="center"/>
        <w:rPr>
          <w:rFonts w:ascii="Bookman Old Style" w:hAnsi="Bookman Old Style"/>
          <w:lang w:val="es-ES_tradnl"/>
        </w:rPr>
      </w:pPr>
    </w:p>
    <w:p w:rsidR="00C034CB" w:rsidRPr="00265AFC" w:rsidRDefault="00B97512" w:rsidP="00E54828">
      <w:pPr>
        <w:ind w:left="0"/>
        <w:jc w:val="center"/>
        <w:rPr>
          <w:rFonts w:ascii="Bookman Old Style" w:hAnsi="Bookman Old Style"/>
          <w:bCs/>
          <w:lang w:val="es-CO"/>
        </w:rPr>
      </w:pPr>
      <w:r w:rsidRPr="00265AFC">
        <w:rPr>
          <w:rFonts w:ascii="Bookman Old Style" w:hAnsi="Bookman Old Style"/>
          <w:bCs/>
          <w:lang w:val="es-CO"/>
        </w:rPr>
        <w:t xml:space="preserve">Por la cual se modifican las Resoluciones </w:t>
      </w:r>
      <w:r w:rsidR="000775B2">
        <w:rPr>
          <w:rFonts w:ascii="Bookman Old Style" w:hAnsi="Bookman Old Style"/>
          <w:bCs/>
          <w:lang w:val="es-CO"/>
        </w:rPr>
        <w:t xml:space="preserve">CREG </w:t>
      </w:r>
      <w:r w:rsidR="0087141E">
        <w:rPr>
          <w:rFonts w:ascii="Bookman Old Style" w:hAnsi="Bookman Old Style"/>
          <w:bCs/>
          <w:lang w:val="es-CO"/>
        </w:rPr>
        <w:t xml:space="preserve">044 </w:t>
      </w:r>
      <w:r w:rsidR="00A119ED">
        <w:rPr>
          <w:rFonts w:ascii="Bookman Old Style" w:hAnsi="Bookman Old Style"/>
          <w:bCs/>
          <w:lang w:val="es-CO"/>
        </w:rPr>
        <w:t>y</w:t>
      </w:r>
      <w:r w:rsidR="0087141E">
        <w:rPr>
          <w:rFonts w:ascii="Bookman Old Style" w:hAnsi="Bookman Old Style"/>
          <w:bCs/>
          <w:lang w:val="es-CO"/>
        </w:rPr>
        <w:t xml:space="preserve"> 045 </w:t>
      </w:r>
      <w:r w:rsidRPr="00265AFC">
        <w:rPr>
          <w:rFonts w:ascii="Bookman Old Style" w:hAnsi="Bookman Old Style"/>
          <w:bCs/>
          <w:lang w:val="es-CO"/>
        </w:rPr>
        <w:t>de 201</w:t>
      </w:r>
      <w:r w:rsidR="0087141E">
        <w:rPr>
          <w:rFonts w:ascii="Bookman Old Style" w:hAnsi="Bookman Old Style"/>
          <w:bCs/>
          <w:lang w:val="es-CO"/>
        </w:rPr>
        <w:t>2</w:t>
      </w:r>
    </w:p>
    <w:p w:rsidR="00045D3D" w:rsidRDefault="00045D3D" w:rsidP="00045D3D">
      <w:pPr>
        <w:ind w:right="51"/>
        <w:rPr>
          <w:rFonts w:ascii="Bookman Old Style" w:hAnsi="Bookman Old Style"/>
        </w:rPr>
      </w:pPr>
    </w:p>
    <w:p w:rsidR="000775B2" w:rsidRDefault="000775B2" w:rsidP="00045D3D">
      <w:pPr>
        <w:ind w:right="51"/>
        <w:rPr>
          <w:rFonts w:ascii="Bookman Old Style" w:hAnsi="Bookman Old Style"/>
        </w:rPr>
      </w:pPr>
    </w:p>
    <w:p w:rsidR="004032FC" w:rsidRPr="00C435C3" w:rsidRDefault="004032FC" w:rsidP="00045D3D">
      <w:pPr>
        <w:ind w:right="51"/>
        <w:rPr>
          <w:rFonts w:ascii="Bookman Old Style" w:hAnsi="Bookman Old Style"/>
        </w:rPr>
      </w:pPr>
    </w:p>
    <w:p w:rsidR="00045D3D" w:rsidRPr="00C435C3" w:rsidRDefault="00045D3D" w:rsidP="00045D3D">
      <w:pPr>
        <w:ind w:right="51"/>
        <w:jc w:val="center"/>
        <w:rPr>
          <w:rFonts w:ascii="Bookman Old Style" w:hAnsi="Bookman Old Style"/>
          <w:b/>
        </w:rPr>
      </w:pPr>
      <w:r w:rsidRPr="00C435C3">
        <w:rPr>
          <w:rFonts w:ascii="Bookman Old Style" w:hAnsi="Bookman Old Style"/>
          <w:b/>
        </w:rPr>
        <w:t>LA COMISIÓN DE REGULACIÓN DE  ENERGÍA Y GAS</w:t>
      </w:r>
    </w:p>
    <w:p w:rsidR="00045D3D" w:rsidRPr="00C435C3" w:rsidRDefault="00045D3D" w:rsidP="00045D3D">
      <w:pPr>
        <w:ind w:left="0" w:right="51"/>
        <w:rPr>
          <w:rFonts w:ascii="Bookman Old Style" w:hAnsi="Bookman Old Style"/>
        </w:rPr>
      </w:pPr>
    </w:p>
    <w:p w:rsidR="00045D3D" w:rsidRPr="00C435C3" w:rsidRDefault="00045D3D" w:rsidP="00045D3D">
      <w:pPr>
        <w:ind w:left="0" w:right="51"/>
        <w:rPr>
          <w:rFonts w:ascii="Bookman Old Style" w:hAnsi="Bookman Old Style"/>
        </w:rPr>
      </w:pPr>
    </w:p>
    <w:p w:rsidR="00045D3D" w:rsidRPr="00C435C3" w:rsidRDefault="00045D3D" w:rsidP="00045D3D">
      <w:pPr>
        <w:pStyle w:val="Textoindependiente3"/>
        <w:ind w:left="0"/>
        <w:rPr>
          <w:rFonts w:ascii="Bookman Old Style" w:hAnsi="Bookman Old Style"/>
          <w:b w:val="0"/>
        </w:rPr>
      </w:pPr>
      <w:r w:rsidRPr="00C435C3">
        <w:rPr>
          <w:rFonts w:ascii="Bookman Old Style" w:hAnsi="Bookman Old Style"/>
          <w:b w:val="0"/>
        </w:rPr>
        <w:t>En ejercicio de sus atribuciones legales, en especial las conferidas por las Leyes 142 y 143 de 1994, y en desarrollo de l</w:t>
      </w:r>
      <w:r w:rsidR="00414F4D">
        <w:rPr>
          <w:rFonts w:ascii="Bookman Old Style" w:hAnsi="Bookman Old Style"/>
          <w:b w:val="0"/>
        </w:rPr>
        <w:t>os Decretos 1524 y 2253 de 1994</w:t>
      </w:r>
      <w:r w:rsidR="007067FB">
        <w:rPr>
          <w:rFonts w:ascii="Bookman Old Style" w:hAnsi="Bookman Old Style"/>
          <w:b w:val="0"/>
        </w:rPr>
        <w:t>, y</w:t>
      </w:r>
    </w:p>
    <w:p w:rsidR="00045D3D" w:rsidRDefault="00045D3D" w:rsidP="00045D3D">
      <w:pPr>
        <w:ind w:right="51"/>
        <w:rPr>
          <w:rFonts w:ascii="Bookman Old Style" w:hAnsi="Bookman Old Style"/>
        </w:rPr>
      </w:pPr>
    </w:p>
    <w:p w:rsidR="00045D3D" w:rsidRDefault="00045D3D" w:rsidP="00045D3D">
      <w:pPr>
        <w:ind w:right="51"/>
        <w:rPr>
          <w:rFonts w:ascii="Bookman Old Style" w:hAnsi="Bookman Old Style"/>
        </w:rPr>
      </w:pPr>
    </w:p>
    <w:p w:rsidR="00045D3D" w:rsidRPr="00C435C3" w:rsidRDefault="00045D3D" w:rsidP="00414F4D">
      <w:pPr>
        <w:ind w:left="0" w:right="51"/>
        <w:jc w:val="center"/>
        <w:rPr>
          <w:rFonts w:ascii="Bookman Old Style" w:hAnsi="Bookman Old Style"/>
          <w:b/>
        </w:rPr>
      </w:pPr>
      <w:r w:rsidRPr="00C435C3">
        <w:rPr>
          <w:rFonts w:ascii="Bookman Old Style" w:hAnsi="Bookman Old Style"/>
          <w:b/>
        </w:rPr>
        <w:t>C O N S I D E R A N D O</w:t>
      </w:r>
      <w:r>
        <w:rPr>
          <w:rFonts w:ascii="Bookman Old Style" w:hAnsi="Bookman Old Style"/>
          <w:b/>
        </w:rPr>
        <w:t xml:space="preserve">  Q U E</w:t>
      </w:r>
      <w:r w:rsidRPr="00C435C3">
        <w:rPr>
          <w:rFonts w:ascii="Bookman Old Style" w:hAnsi="Bookman Old Style"/>
          <w:b/>
        </w:rPr>
        <w:t>:</w:t>
      </w:r>
    </w:p>
    <w:p w:rsidR="00045D3D" w:rsidRPr="00C435C3" w:rsidRDefault="00045D3D" w:rsidP="00045D3D">
      <w:pPr>
        <w:rPr>
          <w:rFonts w:ascii="Bookman Old Style" w:hAnsi="Bookman Old Style"/>
          <w:b/>
        </w:rPr>
      </w:pPr>
    </w:p>
    <w:p w:rsidR="00045D3D" w:rsidRDefault="00045D3D" w:rsidP="00045D3D">
      <w:pPr>
        <w:ind w:left="0"/>
        <w:jc w:val="both"/>
        <w:rPr>
          <w:rFonts w:ascii="Bookman Old Style" w:hAnsi="Bookman Old Style"/>
        </w:rPr>
      </w:pPr>
    </w:p>
    <w:p w:rsidR="001424CE" w:rsidRPr="001424CE" w:rsidRDefault="00B97512" w:rsidP="001424CE">
      <w:pPr>
        <w:ind w:left="0"/>
        <w:jc w:val="both"/>
        <w:rPr>
          <w:rFonts w:ascii="Bookman Old Style" w:hAnsi="Bookman Old Style"/>
        </w:rPr>
      </w:pPr>
      <w:r w:rsidRPr="00B54879">
        <w:rPr>
          <w:rFonts w:ascii="Bookman Old Style" w:hAnsi="Bookman Old Style"/>
        </w:rPr>
        <w:t xml:space="preserve">Mediante la Resolución CREG </w:t>
      </w:r>
      <w:r w:rsidR="001424CE">
        <w:rPr>
          <w:rFonts w:ascii="Bookman Old Style" w:hAnsi="Bookman Old Style"/>
        </w:rPr>
        <w:t>044 de 2012</w:t>
      </w:r>
      <w:r w:rsidRPr="00B54879">
        <w:rPr>
          <w:rFonts w:ascii="Bookman Old Style" w:hAnsi="Bookman Old Style"/>
        </w:rPr>
        <w:t xml:space="preserve"> la Comisión</w:t>
      </w:r>
      <w:r w:rsidR="001424CE">
        <w:rPr>
          <w:rFonts w:ascii="Bookman Old Style" w:hAnsi="Bookman Old Style"/>
        </w:rPr>
        <w:t xml:space="preserve"> ordenó publicar un proyecto de resolución </w:t>
      </w:r>
      <w:r w:rsidR="001424CE" w:rsidRPr="001424CE">
        <w:rPr>
          <w:rFonts w:ascii="Bookman Old Style" w:hAnsi="Bookman Old Style"/>
          <w:lang w:eastAsia="es-CO"/>
        </w:rPr>
        <w:t>“Por la cual se establecen los criterios generales para determinar la remuneración de la actividad de comercialización de energía eléctrica a usuarios regulados en el Sistema Interconectado Nacional”</w:t>
      </w:r>
      <w:r w:rsidR="00A119ED">
        <w:rPr>
          <w:rFonts w:ascii="Bookman Old Style" w:hAnsi="Bookman Old Style"/>
          <w:lang w:eastAsia="es-CO"/>
        </w:rPr>
        <w:t>.</w:t>
      </w:r>
    </w:p>
    <w:p w:rsidR="00B97512" w:rsidRPr="00B54879" w:rsidRDefault="00B97512" w:rsidP="001424CE">
      <w:pPr>
        <w:widowControl w:val="0"/>
        <w:ind w:left="0"/>
        <w:jc w:val="both"/>
        <w:rPr>
          <w:rFonts w:ascii="Bookman Old Style" w:hAnsi="Bookman Old Style"/>
        </w:rPr>
      </w:pPr>
    </w:p>
    <w:p w:rsidR="001424CE" w:rsidRPr="000200D5" w:rsidRDefault="00B97512" w:rsidP="001424CE">
      <w:pPr>
        <w:widowControl w:val="0"/>
        <w:ind w:left="0"/>
        <w:jc w:val="both"/>
        <w:rPr>
          <w:rFonts w:ascii="Bookman Old Style" w:hAnsi="Bookman Old Style" w:cs="Arial"/>
        </w:rPr>
      </w:pPr>
      <w:r w:rsidRPr="00B54879">
        <w:rPr>
          <w:rFonts w:ascii="Bookman Old Style" w:hAnsi="Bookman Old Style"/>
        </w:rPr>
        <w:t>Así mismo</w:t>
      </w:r>
      <w:r w:rsidR="000775B2">
        <w:rPr>
          <w:rFonts w:ascii="Bookman Old Style" w:hAnsi="Bookman Old Style"/>
        </w:rPr>
        <w:t>,</w:t>
      </w:r>
      <w:r w:rsidRPr="00B54879">
        <w:rPr>
          <w:rFonts w:ascii="Bookman Old Style" w:hAnsi="Bookman Old Style"/>
        </w:rPr>
        <w:t xml:space="preserve"> la Comisión aprobó la Resolución CREG </w:t>
      </w:r>
      <w:r w:rsidR="001424CE">
        <w:rPr>
          <w:rFonts w:ascii="Bookman Old Style" w:hAnsi="Bookman Old Style"/>
        </w:rPr>
        <w:t>045 de 2012</w:t>
      </w:r>
      <w:r w:rsidRPr="00B54879">
        <w:rPr>
          <w:rFonts w:ascii="Bookman Old Style" w:hAnsi="Bookman Old Style"/>
        </w:rPr>
        <w:t xml:space="preserve"> </w:t>
      </w:r>
      <w:r w:rsidR="001424CE">
        <w:rPr>
          <w:rFonts w:ascii="Bookman Old Style" w:hAnsi="Bookman Old Style"/>
        </w:rPr>
        <w:t xml:space="preserve">que ordenó publicar un proyecto de resolución </w:t>
      </w:r>
      <w:r w:rsidR="001424CE" w:rsidRPr="000200D5">
        <w:rPr>
          <w:rFonts w:ascii="Bookman Old Style" w:hAnsi="Bookman Old Style"/>
          <w:lang w:eastAsia="es-CO"/>
        </w:rPr>
        <w:t>“Por la cual se modifica y complementa la Resolución CREG 119 de 2007”</w:t>
      </w:r>
      <w:r w:rsidR="00A119ED">
        <w:rPr>
          <w:rFonts w:ascii="Bookman Old Style" w:hAnsi="Bookman Old Style"/>
          <w:lang w:eastAsia="es-CO"/>
        </w:rPr>
        <w:t>.</w:t>
      </w:r>
    </w:p>
    <w:p w:rsidR="001424CE" w:rsidRDefault="001424CE" w:rsidP="000775B2">
      <w:pPr>
        <w:widowControl w:val="0"/>
        <w:ind w:left="0"/>
        <w:jc w:val="both"/>
        <w:rPr>
          <w:rFonts w:ascii="Bookman Old Style" w:hAnsi="Bookman Old Style"/>
          <w:i/>
        </w:rPr>
      </w:pPr>
    </w:p>
    <w:p w:rsidR="00E66DFF" w:rsidRDefault="00B97512" w:rsidP="000775B2">
      <w:pPr>
        <w:widowControl w:val="0"/>
        <w:ind w:left="0"/>
        <w:jc w:val="both"/>
        <w:rPr>
          <w:rFonts w:ascii="Bookman Old Style" w:hAnsi="Bookman Old Style"/>
        </w:rPr>
      </w:pPr>
      <w:r w:rsidRPr="00B54879">
        <w:rPr>
          <w:rFonts w:ascii="Bookman Old Style" w:hAnsi="Bookman Old Style"/>
        </w:rPr>
        <w:t xml:space="preserve">Las resoluciones antes mencionadas </w:t>
      </w:r>
      <w:r w:rsidR="00E66DFF">
        <w:rPr>
          <w:rFonts w:ascii="Bookman Old Style" w:hAnsi="Bookman Old Style"/>
        </w:rPr>
        <w:t>establecen un término de dos (2) meses siguientes a la fecha de publicación para que agentes, usuarios, autoridades, Superintendencia de Servicios Públicos Domiciliarios y demás interesados remitan sus observaciones o sugerencias a las propuestas.</w:t>
      </w:r>
    </w:p>
    <w:p w:rsidR="00E66DFF" w:rsidRDefault="00E66DFF" w:rsidP="000775B2">
      <w:pPr>
        <w:widowControl w:val="0"/>
        <w:ind w:left="0"/>
        <w:jc w:val="both"/>
        <w:rPr>
          <w:rFonts w:ascii="Bookman Old Style" w:hAnsi="Bookman Old Style"/>
        </w:rPr>
      </w:pPr>
    </w:p>
    <w:p w:rsidR="00B97512" w:rsidRDefault="00B97512" w:rsidP="000775B2">
      <w:pPr>
        <w:widowControl w:val="0"/>
        <w:ind w:left="0"/>
        <w:jc w:val="both"/>
        <w:rPr>
          <w:rFonts w:ascii="Bookman Old Style" w:hAnsi="Bookman Old Style"/>
        </w:rPr>
      </w:pPr>
      <w:r w:rsidRPr="00B54879">
        <w:rPr>
          <w:rFonts w:ascii="Bookman Old Style" w:hAnsi="Bookman Old Style"/>
        </w:rPr>
        <w:t>La Comisión ha recibido solicitud</w:t>
      </w:r>
      <w:r w:rsidR="00B42923">
        <w:rPr>
          <w:rFonts w:ascii="Bookman Old Style" w:hAnsi="Bookman Old Style"/>
        </w:rPr>
        <w:t xml:space="preserve"> del Comité Asesor de Comercialización (E-2012-004969</w:t>
      </w:r>
      <w:r w:rsidR="004032FC">
        <w:rPr>
          <w:rFonts w:ascii="Bookman Old Style" w:hAnsi="Bookman Old Style"/>
        </w:rPr>
        <w:t>)</w:t>
      </w:r>
      <w:r w:rsidR="00B42923">
        <w:rPr>
          <w:rFonts w:ascii="Bookman Old Style" w:hAnsi="Bookman Old Style"/>
        </w:rPr>
        <w:t xml:space="preserve"> y de la Asociación Colombiana de Distribuidor</w:t>
      </w:r>
      <w:r w:rsidR="007067FB">
        <w:rPr>
          <w:rFonts w:ascii="Bookman Old Style" w:hAnsi="Bookman Old Style"/>
        </w:rPr>
        <w:t>es</w:t>
      </w:r>
      <w:r w:rsidR="00B42923">
        <w:rPr>
          <w:rFonts w:ascii="Bookman Old Style" w:hAnsi="Bookman Old Style"/>
        </w:rPr>
        <w:t xml:space="preserve"> de Energía Eléctrica (E-2012-004992</w:t>
      </w:r>
      <w:r w:rsidR="000F4326">
        <w:rPr>
          <w:rFonts w:ascii="Bookman Old Style" w:hAnsi="Bookman Old Style"/>
        </w:rPr>
        <w:t>)</w:t>
      </w:r>
      <w:r w:rsidRPr="00B54879">
        <w:rPr>
          <w:rFonts w:ascii="Bookman Old Style" w:hAnsi="Bookman Old Style"/>
        </w:rPr>
        <w:t xml:space="preserve"> en el sentido de </w:t>
      </w:r>
      <w:r w:rsidR="00B42923">
        <w:rPr>
          <w:rFonts w:ascii="Bookman Old Style" w:hAnsi="Bookman Old Style"/>
        </w:rPr>
        <w:t>ampliar el plazo señalado en las Resoluc</w:t>
      </w:r>
      <w:r w:rsidR="007067FB">
        <w:rPr>
          <w:rFonts w:ascii="Bookman Old Style" w:hAnsi="Bookman Old Style"/>
        </w:rPr>
        <w:t>iones CREG 044 y 045 de 2012.</w:t>
      </w:r>
    </w:p>
    <w:p w:rsidR="007067FB" w:rsidRDefault="007067FB" w:rsidP="000775B2">
      <w:pPr>
        <w:widowControl w:val="0"/>
        <w:ind w:left="0"/>
        <w:jc w:val="both"/>
        <w:rPr>
          <w:rFonts w:ascii="Bookman Old Style" w:hAnsi="Bookman Old Style"/>
        </w:rPr>
      </w:pPr>
    </w:p>
    <w:p w:rsidR="00B42923" w:rsidRDefault="00B97512" w:rsidP="000775B2">
      <w:pPr>
        <w:widowControl w:val="0"/>
        <w:ind w:left="0"/>
        <w:jc w:val="both"/>
        <w:rPr>
          <w:rFonts w:ascii="Bookman Old Style" w:hAnsi="Bookman Old Style"/>
        </w:rPr>
      </w:pPr>
      <w:r w:rsidRPr="00B54879">
        <w:rPr>
          <w:rFonts w:ascii="Bookman Old Style" w:hAnsi="Bookman Old Style"/>
        </w:rPr>
        <w:t xml:space="preserve">La Comisión ha considerado </w:t>
      </w:r>
      <w:r w:rsidR="000775B2">
        <w:rPr>
          <w:rFonts w:ascii="Bookman Old Style" w:hAnsi="Bookman Old Style"/>
        </w:rPr>
        <w:t>conveniente</w:t>
      </w:r>
      <w:r w:rsidR="000775B2" w:rsidRPr="00B54879">
        <w:rPr>
          <w:rFonts w:ascii="Bookman Old Style" w:hAnsi="Bookman Old Style"/>
        </w:rPr>
        <w:t xml:space="preserve"> </w:t>
      </w:r>
      <w:r w:rsidRPr="00B54879">
        <w:rPr>
          <w:rFonts w:ascii="Bookman Old Style" w:hAnsi="Bookman Old Style"/>
        </w:rPr>
        <w:t>ampliar el plazo</w:t>
      </w:r>
      <w:r w:rsidR="00A058EB">
        <w:rPr>
          <w:rFonts w:ascii="Bookman Old Style" w:hAnsi="Bookman Old Style"/>
        </w:rPr>
        <w:t xml:space="preserve"> en un (1) mes</w:t>
      </w:r>
      <w:r w:rsidR="00B42923">
        <w:rPr>
          <w:rFonts w:ascii="Bookman Old Style" w:hAnsi="Bookman Old Style"/>
        </w:rPr>
        <w:t xml:space="preserve"> para observaciones o sugerencias contenido en las Resoluciones CREG 044 y 045 de 2012.</w:t>
      </w:r>
    </w:p>
    <w:p w:rsidR="007067FB" w:rsidRDefault="007067FB" w:rsidP="000775B2">
      <w:pPr>
        <w:widowControl w:val="0"/>
        <w:ind w:left="0"/>
        <w:jc w:val="both"/>
        <w:rPr>
          <w:rFonts w:ascii="Bookman Old Style" w:hAnsi="Bookman Old Style"/>
        </w:rPr>
      </w:pPr>
    </w:p>
    <w:p w:rsidR="007067FB" w:rsidRDefault="007067FB" w:rsidP="000775B2">
      <w:pPr>
        <w:widowControl w:val="0"/>
        <w:ind w:left="0"/>
        <w:jc w:val="both"/>
        <w:rPr>
          <w:rFonts w:ascii="Bookman Old Style" w:hAnsi="Bookman Old Style"/>
        </w:rPr>
      </w:pPr>
    </w:p>
    <w:p w:rsidR="00B97512" w:rsidRPr="00B54879" w:rsidRDefault="00B42923" w:rsidP="00A119ED">
      <w:pPr>
        <w:widowControl w:val="0"/>
        <w:ind w:left="0"/>
        <w:jc w:val="both"/>
        <w:rPr>
          <w:rFonts w:ascii="Bookman Old Style" w:hAnsi="Bookman Old Style" w:cs="Arial"/>
          <w:iCs/>
        </w:rPr>
      </w:pPr>
      <w:r w:rsidRPr="00C77252">
        <w:rPr>
          <w:rFonts w:ascii="Bookman Old Style" w:hAnsi="Bookman Old Style"/>
          <w:sz w:val="22"/>
        </w:rPr>
        <w:t xml:space="preserve"> </w:t>
      </w:r>
      <w:r w:rsidR="00B97512" w:rsidRPr="00B54879">
        <w:rPr>
          <w:rFonts w:ascii="Bookman Old Style" w:hAnsi="Bookman Old Style"/>
          <w:bCs/>
        </w:rPr>
        <w:t>De conformidad con lo establecido en el parágrafo del artículo 9 del Decreto 2696 de 2004 y el numeral 3 del artículo 2 de la Resolución CREG 097 de 2004, la Comisión decidió por unanimidad no someter  la presente Resolución a las disposiciones sobre publicidad de proyectos de regulación previstas en el citado Decreto, debido a la existencia de razones de conveniencia general y de oportunidad, toda vez que es necesario</w:t>
      </w:r>
      <w:r>
        <w:rPr>
          <w:rFonts w:ascii="Bookman Old Style" w:hAnsi="Bookman Old Style"/>
          <w:bCs/>
        </w:rPr>
        <w:t xml:space="preserve"> ampliar el plazo señalado en las Resoluciones CREG 044 y 045 de 2012</w:t>
      </w:r>
      <w:r w:rsidR="00B97512" w:rsidRPr="00B54879">
        <w:rPr>
          <w:rFonts w:ascii="Bookman Old Style" w:hAnsi="Bookman Old Style"/>
          <w:bCs/>
        </w:rPr>
        <w:t xml:space="preserve"> antes del </w:t>
      </w:r>
      <w:r w:rsidR="00324F3C">
        <w:rPr>
          <w:rFonts w:ascii="Bookman Old Style" w:hAnsi="Bookman Old Style"/>
          <w:bCs/>
        </w:rPr>
        <w:t xml:space="preserve">once (11) de julio de </w:t>
      </w:r>
      <w:r w:rsidR="00FF44AC">
        <w:rPr>
          <w:rFonts w:ascii="Bookman Old Style" w:hAnsi="Bookman Old Style"/>
          <w:bCs/>
        </w:rPr>
        <w:t>2012.</w:t>
      </w:r>
      <w:r w:rsidR="00B97512" w:rsidRPr="00B54879">
        <w:rPr>
          <w:rFonts w:ascii="Bookman Old Style" w:hAnsi="Bookman Old Style"/>
          <w:bCs/>
        </w:rPr>
        <w:t xml:space="preserve"> </w:t>
      </w:r>
    </w:p>
    <w:p w:rsidR="00B97512" w:rsidRPr="00C77252" w:rsidRDefault="00B97512" w:rsidP="000775B2">
      <w:pPr>
        <w:ind w:left="0"/>
        <w:jc w:val="both"/>
        <w:rPr>
          <w:rFonts w:ascii="Bookman Old Style" w:hAnsi="Bookman Old Style"/>
          <w:sz w:val="16"/>
        </w:rPr>
      </w:pPr>
    </w:p>
    <w:p w:rsidR="00B97512" w:rsidRPr="00B54879" w:rsidRDefault="00B97512" w:rsidP="000775B2">
      <w:pPr>
        <w:ind w:left="0"/>
        <w:jc w:val="both"/>
        <w:rPr>
          <w:rFonts w:ascii="Bookman Old Style" w:hAnsi="Bookman Old Style" w:cs="Arial"/>
        </w:rPr>
      </w:pPr>
      <w:r w:rsidRPr="00B54879">
        <w:rPr>
          <w:rFonts w:ascii="Bookman Old Style" w:hAnsi="Bookman Old Style" w:cs="Arial"/>
        </w:rPr>
        <w:t>Conforme al numeral 3 del artículo 4 del Decreto 2897 de 2010 no se requiere la remisión del presente acto administrativo a la Superintendencia de Industria y Comercio para los efectos establecidos en el artículo 7 de la Ley 1340 de 2009, por cuanto el acto busca ampliar plazos</w:t>
      </w:r>
      <w:r w:rsidR="00FF44AC">
        <w:rPr>
          <w:rFonts w:ascii="Bookman Old Style" w:hAnsi="Bookman Old Style" w:cs="Arial"/>
        </w:rPr>
        <w:t>.</w:t>
      </w:r>
    </w:p>
    <w:p w:rsidR="00B97512" w:rsidRPr="00C77252" w:rsidRDefault="00B97512" w:rsidP="000775B2">
      <w:pPr>
        <w:widowControl w:val="0"/>
        <w:ind w:left="0"/>
        <w:jc w:val="both"/>
        <w:rPr>
          <w:rFonts w:ascii="Bookman Old Style" w:hAnsi="Bookman Old Style"/>
          <w:sz w:val="20"/>
        </w:rPr>
      </w:pPr>
    </w:p>
    <w:p w:rsidR="00B97512" w:rsidRPr="00B54879" w:rsidRDefault="00B97512" w:rsidP="000775B2">
      <w:pPr>
        <w:widowControl w:val="0"/>
        <w:ind w:left="0"/>
        <w:jc w:val="both"/>
        <w:rPr>
          <w:rFonts w:ascii="Bookman Old Style" w:hAnsi="Bookman Old Style"/>
        </w:rPr>
      </w:pPr>
      <w:r w:rsidRPr="00B54879">
        <w:rPr>
          <w:rFonts w:ascii="Bookman Old Style" w:hAnsi="Bookman Old Style"/>
        </w:rPr>
        <w:t>La Comisión de Regulación de Energía y Gas, en su Sesión</w:t>
      </w:r>
      <w:r w:rsidR="00FF44AC">
        <w:rPr>
          <w:rFonts w:ascii="Bookman Old Style" w:hAnsi="Bookman Old Style"/>
        </w:rPr>
        <w:t xml:space="preserve"> 523</w:t>
      </w:r>
      <w:r w:rsidRPr="00B54879">
        <w:rPr>
          <w:rFonts w:ascii="Bookman Old Style" w:hAnsi="Bookman Old Style"/>
        </w:rPr>
        <w:t xml:space="preserve"> del </w:t>
      </w:r>
      <w:r w:rsidR="00EF3119">
        <w:rPr>
          <w:rFonts w:ascii="Bookman Old Style" w:hAnsi="Bookman Old Style"/>
        </w:rPr>
        <w:t>2</w:t>
      </w:r>
      <w:r w:rsidR="00FF44AC">
        <w:rPr>
          <w:rFonts w:ascii="Bookman Old Style" w:hAnsi="Bookman Old Style"/>
        </w:rPr>
        <w:t>5</w:t>
      </w:r>
      <w:r w:rsidRPr="00B54879">
        <w:rPr>
          <w:rFonts w:ascii="Bookman Old Style" w:hAnsi="Bookman Old Style"/>
        </w:rPr>
        <w:t xml:space="preserve"> de </w:t>
      </w:r>
      <w:r w:rsidR="00FF44AC">
        <w:rPr>
          <w:rFonts w:ascii="Bookman Old Style" w:hAnsi="Bookman Old Style"/>
        </w:rPr>
        <w:t xml:space="preserve">junio de </w:t>
      </w:r>
      <w:r w:rsidRPr="00B54879">
        <w:rPr>
          <w:rFonts w:ascii="Bookman Old Style" w:hAnsi="Bookman Old Style"/>
        </w:rPr>
        <w:t>20</w:t>
      </w:r>
      <w:r w:rsidR="000775B2">
        <w:rPr>
          <w:rFonts w:ascii="Bookman Old Style" w:hAnsi="Bookman Old Style"/>
        </w:rPr>
        <w:t>12</w:t>
      </w:r>
      <w:r w:rsidRPr="00B54879">
        <w:rPr>
          <w:rFonts w:ascii="Bookman Old Style" w:hAnsi="Bookman Old Style"/>
        </w:rPr>
        <w:t>, acordó expedir esta resolución.</w:t>
      </w:r>
    </w:p>
    <w:p w:rsidR="00045D3D" w:rsidRDefault="00045D3D" w:rsidP="00045D3D">
      <w:pPr>
        <w:ind w:left="0"/>
        <w:rPr>
          <w:rFonts w:ascii="Bookman Old Style" w:hAnsi="Bookman Old Style"/>
        </w:rPr>
      </w:pPr>
    </w:p>
    <w:p w:rsidR="00A119ED" w:rsidRPr="00C435C3" w:rsidRDefault="00A119ED" w:rsidP="00045D3D">
      <w:pPr>
        <w:ind w:left="0"/>
        <w:rPr>
          <w:rFonts w:ascii="Bookman Old Style" w:hAnsi="Bookman Old Style"/>
        </w:rPr>
      </w:pPr>
    </w:p>
    <w:p w:rsidR="00045D3D" w:rsidRPr="00C77252" w:rsidRDefault="00045D3D" w:rsidP="00045D3D">
      <w:pPr>
        <w:suppressAutoHyphens/>
        <w:jc w:val="center"/>
        <w:rPr>
          <w:rFonts w:ascii="Bookman Old Style" w:hAnsi="Bookman Old Style"/>
          <w:b/>
          <w:spacing w:val="-3"/>
          <w:sz w:val="12"/>
        </w:rPr>
      </w:pPr>
    </w:p>
    <w:p w:rsidR="00045D3D" w:rsidRPr="00C435C3" w:rsidRDefault="00045D3D" w:rsidP="00045D3D">
      <w:pPr>
        <w:suppressAutoHyphens/>
        <w:jc w:val="center"/>
        <w:rPr>
          <w:rFonts w:ascii="Bookman Old Style" w:hAnsi="Bookman Old Style"/>
          <w:spacing w:val="-3"/>
        </w:rPr>
      </w:pPr>
      <w:r w:rsidRPr="00C435C3">
        <w:rPr>
          <w:rFonts w:ascii="Bookman Old Style" w:hAnsi="Bookman Old Style"/>
          <w:b/>
          <w:spacing w:val="-3"/>
        </w:rPr>
        <w:t>R E S U E L V E:</w:t>
      </w:r>
    </w:p>
    <w:p w:rsidR="00045D3D" w:rsidRDefault="00045D3D" w:rsidP="00045D3D">
      <w:pPr>
        <w:jc w:val="center"/>
        <w:rPr>
          <w:rFonts w:ascii="Bookman Old Style" w:hAnsi="Bookman Old Style"/>
        </w:rPr>
      </w:pPr>
    </w:p>
    <w:p w:rsidR="00A119ED" w:rsidRDefault="00A119ED" w:rsidP="00045D3D">
      <w:pPr>
        <w:jc w:val="center"/>
        <w:rPr>
          <w:rFonts w:ascii="Bookman Old Style" w:hAnsi="Bookman Old Style"/>
        </w:rPr>
      </w:pPr>
    </w:p>
    <w:p w:rsidR="001E4CAB" w:rsidRPr="00B54879" w:rsidRDefault="00FF44AC" w:rsidP="001E4CAB">
      <w:pPr>
        <w:widowControl w:val="0"/>
        <w:numPr>
          <w:ilvl w:val="0"/>
          <w:numId w:val="7"/>
        </w:numPr>
        <w:tabs>
          <w:tab w:val="left" w:pos="1701"/>
        </w:tabs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</w:rPr>
        <w:t xml:space="preserve">Presentación de comentarios, observaciones y sugerencias. </w:t>
      </w:r>
      <w:r>
        <w:rPr>
          <w:rFonts w:ascii="Bookman Old Style" w:hAnsi="Bookman Old Style"/>
        </w:rPr>
        <w:t>El artículo 2 de las Resoluciones CREG 044 y 045 de 2012</w:t>
      </w:r>
      <w:r w:rsidR="001E4CAB" w:rsidRPr="00B54879">
        <w:rPr>
          <w:rFonts w:ascii="Bookman Old Style" w:hAnsi="Bookman Old Style"/>
        </w:rPr>
        <w:t xml:space="preserve"> quedará así:</w:t>
      </w:r>
      <w:r w:rsidR="001E4CAB" w:rsidRPr="00B54879">
        <w:rPr>
          <w:rFonts w:ascii="Bookman Old Style" w:hAnsi="Bookman Old Style"/>
          <w:i/>
        </w:rPr>
        <w:t xml:space="preserve"> </w:t>
      </w:r>
    </w:p>
    <w:p w:rsidR="001E4CAB" w:rsidRPr="001E4CAB" w:rsidRDefault="001E4CAB" w:rsidP="001E4CAB">
      <w:pPr>
        <w:widowControl w:val="0"/>
        <w:ind w:left="0"/>
        <w:jc w:val="both"/>
        <w:rPr>
          <w:rFonts w:ascii="Bookman Old Style" w:hAnsi="Bookman Old Style"/>
        </w:rPr>
      </w:pPr>
    </w:p>
    <w:p w:rsidR="001E4CAB" w:rsidRPr="00A058EB" w:rsidRDefault="009B17C6" w:rsidP="00A058EB">
      <w:pPr>
        <w:widowControl w:val="0"/>
        <w:ind w:right="851"/>
        <w:jc w:val="both"/>
        <w:rPr>
          <w:rFonts w:ascii="Bookman Old Style" w:hAnsi="Bookman Old Style"/>
          <w:i/>
        </w:rPr>
      </w:pPr>
      <w:r w:rsidRPr="009B17C6">
        <w:rPr>
          <w:rFonts w:ascii="Bookman Old Style" w:hAnsi="Bookman Old Style"/>
          <w:i/>
        </w:rPr>
        <w:t>“</w:t>
      </w:r>
      <w:r w:rsidR="00FF44AC" w:rsidRPr="00A058EB">
        <w:rPr>
          <w:rFonts w:ascii="Bookman Old Style" w:hAnsi="Bookman Old Style"/>
          <w:b/>
          <w:i/>
        </w:rPr>
        <w:t>Artículo 2.</w:t>
      </w:r>
      <w:r w:rsidR="00FF44AC" w:rsidRPr="00A058EB">
        <w:rPr>
          <w:rFonts w:ascii="Bookman Old Style" w:hAnsi="Bookman Old Style"/>
          <w:b/>
          <w:i/>
        </w:rPr>
        <w:tab/>
        <w:t>Presentación de comentarios, observaciones y sugerencias.</w:t>
      </w:r>
      <w:r w:rsidR="00FF44AC" w:rsidRPr="00A058EB">
        <w:rPr>
          <w:rFonts w:ascii="Bookman Old Style" w:hAnsi="Bookman Old Style"/>
          <w:i/>
        </w:rPr>
        <w:t xml:space="preserve"> Se invita a los agentes, a los usuarios, a las Autoridades Municipales y Departamentales competentes, a la Superintendencia de Servicios Públicos Domiciliarios y a los demás interesados, para que remitan sus observaciones o sugerencias sobre la propuesta en el término de los </w:t>
      </w:r>
      <w:r w:rsidR="00A058EB">
        <w:rPr>
          <w:rFonts w:ascii="Bookman Old Style" w:hAnsi="Bookman Old Style"/>
          <w:i/>
        </w:rPr>
        <w:t>tres (3)</w:t>
      </w:r>
      <w:r w:rsidR="00FF44AC" w:rsidRPr="00A058EB">
        <w:rPr>
          <w:rFonts w:ascii="Bookman Old Style" w:hAnsi="Bookman Old Style"/>
          <w:i/>
        </w:rPr>
        <w:t xml:space="preserve"> meses siguientes a la fecha de publicación de la presente resolución en la página web de la CREG</w:t>
      </w:r>
      <w:r>
        <w:rPr>
          <w:rFonts w:ascii="Bookman Old Style" w:hAnsi="Bookman Old Style"/>
          <w:i/>
        </w:rPr>
        <w:t>.”</w:t>
      </w:r>
    </w:p>
    <w:p w:rsidR="001E4CAB" w:rsidRPr="00EF3119" w:rsidRDefault="001E4CAB" w:rsidP="001E4CAB">
      <w:pPr>
        <w:widowControl w:val="0"/>
        <w:tabs>
          <w:tab w:val="left" w:pos="1701"/>
          <w:tab w:val="num" w:pos="2150"/>
        </w:tabs>
        <w:ind w:left="0"/>
        <w:jc w:val="both"/>
        <w:rPr>
          <w:rFonts w:ascii="Bookman Old Style" w:hAnsi="Bookman Old Style"/>
          <w:i/>
          <w:sz w:val="28"/>
        </w:rPr>
      </w:pPr>
    </w:p>
    <w:p w:rsidR="001E4CAB" w:rsidRPr="00B54879" w:rsidRDefault="001E4CAB" w:rsidP="001E4CAB">
      <w:pPr>
        <w:numPr>
          <w:ilvl w:val="0"/>
          <w:numId w:val="7"/>
        </w:numPr>
        <w:tabs>
          <w:tab w:val="left" w:pos="1701"/>
        </w:tabs>
        <w:jc w:val="both"/>
        <w:rPr>
          <w:rFonts w:ascii="Bookman Old Style" w:hAnsi="Bookman Old Style"/>
        </w:rPr>
      </w:pPr>
      <w:r w:rsidRPr="00B54879">
        <w:rPr>
          <w:rFonts w:ascii="Bookman Old Style" w:hAnsi="Bookman Old Style" w:cs="Arial"/>
          <w:b/>
          <w:bCs/>
        </w:rPr>
        <w:t xml:space="preserve">Vigencia. </w:t>
      </w:r>
      <w:r w:rsidRPr="00B54879">
        <w:rPr>
          <w:rFonts w:ascii="Bookman Old Style" w:hAnsi="Bookman Old Style" w:cs="Arial"/>
          <w:bCs/>
        </w:rPr>
        <w:t xml:space="preserve">La presente resolución rige a partir de su publicación en el </w:t>
      </w:r>
      <w:r w:rsidRPr="00EF3119">
        <w:rPr>
          <w:rFonts w:ascii="Bookman Old Style" w:hAnsi="Bookman Old Style" w:cs="Arial"/>
          <w:bCs/>
          <w:i/>
        </w:rPr>
        <w:t>Diario Oficial</w:t>
      </w:r>
      <w:r w:rsidRPr="00B54879">
        <w:rPr>
          <w:rFonts w:ascii="Bookman Old Style" w:hAnsi="Bookman Old Style" w:cs="Arial"/>
          <w:bCs/>
        </w:rPr>
        <w:t>.</w:t>
      </w:r>
    </w:p>
    <w:p w:rsidR="00045D3D" w:rsidRDefault="00045D3D" w:rsidP="00045D3D">
      <w:pPr>
        <w:ind w:left="0"/>
        <w:rPr>
          <w:rFonts w:ascii="Bookman Old Style" w:hAnsi="Bookman Old Style"/>
        </w:rPr>
      </w:pPr>
    </w:p>
    <w:p w:rsidR="00681887" w:rsidRPr="00C435C3" w:rsidRDefault="00681887" w:rsidP="00045D3D">
      <w:pPr>
        <w:ind w:left="0"/>
        <w:rPr>
          <w:rFonts w:ascii="Bookman Old Style" w:hAnsi="Bookman Old Style"/>
        </w:rPr>
      </w:pPr>
    </w:p>
    <w:p w:rsidR="00045D3D" w:rsidRPr="00C435C3" w:rsidRDefault="00045D3D" w:rsidP="00045D3D">
      <w:pPr>
        <w:jc w:val="center"/>
        <w:rPr>
          <w:rFonts w:ascii="Bookman Old Style" w:hAnsi="Bookman Old Style"/>
          <w:b/>
        </w:rPr>
      </w:pPr>
      <w:r w:rsidRPr="00C435C3">
        <w:rPr>
          <w:rFonts w:ascii="Bookman Old Style" w:hAnsi="Bookman Old Style"/>
          <w:b/>
        </w:rPr>
        <w:t>PU</w:t>
      </w:r>
      <w:r w:rsidR="00EF3119">
        <w:rPr>
          <w:rFonts w:ascii="Bookman Old Style" w:hAnsi="Bookman Old Style"/>
          <w:b/>
        </w:rPr>
        <w:t>B</w:t>
      </w:r>
      <w:r w:rsidRPr="00C435C3">
        <w:rPr>
          <w:rFonts w:ascii="Bookman Old Style" w:hAnsi="Bookman Old Style"/>
          <w:b/>
        </w:rPr>
        <w:t>LÍQUESE Y CÚMPLASE</w:t>
      </w:r>
    </w:p>
    <w:p w:rsidR="00045D3D" w:rsidRPr="00C435C3" w:rsidRDefault="00045D3D" w:rsidP="00045D3D">
      <w:pPr>
        <w:rPr>
          <w:rFonts w:ascii="Bookman Old Style" w:hAnsi="Bookman Old Style"/>
        </w:rPr>
      </w:pPr>
    </w:p>
    <w:p w:rsidR="00045D3D" w:rsidRDefault="00045D3D" w:rsidP="00045D3D">
      <w:pPr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Dada en Bogotá, D.C.</w:t>
      </w:r>
    </w:p>
    <w:p w:rsidR="000775B2" w:rsidRPr="000775B2" w:rsidRDefault="000775B2" w:rsidP="000775B2">
      <w:pPr>
        <w:rPr>
          <w:rFonts w:ascii="Bookman Old Style" w:hAnsi="Bookman Old Style" w:cs="Arial"/>
          <w:spacing w:val="-3"/>
        </w:rPr>
      </w:pPr>
    </w:p>
    <w:p w:rsidR="000775B2" w:rsidRPr="000775B2" w:rsidRDefault="000775B2" w:rsidP="000775B2">
      <w:pPr>
        <w:rPr>
          <w:rFonts w:ascii="Bookman Old Style" w:hAnsi="Bookman Old Style" w:cs="Arial"/>
          <w:spacing w:val="-3"/>
        </w:rPr>
      </w:pPr>
    </w:p>
    <w:p w:rsidR="000775B2" w:rsidRPr="000775B2" w:rsidRDefault="000775B2" w:rsidP="000775B2">
      <w:pPr>
        <w:rPr>
          <w:rFonts w:ascii="Bookman Old Style" w:hAnsi="Bookman Old Style" w:cs="Arial"/>
          <w:spacing w:val="-3"/>
        </w:rPr>
      </w:pPr>
    </w:p>
    <w:p w:rsidR="00681887" w:rsidRPr="000775B2" w:rsidRDefault="00701028" w:rsidP="000775B2">
      <w:pPr>
        <w:rPr>
          <w:rFonts w:ascii="Bookman Old Style" w:hAnsi="Bookman Old Style" w:cs="Arial"/>
          <w:spacing w:val="-3"/>
        </w:rPr>
      </w:pPr>
      <w:r>
        <w:rPr>
          <w:rFonts w:ascii="Bookman Old Style" w:hAnsi="Bookman Old Style" w:cs="Arial"/>
          <w:spacing w:val="-3"/>
        </w:rPr>
        <w:t xml:space="preserve"> </w:t>
      </w:r>
    </w:p>
    <w:p w:rsidR="000775B2" w:rsidRPr="000775B2" w:rsidRDefault="000775B2" w:rsidP="000775B2">
      <w:pPr>
        <w:rPr>
          <w:rFonts w:ascii="Bookman Old Style" w:hAnsi="Bookman Old Style" w:cs="Arial"/>
          <w:spacing w:val="-3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394"/>
      </w:tblGrid>
      <w:tr w:rsidR="000775B2" w:rsidRPr="000775B2" w:rsidTr="00CA7194">
        <w:tc>
          <w:tcPr>
            <w:tcW w:w="5104" w:type="dxa"/>
          </w:tcPr>
          <w:p w:rsidR="000775B2" w:rsidRPr="000775B2" w:rsidRDefault="000775B2" w:rsidP="00CA7194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Cs w:val="22"/>
              </w:rPr>
            </w:pPr>
            <w:r w:rsidRPr="000775B2">
              <w:rPr>
                <w:rFonts w:ascii="Bookman Old Style" w:hAnsi="Bookman Old Style" w:cs="Arial"/>
                <w:b/>
                <w:bCs/>
                <w:szCs w:val="22"/>
              </w:rPr>
              <w:t>TOMÁS GONZÁLEZ ESTRADA</w:t>
            </w:r>
          </w:p>
        </w:tc>
        <w:tc>
          <w:tcPr>
            <w:tcW w:w="4394" w:type="dxa"/>
          </w:tcPr>
          <w:p w:rsidR="000775B2" w:rsidRPr="000775B2" w:rsidRDefault="000775B2" w:rsidP="00CA7194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Cs w:val="22"/>
              </w:rPr>
            </w:pPr>
            <w:r w:rsidRPr="000775B2">
              <w:rPr>
                <w:rFonts w:ascii="Bookman Old Style" w:hAnsi="Bookman Old Style" w:cs="Arial"/>
                <w:b/>
                <w:bCs/>
                <w:szCs w:val="22"/>
              </w:rPr>
              <w:t>GERMÁN CASTRO FERREIRA</w:t>
            </w:r>
          </w:p>
        </w:tc>
      </w:tr>
      <w:tr w:rsidR="000775B2" w:rsidRPr="000775B2" w:rsidTr="00CA7194">
        <w:tc>
          <w:tcPr>
            <w:tcW w:w="5104" w:type="dxa"/>
          </w:tcPr>
          <w:p w:rsidR="000775B2" w:rsidRPr="000775B2" w:rsidRDefault="000775B2" w:rsidP="00C77252">
            <w:pPr>
              <w:snapToGrid w:val="0"/>
              <w:ind w:left="142"/>
              <w:jc w:val="center"/>
              <w:rPr>
                <w:rFonts w:ascii="Bookman Old Style" w:hAnsi="Bookman Old Style" w:cs="Arial"/>
                <w:szCs w:val="22"/>
              </w:rPr>
            </w:pPr>
            <w:r w:rsidRPr="000775B2">
              <w:rPr>
                <w:rFonts w:ascii="Bookman Old Style" w:hAnsi="Bookman Old Style" w:cs="Arial"/>
                <w:szCs w:val="22"/>
              </w:rPr>
              <w:t>Viceministro de Energía</w:t>
            </w:r>
            <w:r w:rsidRPr="000775B2">
              <w:rPr>
                <w:rFonts w:ascii="Bookman Old Style" w:hAnsi="Bookman Old Style" w:cs="Arial"/>
                <w:szCs w:val="22"/>
              </w:rPr>
              <w:br/>
              <w:t>Delegado del Ministro de Minas y Energía</w:t>
            </w:r>
          </w:p>
        </w:tc>
        <w:tc>
          <w:tcPr>
            <w:tcW w:w="4394" w:type="dxa"/>
          </w:tcPr>
          <w:p w:rsidR="000775B2" w:rsidRPr="000775B2" w:rsidRDefault="000775B2" w:rsidP="00CA7194">
            <w:pPr>
              <w:snapToGrid w:val="0"/>
              <w:jc w:val="center"/>
              <w:rPr>
                <w:rFonts w:ascii="Bookman Old Style" w:hAnsi="Bookman Old Style" w:cs="Arial"/>
                <w:szCs w:val="22"/>
              </w:rPr>
            </w:pPr>
            <w:r w:rsidRPr="000775B2">
              <w:rPr>
                <w:rFonts w:ascii="Bookman Old Style" w:hAnsi="Bookman Old Style" w:cs="Arial"/>
                <w:szCs w:val="22"/>
              </w:rPr>
              <w:t>Director Ejecutivo</w:t>
            </w:r>
          </w:p>
        </w:tc>
      </w:tr>
      <w:tr w:rsidR="000775B2" w:rsidRPr="000775B2" w:rsidTr="00CA7194">
        <w:tc>
          <w:tcPr>
            <w:tcW w:w="5104" w:type="dxa"/>
          </w:tcPr>
          <w:p w:rsidR="000775B2" w:rsidRPr="000775B2" w:rsidRDefault="000775B2" w:rsidP="00CA7194">
            <w:pPr>
              <w:snapToGrid w:val="0"/>
              <w:jc w:val="center"/>
              <w:rPr>
                <w:rFonts w:ascii="Bookman Old Style" w:hAnsi="Bookman Old Style" w:cs="Arial"/>
                <w:szCs w:val="22"/>
              </w:rPr>
            </w:pPr>
            <w:r w:rsidRPr="000775B2">
              <w:rPr>
                <w:rFonts w:ascii="Bookman Old Style" w:hAnsi="Bookman Old Style" w:cs="Arial"/>
                <w:szCs w:val="22"/>
              </w:rPr>
              <w:t>Presidente</w:t>
            </w:r>
          </w:p>
        </w:tc>
        <w:tc>
          <w:tcPr>
            <w:tcW w:w="4394" w:type="dxa"/>
          </w:tcPr>
          <w:p w:rsidR="000775B2" w:rsidRPr="000775B2" w:rsidRDefault="000775B2" w:rsidP="00CA7194">
            <w:pPr>
              <w:snapToGrid w:val="0"/>
              <w:rPr>
                <w:rFonts w:ascii="Bookman Old Style" w:hAnsi="Bookman Old Style" w:cs="Arial"/>
                <w:szCs w:val="22"/>
              </w:rPr>
            </w:pPr>
          </w:p>
        </w:tc>
      </w:tr>
    </w:tbl>
    <w:p w:rsidR="00045D3D" w:rsidRPr="00012259" w:rsidRDefault="00045D3D" w:rsidP="00045D3D">
      <w:pPr>
        <w:ind w:left="0"/>
        <w:rPr>
          <w:rFonts w:ascii="Bookman Old Style" w:hAnsi="Bookman Old Style"/>
          <w:bCs/>
          <w:lang w:val="es-CO"/>
        </w:rPr>
      </w:pPr>
    </w:p>
    <w:p w:rsidR="00E01463" w:rsidRPr="00E060BE" w:rsidRDefault="00E01463" w:rsidP="000775B2">
      <w:pPr>
        <w:jc w:val="both"/>
        <w:rPr>
          <w:rFonts w:ascii="Bookman Old Style" w:hAnsi="Bookman Old Style" w:cs="Arial"/>
          <w:b/>
          <w:color w:val="000000"/>
        </w:rPr>
      </w:pPr>
    </w:p>
    <w:sectPr w:rsidR="00E01463" w:rsidRPr="00E060BE" w:rsidSect="005A59EF">
      <w:headerReference w:type="default" r:id="rId11"/>
      <w:headerReference w:type="first" r:id="rId12"/>
      <w:type w:val="continuous"/>
      <w:pgSz w:w="12242" w:h="18722" w:code="123"/>
      <w:pgMar w:top="2341" w:right="1185" w:bottom="17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1A" w:rsidRDefault="00D2681A">
      <w:r>
        <w:separator/>
      </w:r>
    </w:p>
  </w:endnote>
  <w:endnote w:type="continuationSeparator" w:id="0">
    <w:p w:rsidR="00D2681A" w:rsidRDefault="00D2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1A" w:rsidRDefault="00D2681A">
      <w:r>
        <w:separator/>
      </w:r>
    </w:p>
  </w:footnote>
  <w:footnote w:type="continuationSeparator" w:id="0">
    <w:p w:rsidR="00D2681A" w:rsidRDefault="00D26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D4" w:rsidRDefault="00CC51D4" w:rsidP="00951F79">
    <w:pPr>
      <w:pStyle w:val="Ttulo1"/>
      <w:ind w:right="6"/>
      <w:jc w:val="left"/>
      <w:rPr>
        <w:rFonts w:ascii="Bookman Old Style" w:hAnsi="Bookman Old Style" w:cs="Arial"/>
        <w:b w:val="0"/>
        <w:sz w:val="22"/>
        <w:szCs w:val="22"/>
      </w:rPr>
    </w:pPr>
  </w:p>
  <w:p w:rsidR="0087657D" w:rsidRPr="00951F79" w:rsidRDefault="00725FA4" w:rsidP="009F4BEC">
    <w:pPr>
      <w:pStyle w:val="Ttulo1"/>
      <w:ind w:left="0" w:right="6"/>
      <w:jc w:val="left"/>
      <w:rPr>
        <w:rFonts w:ascii="Bookman Old Style" w:hAnsi="Bookman Old Style" w:cs="Arial"/>
        <w:b w:val="0"/>
        <w:sz w:val="22"/>
        <w:szCs w:val="22"/>
      </w:rPr>
    </w:pPr>
    <w:r w:rsidRPr="00654384">
      <w:rPr>
        <w:rFonts w:ascii="Bookman Old Style" w:hAnsi="Bookman Old Style" w:cs="Arial"/>
        <w:b w:val="0"/>
        <w:sz w:val="22"/>
        <w:szCs w:val="22"/>
      </w:rPr>
      <w:t>RESOLUCIÓN No.</w:t>
    </w:r>
    <w:r w:rsidR="00951F79">
      <w:rPr>
        <w:rFonts w:ascii="Bookman Old Style" w:hAnsi="Bookman Old Style" w:cs="Arial"/>
        <w:b w:val="0"/>
        <w:sz w:val="22"/>
        <w:szCs w:val="22"/>
      </w:rPr>
      <w:t xml:space="preserve">  ________________</w:t>
    </w:r>
    <w:r w:rsidRPr="00654384">
      <w:rPr>
        <w:rFonts w:ascii="Bookman Old Style" w:hAnsi="Bookman Old Style" w:cs="Arial"/>
        <w:b w:val="0"/>
        <w:sz w:val="22"/>
        <w:szCs w:val="22"/>
      </w:rPr>
      <w:tab/>
    </w:r>
    <w:r w:rsidR="00886EE1">
      <w:rPr>
        <w:rFonts w:ascii="Bookman Old Style" w:hAnsi="Bookman Old Style" w:cs="Arial"/>
        <w:b w:val="0"/>
        <w:sz w:val="22"/>
        <w:szCs w:val="22"/>
      </w:rPr>
      <w:t>DE</w:t>
    </w:r>
    <w:r w:rsidR="000D26F8">
      <w:rPr>
        <w:rFonts w:ascii="Bookman Old Style" w:hAnsi="Bookman Old Style" w:cs="Arial"/>
        <w:b w:val="0"/>
        <w:sz w:val="22"/>
        <w:szCs w:val="22"/>
      </w:rPr>
      <w:t xml:space="preserve"> </w:t>
    </w:r>
    <w:r w:rsidR="00951F79">
      <w:rPr>
        <w:rFonts w:ascii="Bookman Old Style" w:hAnsi="Bookman Old Style" w:cs="Arial"/>
        <w:b w:val="0"/>
        <w:sz w:val="22"/>
        <w:szCs w:val="22"/>
      </w:rPr>
      <w:t>________________</w:t>
    </w:r>
    <w:r w:rsidR="003D076C">
      <w:rPr>
        <w:rFonts w:ascii="Bookman Old Style" w:hAnsi="Bookman Old Style" w:cs="Arial"/>
        <w:b w:val="0"/>
        <w:sz w:val="22"/>
        <w:szCs w:val="22"/>
      </w:rPr>
      <w:tab/>
    </w:r>
    <w:r w:rsidRPr="00654384">
      <w:rPr>
        <w:rFonts w:ascii="Bookman Old Style" w:hAnsi="Bookman Old Style" w:cs="Arial"/>
        <w:b w:val="0"/>
        <w:sz w:val="22"/>
        <w:szCs w:val="22"/>
      </w:rPr>
      <w:t>HOJA No.</w:t>
    </w:r>
    <w:r w:rsidR="00593C4F" w:rsidRPr="00654384">
      <w:rPr>
        <w:rFonts w:ascii="Bookman Old Style" w:hAnsi="Bookman Old Style" w:cs="Arial"/>
        <w:b w:val="0"/>
        <w:sz w:val="22"/>
        <w:szCs w:val="22"/>
      </w:rPr>
      <w:t xml:space="preserve"> </w:t>
    </w:r>
    <w:r w:rsidR="0042068C" w:rsidRPr="00654384">
      <w:rPr>
        <w:rFonts w:ascii="Bookman Old Style" w:hAnsi="Bookman Old Style" w:cs="Arial"/>
        <w:b w:val="0"/>
        <w:sz w:val="22"/>
        <w:szCs w:val="22"/>
      </w:rPr>
      <w:fldChar w:fldCharType="begin"/>
    </w:r>
    <w:r w:rsidR="00593C4F" w:rsidRPr="00654384">
      <w:rPr>
        <w:rFonts w:ascii="Bookman Old Style" w:hAnsi="Bookman Old Style" w:cs="Arial"/>
        <w:b w:val="0"/>
        <w:sz w:val="22"/>
        <w:szCs w:val="22"/>
      </w:rPr>
      <w:instrText xml:space="preserve"> PAGE   \* MERGEFORMAT </w:instrText>
    </w:r>
    <w:r w:rsidR="0042068C" w:rsidRPr="00654384">
      <w:rPr>
        <w:rFonts w:ascii="Bookman Old Style" w:hAnsi="Bookman Old Style" w:cs="Arial"/>
        <w:b w:val="0"/>
        <w:sz w:val="22"/>
        <w:szCs w:val="22"/>
      </w:rPr>
      <w:fldChar w:fldCharType="separate"/>
    </w:r>
    <w:r w:rsidR="00CC4EB2">
      <w:rPr>
        <w:rFonts w:ascii="Bookman Old Style" w:hAnsi="Bookman Old Style" w:cs="Arial"/>
        <w:b w:val="0"/>
        <w:noProof/>
        <w:sz w:val="22"/>
        <w:szCs w:val="22"/>
      </w:rPr>
      <w:t>2</w:t>
    </w:r>
    <w:r w:rsidR="0042068C" w:rsidRPr="00654384">
      <w:rPr>
        <w:rFonts w:ascii="Bookman Old Style" w:hAnsi="Bookman Old Style" w:cs="Arial"/>
        <w:b w:val="0"/>
        <w:sz w:val="22"/>
        <w:szCs w:val="22"/>
      </w:rPr>
      <w:fldChar w:fldCharType="end"/>
    </w:r>
    <w:r w:rsidRPr="00654384">
      <w:rPr>
        <w:rFonts w:ascii="Bookman Old Style" w:hAnsi="Bookman Old Style" w:cs="Arial"/>
        <w:b w:val="0"/>
        <w:sz w:val="22"/>
        <w:szCs w:val="22"/>
      </w:rPr>
      <w:t>/</w:t>
    </w:r>
    <w:r w:rsidR="00CC4EB2">
      <w:fldChar w:fldCharType="begin"/>
    </w:r>
    <w:r w:rsidR="00CC4EB2">
      <w:instrText xml:space="preserve"> NUMPAGES  \* MERGEFORMAT </w:instrText>
    </w:r>
    <w:r w:rsidR="00CC4EB2">
      <w:fldChar w:fldCharType="separate"/>
    </w:r>
    <w:r w:rsidR="00CC4EB2" w:rsidRPr="00CC4EB2">
      <w:rPr>
        <w:rFonts w:ascii="Bookman Old Style" w:hAnsi="Bookman Old Style" w:cs="Arial"/>
        <w:b w:val="0"/>
        <w:noProof/>
        <w:sz w:val="22"/>
        <w:szCs w:val="22"/>
      </w:rPr>
      <w:t>2</w:t>
    </w:r>
    <w:r w:rsidR="00CC4EB2">
      <w:rPr>
        <w:rFonts w:ascii="Bookman Old Style" w:hAnsi="Bookman Old Style" w:cs="Arial"/>
        <w:b w:val="0"/>
        <w:noProof/>
        <w:sz w:val="22"/>
        <w:szCs w:val="22"/>
      </w:rPr>
      <w:fldChar w:fldCharType="end"/>
    </w:r>
  </w:p>
  <w:p w:rsidR="006F6D95" w:rsidRDefault="00D04BE0" w:rsidP="00AD01E4">
    <w:pPr>
      <w:ind w:left="142" w:right="148"/>
      <w:rPr>
        <w:rFonts w:ascii="Bookman Old Style" w:hAnsi="Bookman Old Style" w:cs="Arial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614468" wp14:editId="4589FE15">
              <wp:simplePos x="0" y="0"/>
              <wp:positionH relativeFrom="column">
                <wp:posOffset>-175260</wp:posOffset>
              </wp:positionH>
              <wp:positionV relativeFrom="paragraph">
                <wp:posOffset>139065</wp:posOffset>
              </wp:positionV>
              <wp:extent cx="6267450" cy="9900920"/>
              <wp:effectExtent l="15240" t="15240" r="13335" b="1841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7450" cy="990092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3.8pt;margin-top:10.95pt;width:493.5pt;height:77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" filled="f" strokeweight="1.5pt"/>
          </w:pict>
        </mc:Fallback>
      </mc:AlternateContent>
    </w:r>
  </w:p>
  <w:p w:rsidR="00045D3D" w:rsidRPr="00A119ED" w:rsidRDefault="00A119ED" w:rsidP="00DD7009">
    <w:pPr>
      <w:ind w:left="0"/>
      <w:rPr>
        <w:rFonts w:ascii="Bookman Old Style" w:hAnsi="Bookman Old Style"/>
        <w:sz w:val="22"/>
        <w:szCs w:val="22"/>
      </w:rPr>
    </w:pPr>
    <w:r w:rsidRPr="00A119ED">
      <w:rPr>
        <w:rFonts w:ascii="Bookman Old Style" w:hAnsi="Bookman Old Style"/>
        <w:bCs/>
        <w:sz w:val="22"/>
        <w:szCs w:val="22"/>
        <w:lang w:val="es-CO"/>
      </w:rPr>
      <w:t>Por la cual se modifican las Resoluciones CREG 044 y 045 de 2012</w:t>
    </w:r>
  </w:p>
  <w:p w:rsidR="0044318E" w:rsidRPr="00045D3D" w:rsidRDefault="0044318E" w:rsidP="00AD01E4">
    <w:pPr>
      <w:pBdr>
        <w:bottom w:val="single" w:sz="4" w:space="1" w:color="auto"/>
      </w:pBdr>
      <w:ind w:left="142" w:right="148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FA4" w:rsidRDefault="00025383" w:rsidP="00025383">
    <w:pPr>
      <w:pStyle w:val="Encabezado"/>
      <w:jc w:val="both"/>
      <w:rPr>
        <w:rFonts w:ascii="Arial" w:hAnsi="Arial" w:cs="Arial"/>
        <w:spacing w:val="20"/>
        <w:sz w:val="20"/>
      </w:rPr>
    </w:pPr>
    <w:r>
      <w:rPr>
        <w:rFonts w:ascii="Arial" w:hAnsi="Arial" w:cs="Arial"/>
        <w:spacing w:val="20"/>
        <w:sz w:val="20"/>
      </w:rPr>
      <w:t xml:space="preserve">                                   </w:t>
    </w:r>
    <w:r w:rsidR="00725FA4">
      <w:rPr>
        <w:rFonts w:ascii="Arial" w:hAnsi="Arial" w:cs="Arial"/>
        <w:spacing w:val="20"/>
        <w:sz w:val="20"/>
      </w:rPr>
      <w:t>República de Colombia</w:t>
    </w:r>
  </w:p>
  <w:p w:rsidR="00725FA4" w:rsidRDefault="00725FA4">
    <w:pPr>
      <w:pStyle w:val="Encabezado"/>
      <w:jc w:val="center"/>
      <w:rPr>
        <w:rFonts w:ascii="Arial" w:hAnsi="Arial" w:cs="Arial"/>
        <w:spacing w:val="20"/>
        <w:sz w:val="20"/>
      </w:rPr>
    </w:pPr>
  </w:p>
  <w:p w:rsidR="00725FA4" w:rsidRDefault="00D04BE0" w:rsidP="00CA77FB">
    <w:pPr>
      <w:pStyle w:val="Encabezado"/>
      <w:jc w:val="center"/>
    </w:pPr>
    <w:r>
      <w:rPr>
        <w:rFonts w:ascii="Arial" w:hAnsi="Arial" w:cs="Arial"/>
        <w:noProof/>
        <w:spacing w:val="20"/>
        <w:sz w:val="20"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6358D5" wp14:editId="7E53979A">
              <wp:simplePos x="0" y="0"/>
              <wp:positionH relativeFrom="column">
                <wp:posOffset>-213360</wp:posOffset>
              </wp:positionH>
              <wp:positionV relativeFrom="paragraph">
                <wp:posOffset>377190</wp:posOffset>
              </wp:positionV>
              <wp:extent cx="6343650" cy="9839325"/>
              <wp:effectExtent l="15240" t="15240" r="13335" b="133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43650" cy="983932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6.8pt;margin-top:29.7pt;width:499.5pt;height:77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" filled="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21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1">
    <w:nsid w:val="0000001F"/>
    <w:multiLevelType w:val="multilevel"/>
    <w:tmpl w:val="0000001F"/>
    <w:name w:val="WW8StyleNum"/>
    <w:lvl w:ilvl="0">
      <w:start w:val="1"/>
      <w:numFmt w:val="lowerLetter"/>
      <w:pStyle w:val="Vietaletra"/>
      <w:lvlText w:val="%1)"/>
      <w:lvlJc w:val="left"/>
      <w:pPr>
        <w:tabs>
          <w:tab w:val="num" w:pos="36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1E67325"/>
    <w:multiLevelType w:val="hybridMultilevel"/>
    <w:tmpl w:val="66568F00"/>
    <w:lvl w:ilvl="0" w:tplc="DB8C2DD0">
      <w:start w:val="1"/>
      <w:numFmt w:val="decimal"/>
      <w:lvlText w:val="Artículo %1. "/>
      <w:lvlJc w:val="left"/>
      <w:pPr>
        <w:ind w:left="578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3061BFF"/>
    <w:multiLevelType w:val="hybridMultilevel"/>
    <w:tmpl w:val="78C4842A"/>
    <w:lvl w:ilvl="0" w:tplc="CB589430">
      <w:start w:val="1"/>
      <w:numFmt w:val="decimal"/>
      <w:lvlText w:val="Artículo %1.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CE0429"/>
    <w:multiLevelType w:val="hybridMultilevel"/>
    <w:tmpl w:val="F5D2FE38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F36714"/>
    <w:multiLevelType w:val="hybridMultilevel"/>
    <w:tmpl w:val="0F70A1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5F6A33A">
      <w:start w:val="1"/>
      <w:numFmt w:val="lowerLetter"/>
      <w:lvlText w:val="%3)"/>
      <w:lvlJc w:val="left"/>
      <w:pPr>
        <w:ind w:left="2160" w:hanging="360"/>
      </w:pPr>
      <w:rPr>
        <w:rFonts w:ascii="Arial" w:eastAsia="Times New Roman" w:hAnsi="Arial" w:cs="Arial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00DC7"/>
    <w:multiLevelType w:val="hybridMultilevel"/>
    <w:tmpl w:val="51F81D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05D51"/>
    <w:multiLevelType w:val="hybridMultilevel"/>
    <w:tmpl w:val="80327F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23142"/>
    <w:multiLevelType w:val="hybridMultilevel"/>
    <w:tmpl w:val="556225CE"/>
    <w:lvl w:ilvl="0" w:tplc="240A001B">
      <w:start w:val="1"/>
      <w:numFmt w:val="lowerRoman"/>
      <w:lvlText w:val="%1."/>
      <w:lvlJc w:val="righ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38D670D"/>
    <w:multiLevelType w:val="hybridMultilevel"/>
    <w:tmpl w:val="619AD000"/>
    <w:lvl w:ilvl="0" w:tplc="2C8EB58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5278E"/>
    <w:multiLevelType w:val="hybridMultilevel"/>
    <w:tmpl w:val="EFD8B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C7569"/>
    <w:multiLevelType w:val="hybridMultilevel"/>
    <w:tmpl w:val="F7400AF2"/>
    <w:lvl w:ilvl="0" w:tplc="2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49BD2712"/>
    <w:multiLevelType w:val="hybridMultilevel"/>
    <w:tmpl w:val="5E24EA3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B0D2F"/>
    <w:multiLevelType w:val="multilevel"/>
    <w:tmpl w:val="F0CC82C2"/>
    <w:lvl w:ilvl="0">
      <w:start w:val="1"/>
      <w:numFmt w:val="decimal"/>
      <w:lvlText w:val="Artículo %1."/>
      <w:lvlJc w:val="right"/>
      <w:pPr>
        <w:tabs>
          <w:tab w:val="num" w:pos="1721"/>
        </w:tabs>
        <w:ind w:left="0" w:firstLine="1361"/>
      </w:pPr>
      <w:rPr>
        <w:rFonts w:ascii="Bookman Old Style" w:hAnsi="Bookman Old Style" w:cs="Arial" w:hint="default"/>
        <w:b/>
        <w:i w:val="0"/>
        <w:color w:val="auto"/>
        <w:sz w:val="24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5">
      <w:start w:val="1"/>
      <w:numFmt w:val="lowerRoman"/>
      <w:lvlText w:val="%6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7.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4">
    <w:nsid w:val="524B4D29"/>
    <w:multiLevelType w:val="hybridMultilevel"/>
    <w:tmpl w:val="556225CE"/>
    <w:lvl w:ilvl="0" w:tplc="240A001B">
      <w:start w:val="1"/>
      <w:numFmt w:val="lowerRoman"/>
      <w:lvlText w:val="%1."/>
      <w:lvlJc w:val="righ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B701BA2"/>
    <w:multiLevelType w:val="hybridMultilevel"/>
    <w:tmpl w:val="7BAE5532"/>
    <w:lvl w:ilvl="0" w:tplc="FDAEAC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10510"/>
    <w:multiLevelType w:val="hybridMultilevel"/>
    <w:tmpl w:val="0BE8FE34"/>
    <w:lvl w:ilvl="0" w:tplc="BA307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CD0C41"/>
    <w:multiLevelType w:val="hybridMultilevel"/>
    <w:tmpl w:val="69D48B7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D92CEC"/>
    <w:multiLevelType w:val="hybridMultilevel"/>
    <w:tmpl w:val="2C20241E"/>
    <w:lvl w:ilvl="0" w:tplc="137491D6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420DC0"/>
    <w:multiLevelType w:val="hybridMultilevel"/>
    <w:tmpl w:val="6C24184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601F8"/>
    <w:multiLevelType w:val="hybridMultilevel"/>
    <w:tmpl w:val="51F81D26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B5D0067"/>
    <w:multiLevelType w:val="hybridMultilevel"/>
    <w:tmpl w:val="60AAD7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6"/>
  </w:num>
  <w:num w:numId="5">
    <w:abstractNumId w:val="15"/>
  </w:num>
  <w:num w:numId="6">
    <w:abstractNumId w:val="4"/>
  </w:num>
  <w:num w:numId="7">
    <w:abstractNumId w:val="3"/>
  </w:num>
  <w:num w:numId="8">
    <w:abstractNumId w:val="17"/>
  </w:num>
  <w:num w:numId="9">
    <w:abstractNumId w:val="16"/>
  </w:num>
  <w:num w:numId="10">
    <w:abstractNumId w:val="12"/>
  </w:num>
  <w:num w:numId="11">
    <w:abstractNumId w:val="21"/>
  </w:num>
  <w:num w:numId="12">
    <w:abstractNumId w:val="19"/>
  </w:num>
  <w:num w:numId="13">
    <w:abstractNumId w:val="10"/>
  </w:num>
  <w:num w:numId="14">
    <w:abstractNumId w:val="2"/>
  </w:num>
  <w:num w:numId="15">
    <w:abstractNumId w:val="13"/>
  </w:num>
  <w:num w:numId="16">
    <w:abstractNumId w:val="1"/>
  </w:num>
  <w:num w:numId="17">
    <w:abstractNumId w:val="9"/>
  </w:num>
  <w:num w:numId="18">
    <w:abstractNumId w:val="0"/>
  </w:num>
  <w:num w:numId="19">
    <w:abstractNumId w:val="18"/>
  </w:num>
  <w:num w:numId="20">
    <w:abstractNumId w:val="14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40"/>
    <w:rsid w:val="00006AE2"/>
    <w:rsid w:val="000076A1"/>
    <w:rsid w:val="00012259"/>
    <w:rsid w:val="00025383"/>
    <w:rsid w:val="00045D3D"/>
    <w:rsid w:val="00063657"/>
    <w:rsid w:val="00076680"/>
    <w:rsid w:val="00076A1D"/>
    <w:rsid w:val="000775B2"/>
    <w:rsid w:val="0008073E"/>
    <w:rsid w:val="00091CDB"/>
    <w:rsid w:val="000A19AC"/>
    <w:rsid w:val="000B2EC9"/>
    <w:rsid w:val="000D26F8"/>
    <w:rsid w:val="000F4326"/>
    <w:rsid w:val="0013526C"/>
    <w:rsid w:val="001405C6"/>
    <w:rsid w:val="00141013"/>
    <w:rsid w:val="00141465"/>
    <w:rsid w:val="001424CE"/>
    <w:rsid w:val="001517C2"/>
    <w:rsid w:val="00192CBF"/>
    <w:rsid w:val="00192FF1"/>
    <w:rsid w:val="001A5F1B"/>
    <w:rsid w:val="001B1C22"/>
    <w:rsid w:val="001B34C6"/>
    <w:rsid w:val="001D7832"/>
    <w:rsid w:val="001E4CAB"/>
    <w:rsid w:val="00210DC1"/>
    <w:rsid w:val="00211D34"/>
    <w:rsid w:val="0021445A"/>
    <w:rsid w:val="00214F04"/>
    <w:rsid w:val="0022489F"/>
    <w:rsid w:val="00237D77"/>
    <w:rsid w:val="00265AFC"/>
    <w:rsid w:val="00266CD6"/>
    <w:rsid w:val="00275DAB"/>
    <w:rsid w:val="002A782A"/>
    <w:rsid w:val="002B11E2"/>
    <w:rsid w:val="002B1728"/>
    <w:rsid w:val="002B24B8"/>
    <w:rsid w:val="002D3AE9"/>
    <w:rsid w:val="002D4510"/>
    <w:rsid w:val="002F0734"/>
    <w:rsid w:val="002F46E7"/>
    <w:rsid w:val="003101DA"/>
    <w:rsid w:val="00314757"/>
    <w:rsid w:val="003163BC"/>
    <w:rsid w:val="003211CE"/>
    <w:rsid w:val="00324F3C"/>
    <w:rsid w:val="0035403A"/>
    <w:rsid w:val="00357253"/>
    <w:rsid w:val="0036394B"/>
    <w:rsid w:val="00366DB6"/>
    <w:rsid w:val="003709B5"/>
    <w:rsid w:val="003759C2"/>
    <w:rsid w:val="00397365"/>
    <w:rsid w:val="003A31F6"/>
    <w:rsid w:val="003A634D"/>
    <w:rsid w:val="003C3447"/>
    <w:rsid w:val="003D076C"/>
    <w:rsid w:val="003E78B5"/>
    <w:rsid w:val="004032FC"/>
    <w:rsid w:val="00414018"/>
    <w:rsid w:val="0041473D"/>
    <w:rsid w:val="00414F4D"/>
    <w:rsid w:val="00415BAB"/>
    <w:rsid w:val="00415ED2"/>
    <w:rsid w:val="0042068C"/>
    <w:rsid w:val="0044318E"/>
    <w:rsid w:val="00443B35"/>
    <w:rsid w:val="0047122B"/>
    <w:rsid w:val="00473B7A"/>
    <w:rsid w:val="004960E9"/>
    <w:rsid w:val="004A2E88"/>
    <w:rsid w:val="004A5305"/>
    <w:rsid w:val="004D7634"/>
    <w:rsid w:val="004E611A"/>
    <w:rsid w:val="005300D3"/>
    <w:rsid w:val="00544F82"/>
    <w:rsid w:val="005509D2"/>
    <w:rsid w:val="00593C4F"/>
    <w:rsid w:val="005946A8"/>
    <w:rsid w:val="005A4407"/>
    <w:rsid w:val="005A59EF"/>
    <w:rsid w:val="005B1C7E"/>
    <w:rsid w:val="005C6976"/>
    <w:rsid w:val="005F6F41"/>
    <w:rsid w:val="00611EBA"/>
    <w:rsid w:val="0061598C"/>
    <w:rsid w:val="00625DC6"/>
    <w:rsid w:val="0064391D"/>
    <w:rsid w:val="00651821"/>
    <w:rsid w:val="00654384"/>
    <w:rsid w:val="006675CD"/>
    <w:rsid w:val="0067011F"/>
    <w:rsid w:val="00681887"/>
    <w:rsid w:val="00684D9B"/>
    <w:rsid w:val="0068510A"/>
    <w:rsid w:val="00697556"/>
    <w:rsid w:val="006A779A"/>
    <w:rsid w:val="006B4647"/>
    <w:rsid w:val="006B4C2B"/>
    <w:rsid w:val="006B6194"/>
    <w:rsid w:val="006B6D47"/>
    <w:rsid w:val="006C5AFE"/>
    <w:rsid w:val="006F6D95"/>
    <w:rsid w:val="00701028"/>
    <w:rsid w:val="007067FB"/>
    <w:rsid w:val="00706F13"/>
    <w:rsid w:val="007072E8"/>
    <w:rsid w:val="00715AD9"/>
    <w:rsid w:val="0071618D"/>
    <w:rsid w:val="00725FA4"/>
    <w:rsid w:val="00740446"/>
    <w:rsid w:val="007438A9"/>
    <w:rsid w:val="0074491E"/>
    <w:rsid w:val="00745C4D"/>
    <w:rsid w:val="0076247A"/>
    <w:rsid w:val="007667ED"/>
    <w:rsid w:val="00775964"/>
    <w:rsid w:val="007765FE"/>
    <w:rsid w:val="00780985"/>
    <w:rsid w:val="00794E2E"/>
    <w:rsid w:val="00795BFB"/>
    <w:rsid w:val="007B107B"/>
    <w:rsid w:val="007B2760"/>
    <w:rsid w:val="007E5F56"/>
    <w:rsid w:val="00806C01"/>
    <w:rsid w:val="008148CC"/>
    <w:rsid w:val="008211A4"/>
    <w:rsid w:val="0087141E"/>
    <w:rsid w:val="00873150"/>
    <w:rsid w:val="00873F56"/>
    <w:rsid w:val="0087657D"/>
    <w:rsid w:val="008807D5"/>
    <w:rsid w:val="00880832"/>
    <w:rsid w:val="00886EE1"/>
    <w:rsid w:val="0088727D"/>
    <w:rsid w:val="00897C75"/>
    <w:rsid w:val="008C1130"/>
    <w:rsid w:val="008D18E6"/>
    <w:rsid w:val="008D7A9B"/>
    <w:rsid w:val="008E0060"/>
    <w:rsid w:val="008E7091"/>
    <w:rsid w:val="008E76AC"/>
    <w:rsid w:val="008F1564"/>
    <w:rsid w:val="008F21F6"/>
    <w:rsid w:val="00951F79"/>
    <w:rsid w:val="00974AB5"/>
    <w:rsid w:val="0098706D"/>
    <w:rsid w:val="009935FB"/>
    <w:rsid w:val="009B17C6"/>
    <w:rsid w:val="009C3BEE"/>
    <w:rsid w:val="009F4A54"/>
    <w:rsid w:val="009F4BEC"/>
    <w:rsid w:val="009F5874"/>
    <w:rsid w:val="00A058EB"/>
    <w:rsid w:val="00A119ED"/>
    <w:rsid w:val="00A25FD7"/>
    <w:rsid w:val="00A36E28"/>
    <w:rsid w:val="00A43AFF"/>
    <w:rsid w:val="00A73D01"/>
    <w:rsid w:val="00A7793A"/>
    <w:rsid w:val="00A9798E"/>
    <w:rsid w:val="00AA4CC7"/>
    <w:rsid w:val="00AA5E8E"/>
    <w:rsid w:val="00AB118B"/>
    <w:rsid w:val="00AB6CA7"/>
    <w:rsid w:val="00AC0457"/>
    <w:rsid w:val="00AD01E4"/>
    <w:rsid w:val="00AD0858"/>
    <w:rsid w:val="00AD6D67"/>
    <w:rsid w:val="00AE592F"/>
    <w:rsid w:val="00AE7340"/>
    <w:rsid w:val="00AF1BBD"/>
    <w:rsid w:val="00B10207"/>
    <w:rsid w:val="00B141E7"/>
    <w:rsid w:val="00B351B4"/>
    <w:rsid w:val="00B42923"/>
    <w:rsid w:val="00B46BCA"/>
    <w:rsid w:val="00B478AA"/>
    <w:rsid w:val="00B70245"/>
    <w:rsid w:val="00B87806"/>
    <w:rsid w:val="00B87EC9"/>
    <w:rsid w:val="00B97512"/>
    <w:rsid w:val="00BC38FD"/>
    <w:rsid w:val="00C034CB"/>
    <w:rsid w:val="00C051A8"/>
    <w:rsid w:val="00C054BC"/>
    <w:rsid w:val="00C17897"/>
    <w:rsid w:val="00C409D5"/>
    <w:rsid w:val="00C435C3"/>
    <w:rsid w:val="00C6234B"/>
    <w:rsid w:val="00C63EAE"/>
    <w:rsid w:val="00C73260"/>
    <w:rsid w:val="00C7629F"/>
    <w:rsid w:val="00C77252"/>
    <w:rsid w:val="00C8661B"/>
    <w:rsid w:val="00CA139A"/>
    <w:rsid w:val="00CA2899"/>
    <w:rsid w:val="00CA3A3D"/>
    <w:rsid w:val="00CA77FB"/>
    <w:rsid w:val="00CB379B"/>
    <w:rsid w:val="00CB5DD0"/>
    <w:rsid w:val="00CC4EB2"/>
    <w:rsid w:val="00CC51D4"/>
    <w:rsid w:val="00CC65DA"/>
    <w:rsid w:val="00CF21B9"/>
    <w:rsid w:val="00CF6BF9"/>
    <w:rsid w:val="00D03800"/>
    <w:rsid w:val="00D04BE0"/>
    <w:rsid w:val="00D065D3"/>
    <w:rsid w:val="00D14C94"/>
    <w:rsid w:val="00D2681A"/>
    <w:rsid w:val="00D342A6"/>
    <w:rsid w:val="00D45CA6"/>
    <w:rsid w:val="00D464BF"/>
    <w:rsid w:val="00D53E26"/>
    <w:rsid w:val="00DA35C8"/>
    <w:rsid w:val="00DD0217"/>
    <w:rsid w:val="00DD4F0E"/>
    <w:rsid w:val="00DD7009"/>
    <w:rsid w:val="00DF0BF0"/>
    <w:rsid w:val="00DF3CA2"/>
    <w:rsid w:val="00E01463"/>
    <w:rsid w:val="00E05E0A"/>
    <w:rsid w:val="00E060BE"/>
    <w:rsid w:val="00E534CF"/>
    <w:rsid w:val="00E54828"/>
    <w:rsid w:val="00E65519"/>
    <w:rsid w:val="00E66DFF"/>
    <w:rsid w:val="00E81CB4"/>
    <w:rsid w:val="00E8585B"/>
    <w:rsid w:val="00EA3F15"/>
    <w:rsid w:val="00EA7847"/>
    <w:rsid w:val="00EB4C2F"/>
    <w:rsid w:val="00EC1492"/>
    <w:rsid w:val="00ED3B73"/>
    <w:rsid w:val="00EE2E6E"/>
    <w:rsid w:val="00EF3119"/>
    <w:rsid w:val="00F0759E"/>
    <w:rsid w:val="00F16A43"/>
    <w:rsid w:val="00F46780"/>
    <w:rsid w:val="00F821A3"/>
    <w:rsid w:val="00F9314A"/>
    <w:rsid w:val="00F940B2"/>
    <w:rsid w:val="00FC58EF"/>
    <w:rsid w:val="00FD33DF"/>
    <w:rsid w:val="00FE39D7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DA"/>
    <w:pPr>
      <w:ind w:left="567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101DA"/>
    <w:pPr>
      <w:keepNext/>
      <w:jc w:val="center"/>
      <w:outlineLvl w:val="0"/>
    </w:pPr>
    <w:rPr>
      <w:rFonts w:ascii="CG Times" w:hAnsi="CG Times"/>
      <w:b/>
      <w:szCs w:val="20"/>
      <w:lang w:val="es-CO"/>
    </w:rPr>
  </w:style>
  <w:style w:type="paragraph" w:styleId="Ttulo3">
    <w:name w:val="heading 3"/>
    <w:basedOn w:val="Normal"/>
    <w:next w:val="Normal"/>
    <w:link w:val="Ttulo3Car"/>
    <w:qFormat/>
    <w:rsid w:val="003101DA"/>
    <w:pPr>
      <w:keepNext/>
      <w:jc w:val="center"/>
      <w:outlineLvl w:val="2"/>
    </w:pPr>
    <w:rPr>
      <w:rFonts w:ascii="CG Times" w:hAnsi="CG Times"/>
      <w:b/>
      <w:snapToGrid w:val="0"/>
      <w:color w:val="00000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101DA"/>
    <w:pPr>
      <w:keepNext/>
      <w:jc w:val="center"/>
      <w:outlineLvl w:val="3"/>
    </w:pPr>
    <w:rPr>
      <w:rFonts w:ascii="Arial" w:hAnsi="Arial" w:cs="Arial"/>
      <w:b/>
      <w:snapToGrid w:val="0"/>
      <w:color w:val="000000"/>
      <w:spacing w:val="20"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101DA"/>
    <w:pPr>
      <w:keepNext/>
      <w:jc w:val="center"/>
      <w:outlineLvl w:val="4"/>
    </w:pPr>
    <w:rPr>
      <w:rFonts w:ascii="Arial" w:hAnsi="Arial" w:cs="Arial"/>
      <w:b/>
      <w:snapToGrid w:val="0"/>
      <w:color w:val="000000"/>
      <w:spacing w:val="2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unhideWhenUsed/>
    <w:qFormat/>
    <w:rsid w:val="00795B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4647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01DA"/>
    <w:pPr>
      <w:tabs>
        <w:tab w:val="center" w:pos="4252"/>
        <w:tab w:val="right" w:pos="8504"/>
      </w:tabs>
    </w:pPr>
    <w:rPr>
      <w:rFonts w:ascii="CG Times" w:hAnsi="CG Times"/>
      <w:szCs w:val="20"/>
      <w:lang w:val="es-CO"/>
    </w:rPr>
  </w:style>
  <w:style w:type="paragraph" w:styleId="Piedepgina">
    <w:name w:val="footer"/>
    <w:basedOn w:val="Normal"/>
    <w:semiHidden/>
    <w:rsid w:val="003101DA"/>
    <w:pPr>
      <w:tabs>
        <w:tab w:val="center" w:pos="4252"/>
        <w:tab w:val="right" w:pos="8504"/>
      </w:tabs>
    </w:pPr>
  </w:style>
  <w:style w:type="paragraph" w:customStyle="1" w:styleId="Estilo1">
    <w:name w:val="Estilo1"/>
    <w:basedOn w:val="Normal"/>
    <w:rsid w:val="003101DA"/>
    <w:pPr>
      <w:shd w:val="clear" w:color="auto" w:fill="C0C0C0"/>
      <w:jc w:val="center"/>
    </w:pPr>
    <w:rPr>
      <w:rFonts w:ascii="Comic Sans MS" w:hAnsi="Comic Sans MS"/>
      <w:color w:val="0000FF"/>
      <w:sz w:val="36"/>
      <w:szCs w:val="20"/>
      <w:lang w:val="es-CO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Nmerodepgina">
    <w:name w:val="page number"/>
    <w:basedOn w:val="Fuentedeprrafopredeter"/>
    <w:semiHidden/>
    <w:rsid w:val="003101DA"/>
  </w:style>
  <w:style w:type="paragraph" w:styleId="Textoindependiente">
    <w:name w:val="Body Text"/>
    <w:basedOn w:val="Normal"/>
    <w:link w:val="TextoindependienteCar"/>
    <w:semiHidden/>
    <w:rsid w:val="003101DA"/>
    <w:pPr>
      <w:jc w:val="center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link w:val="Textoindependiente3Car"/>
    <w:semiHidden/>
    <w:rsid w:val="003101DA"/>
    <w:pPr>
      <w:jc w:val="center"/>
      <w:outlineLvl w:val="0"/>
    </w:pPr>
    <w:rPr>
      <w:rFonts w:ascii="Arial" w:hAnsi="Arial" w:cs="Arial"/>
      <w:b/>
      <w:bCs/>
      <w:spacing w:val="-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F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25FA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593C4F"/>
    <w:rPr>
      <w:rFonts w:ascii="CG Times" w:hAnsi="CG Times"/>
      <w:sz w:val="24"/>
      <w:lang w:val="es-CO"/>
    </w:rPr>
  </w:style>
  <w:style w:type="character" w:customStyle="1" w:styleId="Ttulo3Car">
    <w:name w:val="Título 3 Car"/>
    <w:link w:val="Ttulo3"/>
    <w:rsid w:val="00141013"/>
    <w:rPr>
      <w:rFonts w:ascii="CG Times" w:hAnsi="CG Times"/>
      <w:b/>
      <w:snapToGrid w:val="0"/>
      <w:color w:val="000000"/>
      <w:sz w:val="24"/>
      <w:lang w:val="es-ES_tradnl"/>
    </w:rPr>
  </w:style>
  <w:style w:type="character" w:customStyle="1" w:styleId="Ttulo4Car">
    <w:name w:val="Título 4 Car"/>
    <w:link w:val="Ttulo4"/>
    <w:rsid w:val="00141013"/>
    <w:rPr>
      <w:rFonts w:ascii="Arial" w:hAnsi="Arial" w:cs="Arial"/>
      <w:b/>
      <w:snapToGrid w:val="0"/>
      <w:color w:val="000000"/>
      <w:spacing w:val="20"/>
      <w:lang w:val="es-ES_tradnl"/>
    </w:rPr>
  </w:style>
  <w:style w:type="character" w:customStyle="1" w:styleId="Ttulo5Car">
    <w:name w:val="Título 5 Car"/>
    <w:link w:val="Ttulo5"/>
    <w:rsid w:val="00141013"/>
    <w:rPr>
      <w:rFonts w:ascii="Arial" w:hAnsi="Arial" w:cs="Arial"/>
      <w:b/>
      <w:snapToGrid w:val="0"/>
      <w:color w:val="000000"/>
      <w:spacing w:val="20"/>
      <w:sz w:val="28"/>
      <w:lang w:val="es-ES_tradnl"/>
    </w:rPr>
  </w:style>
  <w:style w:type="character" w:customStyle="1" w:styleId="TextoindependienteCar">
    <w:name w:val="Texto independiente Car"/>
    <w:link w:val="Textoindependiente"/>
    <w:semiHidden/>
    <w:rsid w:val="00141013"/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semiHidden/>
    <w:rsid w:val="00141013"/>
    <w:rPr>
      <w:rFonts w:ascii="Arial" w:hAnsi="Arial" w:cs="Arial"/>
      <w:b/>
      <w:bCs/>
      <w:spacing w:val="-3"/>
      <w:sz w:val="24"/>
      <w:szCs w:val="24"/>
    </w:rPr>
  </w:style>
  <w:style w:type="table" w:styleId="Tablaconcuadrcula">
    <w:name w:val="Table Grid"/>
    <w:basedOn w:val="Tablanormal"/>
    <w:uiPriority w:val="59"/>
    <w:rsid w:val="001410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link w:val="Ttulo6"/>
    <w:rsid w:val="00795BFB"/>
    <w:rPr>
      <w:rFonts w:ascii="Calibri" w:eastAsia="Times New Roman" w:hAnsi="Calibri" w:cs="Times New Roman"/>
      <w:b/>
      <w:bCs/>
      <w:sz w:val="22"/>
      <w:szCs w:val="22"/>
    </w:rPr>
  </w:style>
  <w:style w:type="paragraph" w:styleId="Ttulo">
    <w:name w:val="Title"/>
    <w:basedOn w:val="Normal"/>
    <w:link w:val="TtuloCar"/>
    <w:qFormat/>
    <w:rsid w:val="00795BFB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 w:cs="Arial"/>
      <w:b/>
      <w:bCs/>
    </w:rPr>
  </w:style>
  <w:style w:type="character" w:customStyle="1" w:styleId="TtuloCar">
    <w:name w:val="Título Car"/>
    <w:link w:val="Ttulo"/>
    <w:rsid w:val="00795BFB"/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1405C6"/>
    <w:pPr>
      <w:ind w:left="708"/>
    </w:pPr>
    <w:rPr>
      <w:sz w:val="20"/>
      <w:szCs w:val="20"/>
      <w:lang w:val="es-CO"/>
    </w:rPr>
  </w:style>
  <w:style w:type="character" w:customStyle="1" w:styleId="PrrafodelistaCar">
    <w:name w:val="Párrafo de lista Car"/>
    <w:link w:val="Prrafodelista"/>
    <w:uiPriority w:val="34"/>
    <w:rsid w:val="001405C6"/>
    <w:rPr>
      <w:lang w:val="es-CO"/>
    </w:rPr>
  </w:style>
  <w:style w:type="paragraph" w:styleId="TDC1">
    <w:name w:val="toc 1"/>
    <w:basedOn w:val="Normal"/>
    <w:next w:val="Normal"/>
    <w:autoRedefine/>
    <w:semiHidden/>
    <w:rsid w:val="00D03800"/>
    <w:pPr>
      <w:tabs>
        <w:tab w:val="left" w:pos="480"/>
        <w:tab w:val="right" w:leader="dot" w:pos="8828"/>
      </w:tabs>
      <w:spacing w:before="120"/>
      <w:jc w:val="both"/>
    </w:pPr>
    <w:rPr>
      <w:rFonts w:ascii="Arial" w:hAnsi="Arial"/>
      <w:noProof/>
    </w:rPr>
  </w:style>
  <w:style w:type="paragraph" w:styleId="Textodebloque">
    <w:name w:val="Block Text"/>
    <w:basedOn w:val="Normal"/>
    <w:rsid w:val="00D03800"/>
    <w:pPr>
      <w:suppressAutoHyphens/>
      <w:spacing w:after="240"/>
      <w:ind w:right="788"/>
      <w:jc w:val="both"/>
    </w:pPr>
    <w:rPr>
      <w:rFonts w:ascii="Arial" w:hAnsi="Arial"/>
      <w:spacing w:val="-3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6AE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06AE2"/>
    <w:rPr>
      <w:sz w:val="24"/>
      <w:szCs w:val="24"/>
    </w:rPr>
  </w:style>
  <w:style w:type="paragraph" w:styleId="Epgrafe">
    <w:name w:val="caption"/>
    <w:basedOn w:val="Normal"/>
    <w:next w:val="Normal"/>
    <w:uiPriority w:val="35"/>
    <w:qFormat/>
    <w:rsid w:val="003A31F6"/>
    <w:pPr>
      <w:widowControl w:val="0"/>
      <w:adjustRightInd w:val="0"/>
      <w:spacing w:before="120" w:after="120" w:line="360" w:lineRule="atLeast"/>
      <w:ind w:left="0"/>
      <w:jc w:val="center"/>
      <w:textAlignment w:val="baseline"/>
    </w:pPr>
    <w:rPr>
      <w:rFonts w:ascii="Arial" w:hAnsi="Arial"/>
      <w:sz w:val="20"/>
      <w:szCs w:val="20"/>
    </w:rPr>
  </w:style>
  <w:style w:type="paragraph" w:styleId="Sinespaciado">
    <w:name w:val="No Spacing"/>
    <w:uiPriority w:val="1"/>
    <w:qFormat/>
    <w:rsid w:val="003A31F6"/>
    <w:rPr>
      <w:rFonts w:ascii="Calibri" w:hAnsi="Calibri" w:cs="Calibri"/>
      <w:sz w:val="22"/>
      <w:szCs w:val="22"/>
      <w:lang w:val="es-ES" w:eastAsia="en-US"/>
    </w:rPr>
  </w:style>
  <w:style w:type="character" w:customStyle="1" w:styleId="apple-style-span">
    <w:name w:val="apple-style-span"/>
    <w:rsid w:val="003A31F6"/>
    <w:rPr>
      <w:rFonts w:ascii="Times New Roman" w:hAnsi="Times New Roman" w:cs="Times New Roman"/>
    </w:rPr>
  </w:style>
  <w:style w:type="paragraph" w:styleId="Subttulo">
    <w:name w:val="Subtitle"/>
    <w:basedOn w:val="Normal"/>
    <w:link w:val="SubttuloCar"/>
    <w:qFormat/>
    <w:rsid w:val="003A31F6"/>
    <w:pPr>
      <w:ind w:left="0"/>
    </w:pPr>
    <w:rPr>
      <w:rFonts w:ascii="Century Gothic" w:hAnsi="Century Gothic"/>
      <w:b/>
      <w:bCs/>
    </w:rPr>
  </w:style>
  <w:style w:type="character" w:customStyle="1" w:styleId="SubttuloCar">
    <w:name w:val="Subtítulo Car"/>
    <w:link w:val="Subttulo"/>
    <w:rsid w:val="003A31F6"/>
    <w:rPr>
      <w:rFonts w:ascii="Century Gothic" w:hAnsi="Century Gothic"/>
      <w:b/>
      <w:bCs/>
      <w:sz w:val="24"/>
      <w:szCs w:val="24"/>
    </w:rPr>
  </w:style>
  <w:style w:type="character" w:customStyle="1" w:styleId="apple-converted-space">
    <w:name w:val="apple-converted-space"/>
    <w:basedOn w:val="Fuentedeprrafopredeter"/>
    <w:rsid w:val="003A31F6"/>
  </w:style>
  <w:style w:type="paragraph" w:customStyle="1" w:styleId="BodyText21">
    <w:name w:val="Body Text 21"/>
    <w:basedOn w:val="Normal"/>
    <w:uiPriority w:val="99"/>
    <w:rsid w:val="00C034CB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djustRightInd w:val="0"/>
      <w:spacing w:before="120" w:after="120" w:line="240" w:lineRule="exact"/>
      <w:ind w:left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tulo7Car">
    <w:name w:val="Título 7 Car"/>
    <w:link w:val="Ttulo7"/>
    <w:uiPriority w:val="9"/>
    <w:semiHidden/>
    <w:rsid w:val="006B4647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0146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E01463"/>
    <w:rPr>
      <w:sz w:val="24"/>
      <w:szCs w:val="24"/>
      <w:lang w:val="es-ES" w:eastAsia="es-ES"/>
    </w:rPr>
  </w:style>
  <w:style w:type="paragraph" w:customStyle="1" w:styleId="Vietaletra">
    <w:name w:val="Viñeta letra"/>
    <w:basedOn w:val="Normal"/>
    <w:next w:val="Normal"/>
    <w:rsid w:val="00E01463"/>
    <w:pPr>
      <w:numPr>
        <w:numId w:val="16"/>
      </w:numPr>
      <w:suppressAutoHyphens/>
      <w:overflowPunct w:val="0"/>
      <w:autoSpaceDE w:val="0"/>
      <w:ind w:left="0"/>
      <w:jc w:val="both"/>
      <w:textAlignment w:val="baseline"/>
    </w:pPr>
    <w:rPr>
      <w:rFonts w:ascii="Arial" w:hAnsi="Arial"/>
      <w:szCs w:val="20"/>
      <w:lang w:val="es-ES_tradnl" w:eastAsia="ar-SA"/>
    </w:rPr>
  </w:style>
  <w:style w:type="paragraph" w:customStyle="1" w:styleId="TableHeading">
    <w:name w:val="Table Heading"/>
    <w:basedOn w:val="Normal"/>
    <w:rsid w:val="00E01463"/>
    <w:pPr>
      <w:suppressLineNumbers/>
      <w:suppressAutoHyphens/>
      <w:ind w:left="0"/>
      <w:jc w:val="center"/>
    </w:pPr>
    <w:rPr>
      <w:rFonts w:ascii="Arial" w:hAnsi="Arial"/>
      <w:b/>
      <w:bCs/>
      <w:sz w:val="22"/>
      <w:lang w:eastAsia="ar-SA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060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E060BE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E4C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E4C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E4CAB"/>
    <w:rPr>
      <w:lang w:val="es-ES" w:eastAsia="es-ES"/>
    </w:rPr>
  </w:style>
  <w:style w:type="paragraph" w:styleId="Revisin">
    <w:name w:val="Revision"/>
    <w:hidden/>
    <w:uiPriority w:val="99"/>
    <w:semiHidden/>
    <w:rsid w:val="000775B2"/>
    <w:rPr>
      <w:sz w:val="24"/>
      <w:szCs w:val="24"/>
      <w:lang w:val="es-ES" w:eastAsia="es-ES"/>
    </w:rPr>
  </w:style>
  <w:style w:type="paragraph" w:customStyle="1" w:styleId="Estilo2">
    <w:name w:val="Estilo2"/>
    <w:basedOn w:val="Estilo1"/>
    <w:link w:val="Estilo2Car"/>
    <w:rsid w:val="00E66DFF"/>
    <w:pPr>
      <w:keepNext/>
      <w:widowControl w:val="0"/>
      <w:shd w:val="clear" w:color="auto" w:fill="auto"/>
      <w:tabs>
        <w:tab w:val="num" w:pos="1440"/>
      </w:tabs>
      <w:adjustRightInd w:val="0"/>
      <w:ind w:left="0"/>
      <w:jc w:val="both"/>
      <w:textAlignment w:val="baseline"/>
      <w:outlineLvl w:val="0"/>
    </w:pPr>
    <w:rPr>
      <w:rFonts w:ascii="Bookman Old Style" w:hAnsi="Bookman Old Style"/>
      <w:b/>
      <w:bCs/>
      <w:color w:val="auto"/>
      <w:sz w:val="24"/>
      <w:szCs w:val="24"/>
      <w:lang w:val="es-ES" w:eastAsia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Estilo2Car">
    <w:name w:val="Estilo2 Car"/>
    <w:link w:val="Estilo2"/>
    <w:rsid w:val="00E66DFF"/>
    <w:rPr>
      <w:rFonts w:ascii="Bookman Old Style" w:hAnsi="Bookman Old Style"/>
      <w:b/>
      <w:bCs/>
      <w:sz w:val="24"/>
      <w:szCs w:val="24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DA"/>
    <w:pPr>
      <w:ind w:left="567"/>
    </w:pPr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101DA"/>
    <w:pPr>
      <w:keepNext/>
      <w:jc w:val="center"/>
      <w:outlineLvl w:val="0"/>
    </w:pPr>
    <w:rPr>
      <w:rFonts w:ascii="CG Times" w:hAnsi="CG Times"/>
      <w:b/>
      <w:szCs w:val="20"/>
      <w:lang w:val="es-CO"/>
    </w:rPr>
  </w:style>
  <w:style w:type="paragraph" w:styleId="Ttulo3">
    <w:name w:val="heading 3"/>
    <w:basedOn w:val="Normal"/>
    <w:next w:val="Normal"/>
    <w:link w:val="Ttulo3Car"/>
    <w:qFormat/>
    <w:rsid w:val="003101DA"/>
    <w:pPr>
      <w:keepNext/>
      <w:jc w:val="center"/>
      <w:outlineLvl w:val="2"/>
    </w:pPr>
    <w:rPr>
      <w:rFonts w:ascii="CG Times" w:hAnsi="CG Times"/>
      <w:b/>
      <w:snapToGrid w:val="0"/>
      <w:color w:val="00000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101DA"/>
    <w:pPr>
      <w:keepNext/>
      <w:jc w:val="center"/>
      <w:outlineLvl w:val="3"/>
    </w:pPr>
    <w:rPr>
      <w:rFonts w:ascii="Arial" w:hAnsi="Arial" w:cs="Arial"/>
      <w:b/>
      <w:snapToGrid w:val="0"/>
      <w:color w:val="000000"/>
      <w:spacing w:val="20"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101DA"/>
    <w:pPr>
      <w:keepNext/>
      <w:jc w:val="center"/>
      <w:outlineLvl w:val="4"/>
    </w:pPr>
    <w:rPr>
      <w:rFonts w:ascii="Arial" w:hAnsi="Arial" w:cs="Arial"/>
      <w:b/>
      <w:snapToGrid w:val="0"/>
      <w:color w:val="000000"/>
      <w:spacing w:val="20"/>
      <w:sz w:val="28"/>
      <w:szCs w:val="20"/>
      <w:lang w:val="es-ES_tradnl"/>
    </w:rPr>
  </w:style>
  <w:style w:type="paragraph" w:styleId="Ttulo6">
    <w:name w:val="heading 6"/>
    <w:basedOn w:val="Normal"/>
    <w:next w:val="Normal"/>
    <w:link w:val="Ttulo6Car"/>
    <w:unhideWhenUsed/>
    <w:qFormat/>
    <w:rsid w:val="00795BF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4647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01DA"/>
    <w:pPr>
      <w:tabs>
        <w:tab w:val="center" w:pos="4252"/>
        <w:tab w:val="right" w:pos="8504"/>
      </w:tabs>
    </w:pPr>
    <w:rPr>
      <w:rFonts w:ascii="CG Times" w:hAnsi="CG Times"/>
      <w:szCs w:val="20"/>
      <w:lang w:val="es-CO"/>
    </w:rPr>
  </w:style>
  <w:style w:type="paragraph" w:styleId="Piedepgina">
    <w:name w:val="footer"/>
    <w:basedOn w:val="Normal"/>
    <w:semiHidden/>
    <w:rsid w:val="003101DA"/>
    <w:pPr>
      <w:tabs>
        <w:tab w:val="center" w:pos="4252"/>
        <w:tab w:val="right" w:pos="8504"/>
      </w:tabs>
    </w:pPr>
  </w:style>
  <w:style w:type="paragraph" w:customStyle="1" w:styleId="Estilo1">
    <w:name w:val="Estilo1"/>
    <w:basedOn w:val="Normal"/>
    <w:rsid w:val="003101DA"/>
    <w:pPr>
      <w:shd w:val="clear" w:color="auto" w:fill="C0C0C0"/>
      <w:jc w:val="center"/>
    </w:pPr>
    <w:rPr>
      <w:rFonts w:ascii="Comic Sans MS" w:hAnsi="Comic Sans MS"/>
      <w:color w:val="0000FF"/>
      <w:sz w:val="36"/>
      <w:szCs w:val="20"/>
      <w:lang w:val="es-CO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Nmerodepgina">
    <w:name w:val="page number"/>
    <w:basedOn w:val="Fuentedeprrafopredeter"/>
    <w:semiHidden/>
    <w:rsid w:val="003101DA"/>
  </w:style>
  <w:style w:type="paragraph" w:styleId="Textoindependiente">
    <w:name w:val="Body Text"/>
    <w:basedOn w:val="Normal"/>
    <w:link w:val="TextoindependienteCar"/>
    <w:semiHidden/>
    <w:rsid w:val="003101DA"/>
    <w:pPr>
      <w:jc w:val="center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link w:val="Textoindependiente3Car"/>
    <w:semiHidden/>
    <w:rsid w:val="003101DA"/>
    <w:pPr>
      <w:jc w:val="center"/>
      <w:outlineLvl w:val="0"/>
    </w:pPr>
    <w:rPr>
      <w:rFonts w:ascii="Arial" w:hAnsi="Arial" w:cs="Arial"/>
      <w:b/>
      <w:bCs/>
      <w:spacing w:val="-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F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25FA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593C4F"/>
    <w:rPr>
      <w:rFonts w:ascii="CG Times" w:hAnsi="CG Times"/>
      <w:sz w:val="24"/>
      <w:lang w:val="es-CO"/>
    </w:rPr>
  </w:style>
  <w:style w:type="character" w:customStyle="1" w:styleId="Ttulo3Car">
    <w:name w:val="Título 3 Car"/>
    <w:link w:val="Ttulo3"/>
    <w:rsid w:val="00141013"/>
    <w:rPr>
      <w:rFonts w:ascii="CG Times" w:hAnsi="CG Times"/>
      <w:b/>
      <w:snapToGrid w:val="0"/>
      <w:color w:val="000000"/>
      <w:sz w:val="24"/>
      <w:lang w:val="es-ES_tradnl"/>
    </w:rPr>
  </w:style>
  <w:style w:type="character" w:customStyle="1" w:styleId="Ttulo4Car">
    <w:name w:val="Título 4 Car"/>
    <w:link w:val="Ttulo4"/>
    <w:rsid w:val="00141013"/>
    <w:rPr>
      <w:rFonts w:ascii="Arial" w:hAnsi="Arial" w:cs="Arial"/>
      <w:b/>
      <w:snapToGrid w:val="0"/>
      <w:color w:val="000000"/>
      <w:spacing w:val="20"/>
      <w:lang w:val="es-ES_tradnl"/>
    </w:rPr>
  </w:style>
  <w:style w:type="character" w:customStyle="1" w:styleId="Ttulo5Car">
    <w:name w:val="Título 5 Car"/>
    <w:link w:val="Ttulo5"/>
    <w:rsid w:val="00141013"/>
    <w:rPr>
      <w:rFonts w:ascii="Arial" w:hAnsi="Arial" w:cs="Arial"/>
      <w:b/>
      <w:snapToGrid w:val="0"/>
      <w:color w:val="000000"/>
      <w:spacing w:val="20"/>
      <w:sz w:val="28"/>
      <w:lang w:val="es-ES_tradnl"/>
    </w:rPr>
  </w:style>
  <w:style w:type="character" w:customStyle="1" w:styleId="TextoindependienteCar">
    <w:name w:val="Texto independiente Car"/>
    <w:link w:val="Textoindependiente"/>
    <w:semiHidden/>
    <w:rsid w:val="00141013"/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semiHidden/>
    <w:rsid w:val="00141013"/>
    <w:rPr>
      <w:rFonts w:ascii="Arial" w:hAnsi="Arial" w:cs="Arial"/>
      <w:b/>
      <w:bCs/>
      <w:spacing w:val="-3"/>
      <w:sz w:val="24"/>
      <w:szCs w:val="24"/>
    </w:rPr>
  </w:style>
  <w:style w:type="table" w:styleId="Tablaconcuadrcula">
    <w:name w:val="Table Grid"/>
    <w:basedOn w:val="Tablanormal"/>
    <w:uiPriority w:val="59"/>
    <w:rsid w:val="001410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link w:val="Ttulo6"/>
    <w:rsid w:val="00795BFB"/>
    <w:rPr>
      <w:rFonts w:ascii="Calibri" w:eastAsia="Times New Roman" w:hAnsi="Calibri" w:cs="Times New Roman"/>
      <w:b/>
      <w:bCs/>
      <w:sz w:val="22"/>
      <w:szCs w:val="22"/>
    </w:rPr>
  </w:style>
  <w:style w:type="paragraph" w:styleId="Ttulo">
    <w:name w:val="Title"/>
    <w:basedOn w:val="Normal"/>
    <w:link w:val="TtuloCar"/>
    <w:qFormat/>
    <w:rsid w:val="00795BFB"/>
    <w:pPr>
      <w:widowControl w:val="0"/>
      <w:adjustRightInd w:val="0"/>
      <w:spacing w:line="360" w:lineRule="atLeast"/>
      <w:jc w:val="center"/>
      <w:textAlignment w:val="baseline"/>
    </w:pPr>
    <w:rPr>
      <w:rFonts w:ascii="Arial" w:hAnsi="Arial" w:cs="Arial"/>
      <w:b/>
      <w:bCs/>
    </w:rPr>
  </w:style>
  <w:style w:type="character" w:customStyle="1" w:styleId="TtuloCar">
    <w:name w:val="Título Car"/>
    <w:link w:val="Ttulo"/>
    <w:rsid w:val="00795BFB"/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1405C6"/>
    <w:pPr>
      <w:ind w:left="708"/>
    </w:pPr>
    <w:rPr>
      <w:sz w:val="20"/>
      <w:szCs w:val="20"/>
      <w:lang w:val="es-CO"/>
    </w:rPr>
  </w:style>
  <w:style w:type="character" w:customStyle="1" w:styleId="PrrafodelistaCar">
    <w:name w:val="Párrafo de lista Car"/>
    <w:link w:val="Prrafodelista"/>
    <w:uiPriority w:val="34"/>
    <w:rsid w:val="001405C6"/>
    <w:rPr>
      <w:lang w:val="es-CO"/>
    </w:rPr>
  </w:style>
  <w:style w:type="paragraph" w:styleId="TDC1">
    <w:name w:val="toc 1"/>
    <w:basedOn w:val="Normal"/>
    <w:next w:val="Normal"/>
    <w:autoRedefine/>
    <w:semiHidden/>
    <w:rsid w:val="00D03800"/>
    <w:pPr>
      <w:tabs>
        <w:tab w:val="left" w:pos="480"/>
        <w:tab w:val="right" w:leader="dot" w:pos="8828"/>
      </w:tabs>
      <w:spacing w:before="120"/>
      <w:jc w:val="both"/>
    </w:pPr>
    <w:rPr>
      <w:rFonts w:ascii="Arial" w:hAnsi="Arial"/>
      <w:noProof/>
    </w:rPr>
  </w:style>
  <w:style w:type="paragraph" w:styleId="Textodebloque">
    <w:name w:val="Block Text"/>
    <w:basedOn w:val="Normal"/>
    <w:rsid w:val="00D03800"/>
    <w:pPr>
      <w:suppressAutoHyphens/>
      <w:spacing w:after="240"/>
      <w:ind w:right="788"/>
      <w:jc w:val="both"/>
    </w:pPr>
    <w:rPr>
      <w:rFonts w:ascii="Arial" w:hAnsi="Arial"/>
      <w:spacing w:val="-3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06AE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006AE2"/>
    <w:rPr>
      <w:sz w:val="24"/>
      <w:szCs w:val="24"/>
    </w:rPr>
  </w:style>
  <w:style w:type="paragraph" w:styleId="Epgrafe">
    <w:name w:val="caption"/>
    <w:basedOn w:val="Normal"/>
    <w:next w:val="Normal"/>
    <w:uiPriority w:val="35"/>
    <w:qFormat/>
    <w:rsid w:val="003A31F6"/>
    <w:pPr>
      <w:widowControl w:val="0"/>
      <w:adjustRightInd w:val="0"/>
      <w:spacing w:before="120" w:after="120" w:line="360" w:lineRule="atLeast"/>
      <w:ind w:left="0"/>
      <w:jc w:val="center"/>
      <w:textAlignment w:val="baseline"/>
    </w:pPr>
    <w:rPr>
      <w:rFonts w:ascii="Arial" w:hAnsi="Arial"/>
      <w:sz w:val="20"/>
      <w:szCs w:val="20"/>
    </w:rPr>
  </w:style>
  <w:style w:type="paragraph" w:styleId="Sinespaciado">
    <w:name w:val="No Spacing"/>
    <w:uiPriority w:val="1"/>
    <w:qFormat/>
    <w:rsid w:val="003A31F6"/>
    <w:rPr>
      <w:rFonts w:ascii="Calibri" w:hAnsi="Calibri" w:cs="Calibri"/>
      <w:sz w:val="22"/>
      <w:szCs w:val="22"/>
      <w:lang w:val="es-ES" w:eastAsia="en-US"/>
    </w:rPr>
  </w:style>
  <w:style w:type="character" w:customStyle="1" w:styleId="apple-style-span">
    <w:name w:val="apple-style-span"/>
    <w:rsid w:val="003A31F6"/>
    <w:rPr>
      <w:rFonts w:ascii="Times New Roman" w:hAnsi="Times New Roman" w:cs="Times New Roman"/>
    </w:rPr>
  </w:style>
  <w:style w:type="paragraph" w:styleId="Subttulo">
    <w:name w:val="Subtitle"/>
    <w:basedOn w:val="Normal"/>
    <w:link w:val="SubttuloCar"/>
    <w:qFormat/>
    <w:rsid w:val="003A31F6"/>
    <w:pPr>
      <w:ind w:left="0"/>
    </w:pPr>
    <w:rPr>
      <w:rFonts w:ascii="Century Gothic" w:hAnsi="Century Gothic"/>
      <w:b/>
      <w:bCs/>
    </w:rPr>
  </w:style>
  <w:style w:type="character" w:customStyle="1" w:styleId="SubttuloCar">
    <w:name w:val="Subtítulo Car"/>
    <w:link w:val="Subttulo"/>
    <w:rsid w:val="003A31F6"/>
    <w:rPr>
      <w:rFonts w:ascii="Century Gothic" w:hAnsi="Century Gothic"/>
      <w:b/>
      <w:bCs/>
      <w:sz w:val="24"/>
      <w:szCs w:val="24"/>
    </w:rPr>
  </w:style>
  <w:style w:type="character" w:customStyle="1" w:styleId="apple-converted-space">
    <w:name w:val="apple-converted-space"/>
    <w:basedOn w:val="Fuentedeprrafopredeter"/>
    <w:rsid w:val="003A31F6"/>
  </w:style>
  <w:style w:type="paragraph" w:customStyle="1" w:styleId="BodyText21">
    <w:name w:val="Body Text 21"/>
    <w:basedOn w:val="Normal"/>
    <w:uiPriority w:val="99"/>
    <w:rsid w:val="00C034CB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</w:tabs>
      <w:suppressAutoHyphens/>
      <w:adjustRightInd w:val="0"/>
      <w:spacing w:before="120" w:after="120" w:line="240" w:lineRule="exact"/>
      <w:ind w:left="0"/>
      <w:jc w:val="both"/>
      <w:textAlignment w:val="baseline"/>
    </w:pPr>
    <w:rPr>
      <w:rFonts w:ascii="Arial" w:hAnsi="Arial"/>
      <w:sz w:val="22"/>
      <w:szCs w:val="20"/>
    </w:rPr>
  </w:style>
  <w:style w:type="character" w:customStyle="1" w:styleId="Ttulo7Car">
    <w:name w:val="Título 7 Car"/>
    <w:link w:val="Ttulo7"/>
    <w:uiPriority w:val="9"/>
    <w:semiHidden/>
    <w:rsid w:val="006B4647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0146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E01463"/>
    <w:rPr>
      <w:sz w:val="24"/>
      <w:szCs w:val="24"/>
      <w:lang w:val="es-ES" w:eastAsia="es-ES"/>
    </w:rPr>
  </w:style>
  <w:style w:type="paragraph" w:customStyle="1" w:styleId="Vietaletra">
    <w:name w:val="Viñeta letra"/>
    <w:basedOn w:val="Normal"/>
    <w:next w:val="Normal"/>
    <w:rsid w:val="00E01463"/>
    <w:pPr>
      <w:numPr>
        <w:numId w:val="16"/>
      </w:numPr>
      <w:suppressAutoHyphens/>
      <w:overflowPunct w:val="0"/>
      <w:autoSpaceDE w:val="0"/>
      <w:ind w:left="0"/>
      <w:jc w:val="both"/>
      <w:textAlignment w:val="baseline"/>
    </w:pPr>
    <w:rPr>
      <w:rFonts w:ascii="Arial" w:hAnsi="Arial"/>
      <w:szCs w:val="20"/>
      <w:lang w:val="es-ES_tradnl" w:eastAsia="ar-SA"/>
    </w:rPr>
  </w:style>
  <w:style w:type="paragraph" w:customStyle="1" w:styleId="TableHeading">
    <w:name w:val="Table Heading"/>
    <w:basedOn w:val="Normal"/>
    <w:rsid w:val="00E01463"/>
    <w:pPr>
      <w:suppressLineNumbers/>
      <w:suppressAutoHyphens/>
      <w:ind w:left="0"/>
      <w:jc w:val="center"/>
    </w:pPr>
    <w:rPr>
      <w:rFonts w:ascii="Arial" w:hAnsi="Arial"/>
      <w:b/>
      <w:bCs/>
      <w:sz w:val="22"/>
      <w:lang w:eastAsia="ar-SA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060B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E060BE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E4C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E4CA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E4CAB"/>
    <w:rPr>
      <w:lang w:val="es-ES" w:eastAsia="es-ES"/>
    </w:rPr>
  </w:style>
  <w:style w:type="paragraph" w:styleId="Revisin">
    <w:name w:val="Revision"/>
    <w:hidden/>
    <w:uiPriority w:val="99"/>
    <w:semiHidden/>
    <w:rsid w:val="000775B2"/>
    <w:rPr>
      <w:sz w:val="24"/>
      <w:szCs w:val="24"/>
      <w:lang w:val="es-ES" w:eastAsia="es-ES"/>
    </w:rPr>
  </w:style>
  <w:style w:type="paragraph" w:customStyle="1" w:styleId="Estilo2">
    <w:name w:val="Estilo2"/>
    <w:basedOn w:val="Estilo1"/>
    <w:link w:val="Estilo2Car"/>
    <w:rsid w:val="00E66DFF"/>
    <w:pPr>
      <w:keepNext/>
      <w:widowControl w:val="0"/>
      <w:shd w:val="clear" w:color="auto" w:fill="auto"/>
      <w:tabs>
        <w:tab w:val="num" w:pos="1440"/>
      </w:tabs>
      <w:adjustRightInd w:val="0"/>
      <w:ind w:left="0"/>
      <w:jc w:val="both"/>
      <w:textAlignment w:val="baseline"/>
      <w:outlineLvl w:val="0"/>
    </w:pPr>
    <w:rPr>
      <w:rFonts w:ascii="Bookman Old Style" w:hAnsi="Bookman Old Style"/>
      <w:b/>
      <w:bCs/>
      <w:color w:val="auto"/>
      <w:sz w:val="24"/>
      <w:szCs w:val="24"/>
      <w:lang w:val="es-ES" w:eastAsia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Estilo2Car">
    <w:name w:val="Estilo2 Car"/>
    <w:link w:val="Estilo2"/>
    <w:rsid w:val="00E66DFF"/>
    <w:rPr>
      <w:rFonts w:ascii="Bookman Old Style" w:hAnsi="Bookman Old Style"/>
      <w:b/>
      <w:bCs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ella%20Rojas\Nueva%20carpeta\PLANTILLA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B9CE-6E5A-494A-97D3-C7D04B6F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PLANTILLA1</Template>
  <TotalTime>1</TotalTime>
  <Pages>2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CREG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LSROJAS</dc:creator>
  <cp:lastModifiedBy>Luz Stella Rojas Macias</cp:lastModifiedBy>
  <cp:revision>2</cp:revision>
  <cp:lastPrinted>2012-06-25T19:36:00Z</cp:lastPrinted>
  <dcterms:created xsi:type="dcterms:W3CDTF">2012-07-06T15:52:00Z</dcterms:created>
  <dcterms:modified xsi:type="dcterms:W3CDTF">2012-07-06T15:52:00Z</dcterms:modified>
</cp:coreProperties>
</file>