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12259" w:rsidRDefault="00D33ECA"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8" o:title=""/>
          </v:shape>
          <o:OLEObject Type="Embed" ProgID="PBrush" ShapeID="_x0000_s1026" DrawAspect="Content" ObjectID="_1359182292" r:id="rId9"/>
        </w:pict>
      </w:r>
    </w:p>
    <w:p w:rsidR="00625DC6" w:rsidRPr="00012259"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012259" w:rsidRDefault="00CA77FB" w:rsidP="00012259">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CA77FB" w:rsidRPr="00012259" w:rsidRDefault="00CA77FB" w:rsidP="00012259">
      <w:pPr>
        <w:pStyle w:val="Ttulo4"/>
        <w:tabs>
          <w:tab w:val="left" w:pos="0"/>
          <w:tab w:val="right" w:pos="9356"/>
        </w:tabs>
        <w:ind w:left="0"/>
        <w:rPr>
          <w:rFonts w:ascii="Bookman Old Style" w:hAnsi="Bookman Old Style"/>
          <w:b w:val="0"/>
          <w:bCs/>
          <w:sz w:val="24"/>
          <w:szCs w:val="24"/>
        </w:rPr>
      </w:pPr>
    </w:p>
    <w:p w:rsidR="00CA77FB" w:rsidRPr="00012259" w:rsidRDefault="00CA77FB" w:rsidP="00012259">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r w:rsidRPr="00012259">
        <w:rPr>
          <w:rFonts w:ascii="Bookman Old Style" w:hAnsi="Bookman Old Style"/>
          <w:sz w:val="24"/>
          <w:szCs w:val="24"/>
        </w:rPr>
        <w:t xml:space="preserve">RESOLUCIÓN No. </w:t>
      </w:r>
      <w:r w:rsidR="00795BFB" w:rsidRPr="00012259">
        <w:rPr>
          <w:rFonts w:ascii="Bookman Old Style" w:hAnsi="Bookman Old Style"/>
          <w:sz w:val="24"/>
          <w:szCs w:val="24"/>
        </w:rPr>
        <w:t xml:space="preserve">                  </w:t>
      </w:r>
      <w:r w:rsidRPr="00012259">
        <w:rPr>
          <w:rFonts w:ascii="Bookman Old Style" w:hAnsi="Bookman Old Style"/>
          <w:sz w:val="24"/>
          <w:szCs w:val="24"/>
        </w:rPr>
        <w:t>DE 20</w:t>
      </w:r>
      <w:r w:rsidR="00795BFB" w:rsidRPr="00012259">
        <w:rPr>
          <w:rFonts w:ascii="Bookman Old Style" w:hAnsi="Bookman Old Style"/>
          <w:sz w:val="24"/>
          <w:szCs w:val="24"/>
        </w:rPr>
        <w:t>1</w:t>
      </w:r>
      <w:r w:rsidR="005F6F41">
        <w:rPr>
          <w:rFonts w:ascii="Bookman Old Style" w:hAnsi="Bookman Old Style"/>
          <w:sz w:val="24"/>
          <w:szCs w:val="24"/>
        </w:rPr>
        <w:t>1</w:t>
      </w:r>
    </w:p>
    <w:p w:rsidR="00CA77FB" w:rsidRPr="00012259"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012259" w:rsidRDefault="00CA77FB" w:rsidP="00012259">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CA77FB" w:rsidRPr="00012259"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C435C3" w:rsidRPr="00C435C3" w:rsidRDefault="00C435C3" w:rsidP="00700B39">
      <w:pPr>
        <w:ind w:left="0"/>
        <w:jc w:val="center"/>
        <w:rPr>
          <w:rFonts w:ascii="Bookman Old Style" w:hAnsi="Bookman Old Style"/>
        </w:rPr>
      </w:pPr>
      <w:r w:rsidRPr="00C435C3">
        <w:rPr>
          <w:rFonts w:ascii="Bookman Old Style" w:hAnsi="Bookman Old Style"/>
        </w:rPr>
        <w:t xml:space="preserve">Por </w:t>
      </w:r>
      <w:r w:rsidR="00A60239">
        <w:rPr>
          <w:rFonts w:ascii="Bookman Old Style" w:hAnsi="Bookman Old Style"/>
        </w:rPr>
        <w:t xml:space="preserve">la </w:t>
      </w:r>
      <w:r w:rsidR="00700B39">
        <w:rPr>
          <w:rFonts w:ascii="Bookman Old Style" w:hAnsi="Bookman Old Style"/>
        </w:rPr>
        <w:t>cual se modifica el parágrafo del artículo 3 de la Resolución CREG</w:t>
      </w:r>
      <w:r w:rsidR="005A0981">
        <w:rPr>
          <w:rFonts w:ascii="Bookman Old Style" w:hAnsi="Bookman Old Style"/>
        </w:rPr>
        <w:t xml:space="preserve"> </w:t>
      </w:r>
      <w:r w:rsidR="00700B39">
        <w:rPr>
          <w:rFonts w:ascii="Bookman Old Style" w:hAnsi="Bookman Old Style"/>
        </w:rPr>
        <w:t>181 de 2010.</w:t>
      </w:r>
    </w:p>
    <w:p w:rsidR="00C435C3" w:rsidRPr="00C435C3" w:rsidRDefault="00C435C3" w:rsidP="00C435C3">
      <w:pPr>
        <w:pStyle w:val="Textodebloque"/>
        <w:ind w:left="0" w:right="51"/>
        <w:rPr>
          <w:rFonts w:ascii="Bookman Old Style" w:hAnsi="Bookman Old Style"/>
          <w:szCs w:val="24"/>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LA COMISIÓN DE REGULACIÓN DE  ENERGÍA Y GAS</w:t>
      </w:r>
    </w:p>
    <w:p w:rsidR="00C435C3" w:rsidRPr="00C435C3" w:rsidRDefault="00C435C3" w:rsidP="00C435C3">
      <w:pPr>
        <w:ind w:left="0" w:right="51"/>
        <w:rPr>
          <w:rFonts w:ascii="Bookman Old Style" w:hAnsi="Bookman Old Style"/>
        </w:rPr>
      </w:pPr>
    </w:p>
    <w:p w:rsidR="00C435C3" w:rsidRPr="00C435C3" w:rsidRDefault="00C435C3" w:rsidP="00C435C3">
      <w:pPr>
        <w:ind w:left="0" w:right="51"/>
        <w:rPr>
          <w:rFonts w:ascii="Bookman Old Style" w:hAnsi="Bookman Old Style"/>
        </w:rPr>
      </w:pPr>
    </w:p>
    <w:p w:rsidR="00C435C3" w:rsidRPr="00C435C3" w:rsidRDefault="00C435C3" w:rsidP="00C435C3">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Pr="00C435C3" w:rsidRDefault="00C435C3" w:rsidP="00C435C3">
      <w:pPr>
        <w:ind w:right="51"/>
        <w:rPr>
          <w:rFonts w:ascii="Bookman Old Style" w:hAnsi="Bookman Old Style"/>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C O N S I D E R A N D O</w:t>
      </w:r>
      <w:r w:rsidR="00700B39">
        <w:rPr>
          <w:rFonts w:ascii="Bookman Old Style" w:hAnsi="Bookman Old Style"/>
          <w:b/>
        </w:rPr>
        <w:t xml:space="preserve">  Q U E</w:t>
      </w:r>
      <w:r w:rsidRPr="00C435C3">
        <w:rPr>
          <w:rFonts w:ascii="Bookman Old Style" w:hAnsi="Bookman Old Style"/>
          <w:b/>
        </w:rPr>
        <w:t>:</w:t>
      </w:r>
    </w:p>
    <w:p w:rsidR="00C435C3" w:rsidRPr="00C435C3" w:rsidRDefault="00C435C3" w:rsidP="00C435C3">
      <w:pPr>
        <w:ind w:right="51"/>
        <w:jc w:val="center"/>
        <w:rPr>
          <w:rFonts w:ascii="Bookman Old Style" w:hAnsi="Bookman Old Style"/>
          <w:b/>
        </w:rPr>
      </w:pPr>
    </w:p>
    <w:p w:rsidR="00C435C3" w:rsidRPr="00C435C3" w:rsidRDefault="00C435C3" w:rsidP="00C435C3">
      <w:pPr>
        <w:rPr>
          <w:rFonts w:ascii="Bookman Old Style" w:hAnsi="Bookman Old Style"/>
          <w:b/>
        </w:rPr>
      </w:pPr>
    </w:p>
    <w:p w:rsidR="00700B39" w:rsidRPr="003B187B" w:rsidRDefault="00700B39" w:rsidP="00700B39">
      <w:pPr>
        <w:ind w:left="0"/>
        <w:jc w:val="both"/>
        <w:rPr>
          <w:rFonts w:ascii="Bookman Old Style" w:hAnsi="Bookman Old Style"/>
        </w:rPr>
      </w:pPr>
      <w:r w:rsidRPr="003B187B">
        <w:rPr>
          <w:rFonts w:ascii="Bookman Old Style" w:hAnsi="Bookman Old Style"/>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700B39" w:rsidRPr="003B187B" w:rsidRDefault="00700B39" w:rsidP="00700B39">
      <w:pPr>
        <w:ind w:left="0"/>
        <w:jc w:val="both"/>
        <w:rPr>
          <w:rFonts w:ascii="Bookman Old Style" w:hAnsi="Bookman Old Style"/>
        </w:rPr>
      </w:pPr>
      <w:r w:rsidRPr="003B187B">
        <w:rPr>
          <w:rFonts w:ascii="Bookman Old Style" w:hAnsi="Bookman Old Style"/>
        </w:rPr>
        <w:br/>
        <w:t xml:space="preserve">Para el cumplimiento del objetivo señalado, la Ley 143 de 1994, artículo 23, le atribuyó a la Comisión de Regulación de Energía y Gas,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 </w:t>
      </w:r>
    </w:p>
    <w:p w:rsidR="00700B39" w:rsidRPr="003B187B" w:rsidRDefault="00700B39" w:rsidP="00700B39">
      <w:pPr>
        <w:ind w:left="0"/>
        <w:jc w:val="both"/>
        <w:rPr>
          <w:rFonts w:ascii="Bookman Old Style" w:hAnsi="Bookman Old Style"/>
        </w:rPr>
      </w:pPr>
      <w:r w:rsidRPr="003B187B">
        <w:rPr>
          <w:rFonts w:ascii="Bookman Old Style" w:hAnsi="Bookman Old Style"/>
        </w:rPr>
        <w:br/>
        <w:t>De acuerdo con lo establecido en el literal c) del artículo 74.1 de la ley 142 de 1994, le corresponde a la CREG establecer el Reglamento de Operación, para regular el funcionamiento del Mercado Mayorista.</w:t>
      </w:r>
    </w:p>
    <w:p w:rsidR="00700B39" w:rsidRPr="003B187B" w:rsidRDefault="00700B39" w:rsidP="00700B39">
      <w:pPr>
        <w:ind w:left="0"/>
        <w:jc w:val="both"/>
        <w:rPr>
          <w:rFonts w:ascii="Bookman Old Style" w:hAnsi="Bookman Old Style"/>
        </w:rPr>
      </w:pPr>
      <w:r w:rsidRPr="003B187B">
        <w:rPr>
          <w:rFonts w:ascii="Bookman Old Style" w:hAnsi="Bookman Old Style"/>
        </w:rPr>
        <w:lastRenderedPageBreak/>
        <w:t>La CREG mediante Resolución CREG 071 de 2006, adoptó la metodología para la remuneración del Cargo por Confiabilidad en el Mercado Mayorista de Energía.</w:t>
      </w:r>
    </w:p>
    <w:p w:rsidR="00700B39" w:rsidRPr="003B187B" w:rsidRDefault="00700B39" w:rsidP="00700B39">
      <w:pPr>
        <w:jc w:val="both"/>
        <w:rPr>
          <w:rFonts w:ascii="Bookman Old Style" w:hAnsi="Bookman Old Style"/>
        </w:rPr>
      </w:pPr>
    </w:p>
    <w:p w:rsidR="00700B39" w:rsidRPr="003B187B" w:rsidRDefault="00700B39" w:rsidP="00700B39">
      <w:pPr>
        <w:ind w:left="0"/>
        <w:jc w:val="both"/>
        <w:rPr>
          <w:rFonts w:ascii="Bookman Old Style" w:hAnsi="Bookman Old Style"/>
        </w:rPr>
      </w:pPr>
      <w:r w:rsidRPr="003B187B">
        <w:rPr>
          <w:rFonts w:ascii="Bookman Old Style" w:hAnsi="Bookman Old Style"/>
        </w:rPr>
        <w:t>La CREG expidió la Resolución 085 de 2007 mediante la cual, entre otros, se reglamentaron reglas para participar en la asignación de Obligaciones de Energía Firme con plantas o unidades térmicas que utilicen combustible líquido.</w:t>
      </w:r>
    </w:p>
    <w:p w:rsidR="00700B39" w:rsidRPr="003B187B" w:rsidRDefault="00700B39" w:rsidP="00700B39">
      <w:pPr>
        <w:jc w:val="both"/>
        <w:rPr>
          <w:rFonts w:ascii="Bookman Old Style" w:hAnsi="Bookman Old Style"/>
        </w:rPr>
      </w:pPr>
    </w:p>
    <w:p w:rsidR="00700B39" w:rsidRDefault="00700B39" w:rsidP="00700B39">
      <w:pPr>
        <w:ind w:left="0"/>
        <w:jc w:val="both"/>
        <w:rPr>
          <w:rFonts w:ascii="Bookman Old Style" w:hAnsi="Bookman Old Style"/>
        </w:rPr>
      </w:pPr>
      <w:r>
        <w:rPr>
          <w:rFonts w:ascii="Bookman Old Style" w:hAnsi="Bookman Old Style"/>
        </w:rPr>
        <w:t xml:space="preserve">La CREG expidió la Resolución 181 de 2010 mediante la cual se </w:t>
      </w:r>
      <w:r w:rsidR="009F5910">
        <w:rPr>
          <w:rFonts w:ascii="Bookman Old Style" w:hAnsi="Bookman Old Style"/>
        </w:rPr>
        <w:t xml:space="preserve">adicionaron y </w:t>
      </w:r>
      <w:r>
        <w:rPr>
          <w:rFonts w:ascii="Bookman Old Style" w:hAnsi="Bookman Old Style"/>
        </w:rPr>
        <w:t>modificaron las reglas para respaldar Obligaciones de Energía Firme con combustibles líquidos.</w:t>
      </w:r>
    </w:p>
    <w:p w:rsidR="00700B39" w:rsidRDefault="00700B39" w:rsidP="00700B39">
      <w:pPr>
        <w:ind w:left="0"/>
        <w:jc w:val="both"/>
        <w:rPr>
          <w:rFonts w:ascii="Bookman Old Style" w:hAnsi="Bookman Old Style"/>
        </w:rPr>
      </w:pPr>
    </w:p>
    <w:p w:rsidR="009F5910" w:rsidRDefault="009F5910" w:rsidP="00700B39">
      <w:pPr>
        <w:ind w:left="0"/>
        <w:jc w:val="both"/>
        <w:rPr>
          <w:rFonts w:ascii="Bookman Old Style" w:hAnsi="Bookman Old Style"/>
        </w:rPr>
      </w:pPr>
      <w:r>
        <w:rPr>
          <w:rFonts w:ascii="Bookman Old Style" w:hAnsi="Bookman Old Style"/>
        </w:rPr>
        <w:t xml:space="preserve">Se </w:t>
      </w:r>
      <w:r w:rsidR="00F20BE3">
        <w:rPr>
          <w:rFonts w:ascii="Bookman Old Style" w:hAnsi="Bookman Old Style"/>
        </w:rPr>
        <w:t>recibieron comentarios de Proelé</w:t>
      </w:r>
      <w:r>
        <w:rPr>
          <w:rFonts w:ascii="Bookman Old Style" w:hAnsi="Bookman Old Style"/>
        </w:rPr>
        <w:t>ctrica, radicado E-2011-000654, Colinversiones, radicado E-2011-000680, y Gecelca, radicado E-2011-000973, solicitando aclarar el requerimiento del documento de logística para las asignaciones realizadas antes de la expedición de la Resolución CREG-181 de 2010.</w:t>
      </w:r>
    </w:p>
    <w:p w:rsidR="009F5910" w:rsidRDefault="009F5910" w:rsidP="00700B39">
      <w:pPr>
        <w:ind w:left="0"/>
        <w:jc w:val="both"/>
        <w:rPr>
          <w:rFonts w:ascii="Bookman Old Style" w:hAnsi="Bookman Old Style"/>
        </w:rPr>
      </w:pPr>
    </w:p>
    <w:p w:rsidR="0048515F" w:rsidRDefault="0048515F" w:rsidP="0048515F">
      <w:pPr>
        <w:ind w:left="0"/>
        <w:jc w:val="both"/>
        <w:rPr>
          <w:rFonts w:ascii="Bookman Old Style" w:hAnsi="Bookman Old Style"/>
        </w:rPr>
      </w:pPr>
      <w:r>
        <w:rPr>
          <w:rFonts w:ascii="Bookman Old Style" w:hAnsi="Bookman Old Style"/>
        </w:rPr>
        <w:t xml:space="preserve">Analizadas las observaciones remitidas se considera pertinente ajustar lo establecido en el artículo 3 de la Resolución CREG 181 de 2010 en relación con el documento de logística. </w:t>
      </w:r>
    </w:p>
    <w:p w:rsidR="0048515F" w:rsidRDefault="0048515F" w:rsidP="00700B39">
      <w:pPr>
        <w:ind w:left="0"/>
        <w:jc w:val="both"/>
        <w:rPr>
          <w:rFonts w:ascii="Bookman Old Style" w:hAnsi="Bookman Old Style"/>
        </w:rPr>
      </w:pPr>
    </w:p>
    <w:p w:rsidR="009F5910" w:rsidRDefault="009F5910" w:rsidP="00700B39">
      <w:pPr>
        <w:ind w:left="0"/>
        <w:jc w:val="both"/>
        <w:rPr>
          <w:rFonts w:ascii="Bookman Old Style" w:hAnsi="Bookman Old Style"/>
        </w:rPr>
      </w:pPr>
      <w:r>
        <w:rPr>
          <w:rFonts w:ascii="Bookman Old Style" w:hAnsi="Bookman Old Style"/>
        </w:rPr>
        <w:t xml:space="preserve">De conformidad con lo establecido en el parágrafo del artículo 9 del Decreto 2696 de 2004 y el numeral 3 del artículo 2 de la Resolución CREG-097 de 2004, la Comisión decidió por unanimidad que la presente Resolución no estará sometida a las disposiciones sobre publicidad de proyectos de regulación previstas en el Decreto, </w:t>
      </w:r>
      <w:r w:rsidR="00A4601A">
        <w:rPr>
          <w:rFonts w:ascii="Bookman Old Style" w:hAnsi="Bookman Old Style"/>
        </w:rPr>
        <w:t>por razones de conveniencia general y oportunidad, teniendo en cuenta que los agentes</w:t>
      </w:r>
      <w:r w:rsidR="005A0981" w:rsidRPr="005A0981">
        <w:rPr>
          <w:rFonts w:ascii="Bookman Old Style" w:hAnsi="Bookman Old Style"/>
        </w:rPr>
        <w:t xml:space="preserve"> </w:t>
      </w:r>
      <w:r w:rsidR="005A0981">
        <w:rPr>
          <w:rFonts w:ascii="Bookman Old Style" w:hAnsi="Bookman Old Style"/>
        </w:rPr>
        <w:t xml:space="preserve">requieren conocer las condiciones aplicables para suscribir </w:t>
      </w:r>
      <w:r w:rsidR="005A0981">
        <w:rPr>
          <w:rFonts w:ascii="Bookman Old Style" w:hAnsi="Bookman Old Style"/>
          <w:lang w:val="es-CO"/>
        </w:rPr>
        <w:t>los</w:t>
      </w:r>
      <w:r w:rsidR="00A4601A">
        <w:rPr>
          <w:rFonts w:ascii="Bookman Old Style" w:hAnsi="Bookman Old Style"/>
        </w:rPr>
        <w:t xml:space="preserve"> contratos de suministro de combustibles y presentar a la CREG el documento de logística.</w:t>
      </w:r>
    </w:p>
    <w:p w:rsidR="00700B39" w:rsidRDefault="00700B39" w:rsidP="00700B39">
      <w:pPr>
        <w:ind w:left="0"/>
        <w:jc w:val="both"/>
        <w:rPr>
          <w:rFonts w:ascii="Bookman Old Style" w:hAnsi="Bookman Old Style"/>
        </w:rPr>
      </w:pPr>
    </w:p>
    <w:p w:rsidR="009D704F" w:rsidRDefault="00921721" w:rsidP="009D704F">
      <w:pPr>
        <w:ind w:left="0"/>
        <w:jc w:val="both"/>
        <w:rPr>
          <w:rFonts w:ascii="Bookman Old Style" w:hAnsi="Bookman Old Style"/>
        </w:rPr>
      </w:pPr>
      <w:r>
        <w:rPr>
          <w:rFonts w:ascii="Bookman Old Style" w:hAnsi="Bookman Old Style"/>
        </w:rPr>
        <w:t>Según señalado en el Decreto 2897 de 2010 n</w:t>
      </w:r>
      <w:r w:rsidR="009D704F">
        <w:rPr>
          <w:rFonts w:ascii="Bookman Old Style" w:hAnsi="Bookman Old Style"/>
        </w:rPr>
        <w:t>o se informó este acto a la Superi</w:t>
      </w:r>
      <w:r w:rsidR="00403B6D">
        <w:rPr>
          <w:rFonts w:ascii="Bookman Old Style" w:hAnsi="Bookman Old Style"/>
        </w:rPr>
        <w:t>n</w:t>
      </w:r>
      <w:r w:rsidR="009D704F">
        <w:rPr>
          <w:rFonts w:ascii="Bookman Old Style" w:hAnsi="Bookman Old Style"/>
        </w:rPr>
        <w:t>tendencia de Industria y Comercio por cuanto se evaluó que no tiene incidencia sobre la libre competencia</w:t>
      </w:r>
      <w:r w:rsidR="00A41F9C">
        <w:rPr>
          <w:rFonts w:ascii="Bookman Old Style" w:hAnsi="Bookman Old Style"/>
        </w:rPr>
        <w:t xml:space="preserve">. </w:t>
      </w:r>
      <w:r w:rsidR="009D704F">
        <w:rPr>
          <w:rFonts w:ascii="Bookman Old Style" w:hAnsi="Bookman Old Style"/>
        </w:rPr>
        <w:t xml:space="preserve"> </w:t>
      </w:r>
    </w:p>
    <w:p w:rsidR="00700B39" w:rsidRPr="003B187B" w:rsidRDefault="00700B39" w:rsidP="00700B39">
      <w:pPr>
        <w:jc w:val="both"/>
        <w:rPr>
          <w:rFonts w:ascii="Bookman Old Style" w:hAnsi="Bookman Old Style"/>
        </w:rPr>
      </w:pPr>
    </w:p>
    <w:p w:rsidR="00700B39" w:rsidRPr="003B187B" w:rsidRDefault="00700B39" w:rsidP="00700B39">
      <w:pPr>
        <w:ind w:left="0"/>
        <w:jc w:val="both"/>
        <w:rPr>
          <w:rFonts w:ascii="Bookman Old Style" w:hAnsi="Bookman Old Style"/>
        </w:rPr>
      </w:pPr>
      <w:r w:rsidRPr="003B187B">
        <w:rPr>
          <w:rFonts w:ascii="Bookman Old Style" w:hAnsi="Bookman Old Style"/>
        </w:rPr>
        <w:t xml:space="preserve">La Comisión de Regulación de Energía y Gas, en su Sesión </w:t>
      </w:r>
      <w:r w:rsidR="001E2DF3">
        <w:rPr>
          <w:rFonts w:ascii="Bookman Old Style" w:hAnsi="Bookman Old Style"/>
        </w:rPr>
        <w:t>478</w:t>
      </w:r>
      <w:r w:rsidRPr="003B187B">
        <w:rPr>
          <w:rFonts w:ascii="Bookman Old Style" w:hAnsi="Bookman Old Style"/>
        </w:rPr>
        <w:t xml:space="preserve"> del </w:t>
      </w:r>
      <w:r w:rsidR="005A0981">
        <w:rPr>
          <w:rFonts w:ascii="Bookman Old Style" w:hAnsi="Bookman Old Style"/>
        </w:rPr>
        <w:t>10</w:t>
      </w:r>
      <w:r w:rsidRPr="003B187B">
        <w:rPr>
          <w:rFonts w:ascii="Bookman Old Style" w:hAnsi="Bookman Old Style"/>
        </w:rPr>
        <w:t xml:space="preserve"> de </w:t>
      </w:r>
      <w:r w:rsidR="00A4601A">
        <w:rPr>
          <w:rFonts w:ascii="Bookman Old Style" w:hAnsi="Bookman Old Style"/>
        </w:rPr>
        <w:t>febrero</w:t>
      </w:r>
      <w:r w:rsidRPr="003B187B">
        <w:rPr>
          <w:rFonts w:ascii="Bookman Old Style" w:hAnsi="Bookman Old Style"/>
        </w:rPr>
        <w:t xml:space="preserve"> de 201</w:t>
      </w:r>
      <w:r w:rsidR="00A4601A">
        <w:rPr>
          <w:rFonts w:ascii="Bookman Old Style" w:hAnsi="Bookman Old Style"/>
        </w:rPr>
        <w:t>1</w:t>
      </w:r>
      <w:r w:rsidRPr="003B187B">
        <w:rPr>
          <w:rFonts w:ascii="Bookman Old Style" w:hAnsi="Bookman Old Style"/>
        </w:rPr>
        <w:t>, acordó expedir esta resolución.</w:t>
      </w:r>
    </w:p>
    <w:p w:rsidR="00C435C3" w:rsidRPr="00C435C3" w:rsidRDefault="00C435C3" w:rsidP="00700B39">
      <w:pPr>
        <w:ind w:left="0"/>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suppressAutoHyphens/>
        <w:jc w:val="center"/>
        <w:rPr>
          <w:rFonts w:ascii="Bookman Old Style" w:hAnsi="Bookman Old Style"/>
          <w:spacing w:val="-3"/>
        </w:rPr>
      </w:pPr>
      <w:r w:rsidRPr="00C435C3">
        <w:rPr>
          <w:rFonts w:ascii="Bookman Old Style" w:hAnsi="Bookman Old Style"/>
          <w:b/>
          <w:spacing w:val="-3"/>
        </w:rPr>
        <w:t>R E S U E L V E:</w:t>
      </w:r>
    </w:p>
    <w:p w:rsidR="00C435C3" w:rsidRDefault="00C435C3" w:rsidP="00C435C3">
      <w:pPr>
        <w:jc w:val="center"/>
        <w:rPr>
          <w:rFonts w:ascii="Bookman Old Style" w:hAnsi="Bookman Old Style"/>
        </w:rPr>
      </w:pPr>
    </w:p>
    <w:p w:rsidR="00C435C3" w:rsidRDefault="002A782A" w:rsidP="00AE02C7">
      <w:pPr>
        <w:ind w:left="0"/>
        <w:jc w:val="both"/>
        <w:rPr>
          <w:rFonts w:ascii="Bookman Old Style" w:hAnsi="Bookman Old Style"/>
        </w:rPr>
      </w:pPr>
      <w:r w:rsidRPr="002A782A">
        <w:rPr>
          <w:rFonts w:ascii="Bookman Old Style" w:hAnsi="Bookman Old Style"/>
          <w:b/>
        </w:rPr>
        <w:t xml:space="preserve">Artículo 1. </w:t>
      </w:r>
      <w:r w:rsidR="00AE02C7">
        <w:rPr>
          <w:rFonts w:ascii="Bookman Old Style" w:hAnsi="Bookman Old Style"/>
          <w:b/>
        </w:rPr>
        <w:t>Modificación del parágrafo del artículo 3 de la Resolución CREG-181 de 2010.</w:t>
      </w:r>
      <w:r w:rsidR="00AE02C7">
        <w:rPr>
          <w:rFonts w:ascii="Bookman Old Style" w:hAnsi="Bookman Old Style"/>
        </w:rPr>
        <w:t xml:space="preserve"> El parágrafo del artículo 3 de la Resolución CREG-181 de 2010 quedará así:</w:t>
      </w:r>
    </w:p>
    <w:p w:rsidR="00AE02C7" w:rsidRDefault="00AE02C7" w:rsidP="00AE02C7">
      <w:pPr>
        <w:ind w:left="0"/>
        <w:jc w:val="both"/>
        <w:rPr>
          <w:rFonts w:ascii="Bookman Old Style" w:hAnsi="Bookman Old Style"/>
        </w:rPr>
      </w:pPr>
    </w:p>
    <w:p w:rsidR="00F77438" w:rsidRDefault="00AE02C7" w:rsidP="00AE02C7">
      <w:pPr>
        <w:jc w:val="both"/>
        <w:rPr>
          <w:rFonts w:ascii="Bookman Old Style" w:hAnsi="Bookman Old Style"/>
          <w:i/>
          <w:sz w:val="22"/>
        </w:rPr>
      </w:pPr>
      <w:r>
        <w:rPr>
          <w:rFonts w:ascii="Bookman Old Style" w:hAnsi="Bookman Old Style"/>
          <w:i/>
          <w:sz w:val="22"/>
        </w:rPr>
        <w:t>“</w:t>
      </w:r>
      <w:r w:rsidRPr="00AE02C7">
        <w:rPr>
          <w:rFonts w:ascii="Bookman Old Style" w:hAnsi="Bookman Old Style"/>
          <w:b/>
          <w:i/>
          <w:sz w:val="22"/>
        </w:rPr>
        <w:t>Parágrafo</w:t>
      </w:r>
      <w:r>
        <w:rPr>
          <w:rFonts w:ascii="Bookman Old Style" w:hAnsi="Bookman Old Style"/>
          <w:i/>
          <w:sz w:val="22"/>
        </w:rPr>
        <w:t>. Los agentes generadores con plantas y/o unidades térmicas que a la fecha de expedición de la presente norma tengan asignadas Obligaciones de Energía Firme</w:t>
      </w:r>
      <w:r w:rsidR="00F77438">
        <w:rPr>
          <w:rFonts w:ascii="Bookman Old Style" w:hAnsi="Bookman Old Style"/>
          <w:i/>
          <w:sz w:val="22"/>
        </w:rPr>
        <w:t>, OEF,</w:t>
      </w:r>
      <w:r>
        <w:rPr>
          <w:rFonts w:ascii="Bookman Old Style" w:hAnsi="Bookman Old Style"/>
          <w:i/>
          <w:sz w:val="22"/>
        </w:rPr>
        <w:t xml:space="preserve"> respaldadas con combustibles líquidos deberán entregar a la CREG el documento de logística de abastecimiento, </w:t>
      </w:r>
      <w:r w:rsidR="00F77438">
        <w:rPr>
          <w:rFonts w:ascii="Bookman Old Style" w:hAnsi="Bookman Old Style"/>
          <w:i/>
          <w:sz w:val="22"/>
        </w:rPr>
        <w:t>teniendo en cuenta las siguientes reglas:</w:t>
      </w:r>
    </w:p>
    <w:p w:rsidR="00F77438" w:rsidRDefault="00F77438" w:rsidP="00AE02C7">
      <w:pPr>
        <w:jc w:val="both"/>
        <w:rPr>
          <w:rFonts w:ascii="Bookman Old Style" w:hAnsi="Bookman Old Style"/>
          <w:i/>
          <w:sz w:val="22"/>
        </w:rPr>
      </w:pPr>
    </w:p>
    <w:p w:rsidR="00F77438" w:rsidRDefault="00F77438" w:rsidP="00F77438">
      <w:pPr>
        <w:pStyle w:val="Prrafodelista"/>
        <w:numPr>
          <w:ilvl w:val="0"/>
          <w:numId w:val="16"/>
        </w:numPr>
        <w:jc w:val="both"/>
        <w:rPr>
          <w:rFonts w:ascii="Bookman Old Style" w:hAnsi="Bookman Old Style"/>
          <w:i/>
          <w:sz w:val="22"/>
        </w:rPr>
      </w:pPr>
      <w:r>
        <w:rPr>
          <w:rFonts w:ascii="Bookman Old Style" w:hAnsi="Bookman Old Style"/>
          <w:i/>
          <w:sz w:val="22"/>
        </w:rPr>
        <w:t>Plantas y/o unidades c</w:t>
      </w:r>
      <w:r w:rsidR="007100D1">
        <w:rPr>
          <w:rFonts w:ascii="Bookman Old Style" w:hAnsi="Bookman Old Style"/>
          <w:i/>
          <w:sz w:val="22"/>
        </w:rPr>
        <w:t xml:space="preserve">uyo inicio del Período de Vigencia de la Obligación es inferior a un año, contado a partir de la </w:t>
      </w:r>
      <w:r w:rsidR="00D52067">
        <w:rPr>
          <w:rFonts w:ascii="Bookman Old Style" w:hAnsi="Bookman Old Style"/>
          <w:i/>
          <w:sz w:val="22"/>
        </w:rPr>
        <w:t xml:space="preserve">publicación </w:t>
      </w:r>
      <w:r w:rsidR="007100D1">
        <w:rPr>
          <w:rFonts w:ascii="Bookman Old Style" w:hAnsi="Bookman Old Style"/>
          <w:i/>
          <w:sz w:val="22"/>
        </w:rPr>
        <w:t>en el Diario Oficial</w:t>
      </w:r>
      <w:r w:rsidR="00D52067">
        <w:rPr>
          <w:rFonts w:ascii="Bookman Old Style" w:hAnsi="Bookman Old Style"/>
          <w:i/>
          <w:sz w:val="22"/>
        </w:rPr>
        <w:t xml:space="preserve"> de la Resolución CREG-181 de 2010, deberán e</w:t>
      </w:r>
      <w:r w:rsidR="007100D1">
        <w:rPr>
          <w:rFonts w:ascii="Bookman Old Style" w:hAnsi="Bookman Old Style"/>
          <w:i/>
          <w:sz w:val="22"/>
        </w:rPr>
        <w:t>ntregar el documento de logística de abastecimiento dentro de los cuatro (4) meses siguientes a la publicación</w:t>
      </w:r>
      <w:r w:rsidR="005A0981">
        <w:rPr>
          <w:rFonts w:ascii="Bookman Old Style" w:hAnsi="Bookman Old Style"/>
          <w:i/>
          <w:sz w:val="22"/>
        </w:rPr>
        <w:t xml:space="preserve"> en el Diario Oficial </w:t>
      </w:r>
      <w:r w:rsidR="007100D1">
        <w:rPr>
          <w:rFonts w:ascii="Bookman Old Style" w:hAnsi="Bookman Old Style"/>
          <w:i/>
          <w:sz w:val="22"/>
        </w:rPr>
        <w:t xml:space="preserve"> de </w:t>
      </w:r>
      <w:r w:rsidR="005A0981">
        <w:rPr>
          <w:rFonts w:ascii="Bookman Old Style" w:hAnsi="Bookman Old Style"/>
          <w:i/>
          <w:sz w:val="22"/>
        </w:rPr>
        <w:t xml:space="preserve">Resolución CREG </w:t>
      </w:r>
      <w:r w:rsidR="00FB1009">
        <w:rPr>
          <w:rFonts w:ascii="Bookman Old Style" w:hAnsi="Bookman Old Style"/>
          <w:i/>
          <w:sz w:val="22"/>
        </w:rPr>
        <w:t>003</w:t>
      </w:r>
      <w:r w:rsidR="005A0981">
        <w:rPr>
          <w:rFonts w:ascii="Bookman Old Style" w:hAnsi="Bookman Old Style"/>
          <w:i/>
          <w:sz w:val="22"/>
        </w:rPr>
        <w:t xml:space="preserve"> de 2011</w:t>
      </w:r>
      <w:r w:rsidR="00D52067">
        <w:rPr>
          <w:rFonts w:ascii="Bookman Old Style" w:hAnsi="Bookman Old Style"/>
          <w:i/>
          <w:sz w:val="22"/>
        </w:rPr>
        <w:t>.</w:t>
      </w:r>
    </w:p>
    <w:p w:rsidR="00D52067" w:rsidRPr="00D52067" w:rsidRDefault="00D52067" w:rsidP="00D52067">
      <w:pPr>
        <w:jc w:val="both"/>
        <w:rPr>
          <w:rFonts w:ascii="Bookman Old Style" w:hAnsi="Bookman Old Style"/>
          <w:i/>
          <w:sz w:val="22"/>
        </w:rPr>
      </w:pPr>
    </w:p>
    <w:p w:rsidR="007100D1" w:rsidRPr="00F77438" w:rsidRDefault="007100D1" w:rsidP="007100D1">
      <w:pPr>
        <w:pStyle w:val="Prrafodelista"/>
        <w:numPr>
          <w:ilvl w:val="0"/>
          <w:numId w:val="16"/>
        </w:numPr>
        <w:jc w:val="both"/>
        <w:rPr>
          <w:rFonts w:ascii="Bookman Old Style" w:hAnsi="Bookman Old Style"/>
          <w:i/>
          <w:sz w:val="22"/>
        </w:rPr>
      </w:pPr>
      <w:r w:rsidRPr="007100D1">
        <w:rPr>
          <w:rFonts w:ascii="Bookman Old Style" w:hAnsi="Bookman Old Style"/>
          <w:i/>
          <w:sz w:val="22"/>
        </w:rPr>
        <w:t>Plantas y/o unidades cuyo inicio del Período de Vigencia de la Obligación es igual o mayor a un año, contado a partir de la publicación en el Diario Oficial</w:t>
      </w:r>
      <w:r w:rsidR="00D52067">
        <w:rPr>
          <w:rFonts w:ascii="Bookman Old Style" w:hAnsi="Bookman Old Style"/>
          <w:i/>
          <w:sz w:val="22"/>
        </w:rPr>
        <w:t xml:space="preserve"> de la Resolución CREG-181 de 2010, deberán e</w:t>
      </w:r>
      <w:r w:rsidRPr="007100D1">
        <w:rPr>
          <w:rFonts w:ascii="Bookman Old Style" w:hAnsi="Bookman Old Style"/>
          <w:i/>
          <w:sz w:val="22"/>
        </w:rPr>
        <w:t xml:space="preserve">ntregar el documento de logística </w:t>
      </w:r>
      <w:r>
        <w:rPr>
          <w:rFonts w:ascii="Bookman Old Style" w:hAnsi="Bookman Old Style"/>
          <w:i/>
          <w:sz w:val="22"/>
        </w:rPr>
        <w:t xml:space="preserve">de abastecimiento a más tardar </w:t>
      </w:r>
      <w:r w:rsidRPr="007100D1">
        <w:rPr>
          <w:rFonts w:ascii="Bookman Old Style" w:hAnsi="Bookman Old Style"/>
          <w:i/>
          <w:sz w:val="22"/>
        </w:rPr>
        <w:t>un año antes del inicio del Período de Vigencia de la Obligación</w:t>
      </w:r>
      <w:r w:rsidR="005A0981">
        <w:rPr>
          <w:rFonts w:ascii="Bookman Old Style" w:hAnsi="Bookman Old Style"/>
          <w:i/>
          <w:sz w:val="22"/>
        </w:rPr>
        <w:t xml:space="preserve">. En la misma fecha deberán entregar </w:t>
      </w:r>
      <w:r w:rsidR="00656FAB">
        <w:rPr>
          <w:rFonts w:ascii="Bookman Old Style" w:hAnsi="Bookman Old Style"/>
          <w:i/>
          <w:sz w:val="22"/>
        </w:rPr>
        <w:t>el contrato de suministro de combustible de acuerdo con los definido en la norma vigente al momento de la asignación</w:t>
      </w:r>
      <w:r w:rsidRPr="007100D1">
        <w:rPr>
          <w:rFonts w:ascii="Bookman Old Style" w:hAnsi="Bookman Old Style"/>
          <w:i/>
          <w:sz w:val="22"/>
        </w:rPr>
        <w:t>.</w:t>
      </w:r>
      <w:r w:rsidR="0019557F">
        <w:rPr>
          <w:rFonts w:ascii="Bookman Old Style" w:hAnsi="Bookman Old Style"/>
          <w:i/>
          <w:sz w:val="22"/>
        </w:rPr>
        <w:t>”</w:t>
      </w:r>
      <w:r w:rsidRPr="007100D1">
        <w:rPr>
          <w:rFonts w:ascii="Bookman Old Style" w:hAnsi="Bookman Old Style"/>
          <w:i/>
          <w:sz w:val="22"/>
        </w:rPr>
        <w:t xml:space="preserve"> </w:t>
      </w:r>
    </w:p>
    <w:p w:rsidR="00C435C3" w:rsidRPr="00C435C3" w:rsidRDefault="00C435C3" w:rsidP="00C435C3">
      <w:pPr>
        <w:rPr>
          <w:rFonts w:ascii="Bookman Old Style" w:hAnsi="Bookman Old Style"/>
        </w:rPr>
      </w:pPr>
    </w:p>
    <w:p w:rsidR="00C435C3" w:rsidRPr="00D90FCB" w:rsidRDefault="00D90FCB" w:rsidP="000A557A">
      <w:pPr>
        <w:widowControl w:val="0"/>
        <w:adjustRightInd w:val="0"/>
        <w:ind w:left="0"/>
        <w:jc w:val="both"/>
        <w:textAlignment w:val="baseline"/>
        <w:rPr>
          <w:rFonts w:ascii="Bookman Old Style" w:hAnsi="Bookman Old Style"/>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 xml:space="preserve">. </w:t>
      </w:r>
      <w:r>
        <w:rPr>
          <w:rFonts w:ascii="Bookman Old Style" w:hAnsi="Bookman Old Style"/>
          <w:b/>
        </w:rPr>
        <w:t xml:space="preserve">Vigencia. </w:t>
      </w:r>
      <w:r>
        <w:rPr>
          <w:rFonts w:ascii="Bookman Old Style" w:hAnsi="Bookman Old Style"/>
        </w:rPr>
        <w:t>Esta resolución rige a partir de su publicación en el Diario Oficial y deroga las normas que le sean contrarias.</w:t>
      </w:r>
    </w:p>
    <w:p w:rsidR="00C435C3" w:rsidRPr="00C435C3" w:rsidRDefault="00C435C3" w:rsidP="00C435C3">
      <w:pPr>
        <w:widowControl w:val="0"/>
        <w:adjustRightInd w:val="0"/>
        <w:jc w:val="center"/>
        <w:textAlignment w:val="baseline"/>
        <w:rPr>
          <w:rFonts w:ascii="Bookman Old Style" w:hAnsi="Bookman Old Style"/>
        </w:rPr>
      </w:pPr>
    </w:p>
    <w:p w:rsidR="00C435C3" w:rsidRPr="00C435C3" w:rsidRDefault="00C435C3" w:rsidP="00C435C3">
      <w:pPr>
        <w:rPr>
          <w:rFonts w:ascii="Bookman Old Style" w:hAnsi="Bookman Old Style"/>
        </w:rPr>
      </w:pPr>
    </w:p>
    <w:p w:rsidR="00C435C3" w:rsidRPr="00C435C3" w:rsidRDefault="00C435C3" w:rsidP="00C435C3">
      <w:pPr>
        <w:jc w:val="center"/>
        <w:rPr>
          <w:rFonts w:ascii="Bookman Old Style" w:hAnsi="Bookman Old Style"/>
          <w:b/>
        </w:rPr>
      </w:pPr>
      <w:r w:rsidRPr="00C435C3">
        <w:rPr>
          <w:rFonts w:ascii="Bookman Old Style" w:hAnsi="Bookman Old Style"/>
          <w:b/>
        </w:rPr>
        <w:t>PU</w:t>
      </w:r>
      <w:r w:rsidR="0019557F">
        <w:rPr>
          <w:rFonts w:ascii="Bookman Old Style" w:hAnsi="Bookman Old Style"/>
          <w:b/>
        </w:rPr>
        <w:t>B</w:t>
      </w:r>
      <w:r w:rsidRPr="00C435C3">
        <w:rPr>
          <w:rFonts w:ascii="Bookman Old Style" w:hAnsi="Bookman Old Style"/>
          <w:b/>
        </w:rPr>
        <w:t>LÍQUESE Y CÚMPLASE</w:t>
      </w:r>
    </w:p>
    <w:p w:rsidR="00C435C3" w:rsidRPr="00C435C3" w:rsidRDefault="00C435C3" w:rsidP="00C435C3">
      <w:pPr>
        <w:rPr>
          <w:rFonts w:ascii="Bookman Old Style" w:hAnsi="Bookman Old Style"/>
        </w:rPr>
      </w:pPr>
    </w:p>
    <w:p w:rsidR="00C435C3" w:rsidRPr="00C435C3" w:rsidRDefault="00C435C3" w:rsidP="00C435C3">
      <w:pPr>
        <w:rPr>
          <w:rFonts w:ascii="Bookman Old Style" w:hAnsi="Bookman Old Style"/>
        </w:rPr>
      </w:pPr>
    </w:p>
    <w:p w:rsidR="00C435C3" w:rsidRPr="00C435C3" w:rsidRDefault="00C435C3" w:rsidP="00C435C3">
      <w:pPr>
        <w:ind w:left="0"/>
        <w:rPr>
          <w:rFonts w:ascii="Bookman Old Style" w:hAnsi="Bookman Old Style"/>
        </w:rPr>
      </w:pPr>
      <w:r w:rsidRPr="00C435C3">
        <w:rPr>
          <w:rFonts w:ascii="Bookman Old Style" w:hAnsi="Bookman Old Style"/>
        </w:rPr>
        <w:t>Dada en Bogotá. D. C., a los</w:t>
      </w:r>
    </w:p>
    <w:p w:rsidR="00C435C3" w:rsidRPr="00C435C3" w:rsidRDefault="00C435C3" w:rsidP="00C435C3">
      <w:pPr>
        <w:ind w:left="0"/>
        <w:rPr>
          <w:rFonts w:ascii="Bookman Old Style" w:hAnsi="Bookman Old Style"/>
        </w:rPr>
      </w:pPr>
    </w:p>
    <w:p w:rsidR="00C435C3" w:rsidRDefault="00C435C3" w:rsidP="00C435C3">
      <w:pPr>
        <w:ind w:left="0"/>
        <w:rPr>
          <w:rFonts w:ascii="Bookman Old Style" w:hAnsi="Bookman Old Style"/>
        </w:rPr>
      </w:pPr>
    </w:p>
    <w:p w:rsidR="00D90FCB" w:rsidRDefault="00D90FCB" w:rsidP="00C435C3">
      <w:pPr>
        <w:ind w:left="0"/>
        <w:rPr>
          <w:rFonts w:ascii="Bookman Old Style" w:hAnsi="Bookman Old Style"/>
        </w:rPr>
      </w:pPr>
    </w:p>
    <w:p w:rsidR="00D90FCB" w:rsidRDefault="00D90FCB" w:rsidP="00C435C3">
      <w:pPr>
        <w:ind w:left="0"/>
        <w:rPr>
          <w:rFonts w:ascii="Bookman Old Style" w:hAnsi="Bookman Old Style"/>
        </w:rPr>
      </w:pPr>
    </w:p>
    <w:p w:rsidR="00D90FCB" w:rsidRDefault="00D90FCB" w:rsidP="00C435C3">
      <w:pPr>
        <w:ind w:left="0"/>
        <w:rPr>
          <w:rFonts w:ascii="Bookman Old Style" w:hAnsi="Bookman Old Style"/>
        </w:rPr>
      </w:pPr>
    </w:p>
    <w:p w:rsidR="00D90FCB" w:rsidRDefault="00D90FCB" w:rsidP="00C435C3">
      <w:pPr>
        <w:ind w:left="0"/>
        <w:rPr>
          <w:rFonts w:ascii="Bookman Old Style" w:hAnsi="Bookman Old Style"/>
        </w:rPr>
      </w:pPr>
    </w:p>
    <w:p w:rsidR="00C435C3" w:rsidRDefault="00C435C3" w:rsidP="00C435C3">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C435C3" w:rsidRPr="00720520" w:rsidTr="00CA3A3D">
        <w:trPr>
          <w:jc w:val="right"/>
        </w:trPr>
        <w:tc>
          <w:tcPr>
            <w:tcW w:w="4503" w:type="dxa"/>
          </w:tcPr>
          <w:p w:rsidR="00C435C3" w:rsidRPr="00720520" w:rsidRDefault="00C435C3" w:rsidP="005F6F41">
            <w:pPr>
              <w:ind w:left="204"/>
              <w:rPr>
                <w:rFonts w:ascii="Bookman Old Style" w:hAnsi="Bookman Old Style" w:cs="Arial"/>
                <w:b/>
                <w:spacing w:val="-3"/>
                <w:lang w:val="es-ES_tradnl"/>
              </w:rPr>
            </w:pPr>
            <w:r>
              <w:rPr>
                <w:rFonts w:ascii="Bookman Old Style" w:hAnsi="Bookman Old Style" w:cs="Arial"/>
                <w:b/>
                <w:spacing w:val="-3"/>
              </w:rPr>
              <w:t xml:space="preserve">  </w:t>
            </w:r>
            <w:r w:rsidR="005F6F41">
              <w:rPr>
                <w:rFonts w:ascii="Bookman Old Style" w:hAnsi="Bookman Old Style" w:cs="Arial"/>
                <w:b/>
                <w:spacing w:val="-3"/>
              </w:rPr>
              <w:t>TOMÁS GONZÁLEZ ESTRADA</w:t>
            </w:r>
          </w:p>
        </w:tc>
        <w:tc>
          <w:tcPr>
            <w:tcW w:w="5258" w:type="dxa"/>
          </w:tcPr>
          <w:p w:rsidR="00C435C3" w:rsidRPr="00720520" w:rsidRDefault="00C435C3" w:rsidP="00275DAB">
            <w:pPr>
              <w:ind w:left="161" w:right="567"/>
              <w:jc w:val="right"/>
              <w:rPr>
                <w:rFonts w:ascii="Bookman Old Style" w:hAnsi="Bookman Old Style" w:cs="Arial"/>
                <w:b/>
                <w:spacing w:val="-3"/>
                <w:lang w:val="es-ES_tradnl"/>
              </w:rPr>
            </w:pPr>
            <w:r w:rsidRPr="00720520">
              <w:rPr>
                <w:rFonts w:ascii="Bookman Old Style" w:hAnsi="Bookman Old Style" w:cs="Arial"/>
                <w:b/>
                <w:spacing w:val="-3"/>
                <w:lang w:val="es-ES_tradnl"/>
              </w:rPr>
              <w:t>JAVIER AUGUSTO DÍAZ VELASCO</w:t>
            </w:r>
          </w:p>
        </w:tc>
      </w:tr>
      <w:tr w:rsidR="00C435C3" w:rsidRPr="00720520" w:rsidTr="00CA3A3D">
        <w:trPr>
          <w:jc w:val="right"/>
        </w:trPr>
        <w:tc>
          <w:tcPr>
            <w:tcW w:w="4503" w:type="dxa"/>
          </w:tcPr>
          <w:p w:rsidR="00C435C3" w:rsidRPr="00720520" w:rsidRDefault="00C435C3" w:rsidP="00275DAB">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 Minas y Energía</w:t>
            </w:r>
          </w:p>
          <w:p w:rsidR="00C435C3" w:rsidRPr="00720520" w:rsidRDefault="00C435C3" w:rsidP="005F6F41">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C435C3" w:rsidRPr="00720520" w:rsidRDefault="00C435C3" w:rsidP="00275DAB">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C435C3" w:rsidRPr="00720520" w:rsidTr="00CA3A3D">
        <w:trPr>
          <w:jc w:val="right"/>
        </w:trPr>
        <w:tc>
          <w:tcPr>
            <w:tcW w:w="4503" w:type="dxa"/>
          </w:tcPr>
          <w:p w:rsidR="00C435C3" w:rsidRPr="00720520" w:rsidRDefault="00C435C3" w:rsidP="00275DAB">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C435C3" w:rsidRPr="00720520" w:rsidRDefault="00C435C3" w:rsidP="00275DAB">
            <w:pPr>
              <w:rPr>
                <w:rFonts w:ascii="Bookman Old Style" w:hAnsi="Bookman Old Style" w:cs="Arial"/>
                <w:spacing w:val="-3"/>
              </w:rPr>
            </w:pPr>
          </w:p>
        </w:tc>
      </w:tr>
    </w:tbl>
    <w:p w:rsidR="00C435C3" w:rsidRDefault="00C435C3" w:rsidP="00C435C3">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B351B4" w:rsidRPr="00012259" w:rsidRDefault="00B351B4" w:rsidP="00012259">
      <w:pPr>
        <w:ind w:left="0"/>
        <w:rPr>
          <w:rFonts w:ascii="Bookman Old Style" w:hAnsi="Bookman Old Style"/>
          <w:bCs/>
          <w:lang w:val="es-CO"/>
        </w:rPr>
      </w:pPr>
    </w:p>
    <w:sectPr w:rsidR="00B351B4" w:rsidRPr="00012259"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CB" w:rsidRDefault="00B52ACB">
      <w:r>
        <w:separator/>
      </w:r>
    </w:p>
  </w:endnote>
  <w:endnote w:type="continuationSeparator" w:id="0">
    <w:p w:rsidR="00B52ACB" w:rsidRDefault="00B5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CB" w:rsidRDefault="00B52ACB">
      <w:r>
        <w:separator/>
      </w:r>
    </w:p>
  </w:footnote>
  <w:footnote w:type="continuationSeparator" w:id="0">
    <w:p w:rsidR="00B52ACB" w:rsidRDefault="00B52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1D4" w:rsidRDefault="00CC51D4" w:rsidP="00951F79">
    <w:pPr>
      <w:pStyle w:val="Ttulo1"/>
      <w:ind w:right="6"/>
      <w:jc w:val="left"/>
      <w:rPr>
        <w:rFonts w:ascii="Bookman Old Style" w:hAnsi="Bookman Old Style" w:cs="Arial"/>
        <w:b w:val="0"/>
        <w:sz w:val="22"/>
        <w:szCs w:val="22"/>
      </w:rPr>
    </w:pPr>
  </w:p>
  <w:p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951F79">
      <w:rPr>
        <w:rFonts w:ascii="Bookman Old Style" w:hAnsi="Bookman Old Style" w:cs="Arial"/>
        <w:b w:val="0"/>
        <w:sz w:val="22"/>
        <w:szCs w:val="22"/>
      </w:rPr>
      <w:t>________________</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2338A3"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2338A3" w:rsidRPr="00654384">
      <w:rPr>
        <w:rFonts w:ascii="Bookman Old Style" w:hAnsi="Bookman Old Style" w:cs="Arial"/>
        <w:b w:val="0"/>
        <w:sz w:val="22"/>
        <w:szCs w:val="22"/>
      </w:rPr>
      <w:fldChar w:fldCharType="separate"/>
    </w:r>
    <w:r w:rsidR="00D33ECA">
      <w:rPr>
        <w:rFonts w:ascii="Bookman Old Style" w:hAnsi="Bookman Old Style" w:cs="Arial"/>
        <w:b w:val="0"/>
        <w:noProof/>
        <w:sz w:val="22"/>
        <w:szCs w:val="22"/>
      </w:rPr>
      <w:t>3</w:t>
    </w:r>
    <w:r w:rsidR="002338A3"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D33ECA">
      <w:fldChar w:fldCharType="begin"/>
    </w:r>
    <w:r w:rsidR="00D33ECA">
      <w:instrText xml:space="preserve"> NUMPAGES  \* MERGEFORMAT </w:instrText>
    </w:r>
    <w:r w:rsidR="00D33ECA">
      <w:fldChar w:fldCharType="separate"/>
    </w:r>
    <w:r w:rsidR="00D33ECA" w:rsidRPr="00D33ECA">
      <w:rPr>
        <w:rFonts w:ascii="Bookman Old Style" w:hAnsi="Bookman Old Style" w:cs="Arial"/>
        <w:b w:val="0"/>
        <w:noProof/>
        <w:sz w:val="22"/>
        <w:szCs w:val="22"/>
      </w:rPr>
      <w:t>3</w:t>
    </w:r>
    <w:r w:rsidR="00D33ECA">
      <w:rPr>
        <w:rFonts w:ascii="Bookman Old Style" w:hAnsi="Bookman Old Style" w:cs="Arial"/>
        <w:b w:val="0"/>
        <w:noProof/>
        <w:sz w:val="22"/>
        <w:szCs w:val="22"/>
      </w:rPr>
      <w:fldChar w:fldCharType="end"/>
    </w:r>
  </w:p>
  <w:p w:rsidR="006F6D95" w:rsidRDefault="00D33EC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3A31F6" w:rsidRPr="00700B39" w:rsidRDefault="00700B39" w:rsidP="00AD01E4">
    <w:pPr>
      <w:pBdr>
        <w:bottom w:val="single" w:sz="4" w:space="1" w:color="auto"/>
      </w:pBdr>
      <w:ind w:left="142" w:right="148"/>
      <w:rPr>
        <w:b/>
        <w:lang w:val="es-CO"/>
      </w:rPr>
    </w:pPr>
    <w:r w:rsidRPr="00700B39">
      <w:rPr>
        <w:rFonts w:ascii="Bookman Old Style" w:hAnsi="Bookman Old Style"/>
        <w:sz w:val="22"/>
        <w:szCs w:val="22"/>
        <w:lang w:val="es-CO"/>
      </w:rPr>
      <w:t>Por la cual se modifica el parágrafo del artículo 3 de la Resoluci</w:t>
    </w:r>
    <w:r>
      <w:rPr>
        <w:rFonts w:ascii="Bookman Old Style" w:hAnsi="Bookman Old Style"/>
        <w:sz w:val="22"/>
        <w:szCs w:val="22"/>
        <w:lang w:val="es-CO"/>
      </w:rPr>
      <w:t>ón CREG</w:t>
    </w:r>
    <w:r w:rsidR="005A0981">
      <w:rPr>
        <w:rFonts w:ascii="Bookman Old Style" w:hAnsi="Bookman Old Style"/>
        <w:sz w:val="22"/>
        <w:szCs w:val="22"/>
        <w:lang w:val="es-CO"/>
      </w:rPr>
      <w:t xml:space="preserve"> </w:t>
    </w:r>
    <w:r>
      <w:rPr>
        <w:rFonts w:ascii="Bookman Old Style" w:hAnsi="Bookman Old Style"/>
        <w:sz w:val="22"/>
        <w:szCs w:val="22"/>
        <w:lang w:val="es-CO"/>
      </w:rPr>
      <w:t>181 de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rsidR="00725FA4" w:rsidRDefault="00725FA4">
    <w:pPr>
      <w:pStyle w:val="Encabezado"/>
      <w:jc w:val="center"/>
      <w:rPr>
        <w:rFonts w:ascii="Arial" w:hAnsi="Arial" w:cs="Arial"/>
        <w:spacing w:val="20"/>
        <w:sz w:val="20"/>
      </w:rPr>
    </w:pPr>
  </w:p>
  <w:p w:rsidR="00725FA4" w:rsidRDefault="00D33EC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850743"/>
    <w:multiLevelType w:val="hybridMultilevel"/>
    <w:tmpl w:val="8DC2C9E4"/>
    <w:lvl w:ilvl="0" w:tplc="CF80190A">
      <w:start w:val="1"/>
      <w:numFmt w:val="lowerRoman"/>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8">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4"/>
  </w:num>
  <w:num w:numId="5">
    <w:abstractNumId w:val="10"/>
  </w:num>
  <w:num w:numId="6">
    <w:abstractNumId w:val="2"/>
  </w:num>
  <w:num w:numId="7">
    <w:abstractNumId w:val="1"/>
  </w:num>
  <w:num w:numId="8">
    <w:abstractNumId w:val="12"/>
  </w:num>
  <w:num w:numId="9">
    <w:abstractNumId w:val="11"/>
  </w:num>
  <w:num w:numId="10">
    <w:abstractNumId w:val="8"/>
  </w:num>
  <w:num w:numId="11">
    <w:abstractNumId w:val="15"/>
  </w:num>
  <w:num w:numId="12">
    <w:abstractNumId w:val="13"/>
  </w:num>
  <w:num w:numId="13">
    <w:abstractNumId w:val="6"/>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276A"/>
    <w:rsid w:val="00006AE2"/>
    <w:rsid w:val="000076A1"/>
    <w:rsid w:val="00012259"/>
    <w:rsid w:val="00025383"/>
    <w:rsid w:val="00032B0B"/>
    <w:rsid w:val="00063657"/>
    <w:rsid w:val="00076680"/>
    <w:rsid w:val="0008073E"/>
    <w:rsid w:val="00091CDB"/>
    <w:rsid w:val="000A19AC"/>
    <w:rsid w:val="000A557A"/>
    <w:rsid w:val="000B7F96"/>
    <w:rsid w:val="000D26F8"/>
    <w:rsid w:val="00113754"/>
    <w:rsid w:val="0011761E"/>
    <w:rsid w:val="001405C6"/>
    <w:rsid w:val="00141013"/>
    <w:rsid w:val="00192CBF"/>
    <w:rsid w:val="00192FF1"/>
    <w:rsid w:val="0019557F"/>
    <w:rsid w:val="001A5F1B"/>
    <w:rsid w:val="001B1C22"/>
    <w:rsid w:val="001B34C6"/>
    <w:rsid w:val="001D7832"/>
    <w:rsid w:val="001E2DF3"/>
    <w:rsid w:val="00211D34"/>
    <w:rsid w:val="00214F04"/>
    <w:rsid w:val="002338A3"/>
    <w:rsid w:val="00266CD6"/>
    <w:rsid w:val="00275DAB"/>
    <w:rsid w:val="002A782A"/>
    <w:rsid w:val="002B11E2"/>
    <w:rsid w:val="002B24B8"/>
    <w:rsid w:val="002D3AE9"/>
    <w:rsid w:val="002D4510"/>
    <w:rsid w:val="002F0734"/>
    <w:rsid w:val="002F46E7"/>
    <w:rsid w:val="003101DA"/>
    <w:rsid w:val="00314757"/>
    <w:rsid w:val="003211CE"/>
    <w:rsid w:val="0035403A"/>
    <w:rsid w:val="0036394B"/>
    <w:rsid w:val="003709B5"/>
    <w:rsid w:val="003759C2"/>
    <w:rsid w:val="00397365"/>
    <w:rsid w:val="003A31F6"/>
    <w:rsid w:val="003C3447"/>
    <w:rsid w:val="003D076C"/>
    <w:rsid w:val="003E78B5"/>
    <w:rsid w:val="00403B6D"/>
    <w:rsid w:val="00415BAB"/>
    <w:rsid w:val="00415ED2"/>
    <w:rsid w:val="0042068C"/>
    <w:rsid w:val="00425FD4"/>
    <w:rsid w:val="0047122B"/>
    <w:rsid w:val="00473B7A"/>
    <w:rsid w:val="00476DBB"/>
    <w:rsid w:val="0048515F"/>
    <w:rsid w:val="00487B9F"/>
    <w:rsid w:val="004960E9"/>
    <w:rsid w:val="004A2E88"/>
    <w:rsid w:val="004A5305"/>
    <w:rsid w:val="004D7634"/>
    <w:rsid w:val="005300D3"/>
    <w:rsid w:val="00544F82"/>
    <w:rsid w:val="00593C4F"/>
    <w:rsid w:val="005946A8"/>
    <w:rsid w:val="005A0981"/>
    <w:rsid w:val="005A4407"/>
    <w:rsid w:val="005A59EF"/>
    <w:rsid w:val="005F6F41"/>
    <w:rsid w:val="00625DC6"/>
    <w:rsid w:val="0064391D"/>
    <w:rsid w:val="00651821"/>
    <w:rsid w:val="00654384"/>
    <w:rsid w:val="00656FAB"/>
    <w:rsid w:val="006675CD"/>
    <w:rsid w:val="00684D9B"/>
    <w:rsid w:val="00697556"/>
    <w:rsid w:val="006B4C2B"/>
    <w:rsid w:val="006B6D47"/>
    <w:rsid w:val="006C5AFE"/>
    <w:rsid w:val="006F6D95"/>
    <w:rsid w:val="00700B39"/>
    <w:rsid w:val="00706F13"/>
    <w:rsid w:val="007072E8"/>
    <w:rsid w:val="007100D1"/>
    <w:rsid w:val="0071618D"/>
    <w:rsid w:val="00725FA4"/>
    <w:rsid w:val="00740446"/>
    <w:rsid w:val="007438A9"/>
    <w:rsid w:val="0074491E"/>
    <w:rsid w:val="00775964"/>
    <w:rsid w:val="00795BFB"/>
    <w:rsid w:val="007B2760"/>
    <w:rsid w:val="00806C01"/>
    <w:rsid w:val="008148CC"/>
    <w:rsid w:val="00814E69"/>
    <w:rsid w:val="008211A4"/>
    <w:rsid w:val="00873150"/>
    <w:rsid w:val="0087657D"/>
    <w:rsid w:val="008807D5"/>
    <w:rsid w:val="00880832"/>
    <w:rsid w:val="00886EE1"/>
    <w:rsid w:val="0088727D"/>
    <w:rsid w:val="00897C75"/>
    <w:rsid w:val="008C1130"/>
    <w:rsid w:val="008D18E6"/>
    <w:rsid w:val="008D7A9B"/>
    <w:rsid w:val="008E76AC"/>
    <w:rsid w:val="008F21F6"/>
    <w:rsid w:val="0091163B"/>
    <w:rsid w:val="00921721"/>
    <w:rsid w:val="00951F79"/>
    <w:rsid w:val="00974AB5"/>
    <w:rsid w:val="00984B09"/>
    <w:rsid w:val="0098706D"/>
    <w:rsid w:val="009935FB"/>
    <w:rsid w:val="009D704F"/>
    <w:rsid w:val="009F4A54"/>
    <w:rsid w:val="009F4BEC"/>
    <w:rsid w:val="009F5910"/>
    <w:rsid w:val="00A25FD7"/>
    <w:rsid w:val="00A41F9C"/>
    <w:rsid w:val="00A43AFF"/>
    <w:rsid w:val="00A4601A"/>
    <w:rsid w:val="00A60239"/>
    <w:rsid w:val="00A7793A"/>
    <w:rsid w:val="00A947CB"/>
    <w:rsid w:val="00AA4CC7"/>
    <w:rsid w:val="00AA5E8E"/>
    <w:rsid w:val="00AB6CA7"/>
    <w:rsid w:val="00AD01E4"/>
    <w:rsid w:val="00AD0858"/>
    <w:rsid w:val="00AE02C7"/>
    <w:rsid w:val="00AE7340"/>
    <w:rsid w:val="00AF1BBD"/>
    <w:rsid w:val="00B10207"/>
    <w:rsid w:val="00B141E7"/>
    <w:rsid w:val="00B351B4"/>
    <w:rsid w:val="00B46BCA"/>
    <w:rsid w:val="00B52ACB"/>
    <w:rsid w:val="00B87806"/>
    <w:rsid w:val="00B87EC9"/>
    <w:rsid w:val="00BC38FD"/>
    <w:rsid w:val="00C034CB"/>
    <w:rsid w:val="00C051A8"/>
    <w:rsid w:val="00C054BC"/>
    <w:rsid w:val="00C17897"/>
    <w:rsid w:val="00C409D5"/>
    <w:rsid w:val="00C435C3"/>
    <w:rsid w:val="00C6234B"/>
    <w:rsid w:val="00C63EAE"/>
    <w:rsid w:val="00C7629F"/>
    <w:rsid w:val="00C8661B"/>
    <w:rsid w:val="00CA139A"/>
    <w:rsid w:val="00CA2899"/>
    <w:rsid w:val="00CA3A3D"/>
    <w:rsid w:val="00CA77FB"/>
    <w:rsid w:val="00CB379B"/>
    <w:rsid w:val="00CB5DD0"/>
    <w:rsid w:val="00CC51D4"/>
    <w:rsid w:val="00CC65DA"/>
    <w:rsid w:val="00CF21B9"/>
    <w:rsid w:val="00CF6BF9"/>
    <w:rsid w:val="00D03800"/>
    <w:rsid w:val="00D065D3"/>
    <w:rsid w:val="00D14C94"/>
    <w:rsid w:val="00D33ECA"/>
    <w:rsid w:val="00D342A6"/>
    <w:rsid w:val="00D464BF"/>
    <w:rsid w:val="00D52067"/>
    <w:rsid w:val="00D53E26"/>
    <w:rsid w:val="00D90FCB"/>
    <w:rsid w:val="00DD4F0E"/>
    <w:rsid w:val="00DE4A82"/>
    <w:rsid w:val="00E05E0A"/>
    <w:rsid w:val="00E534CF"/>
    <w:rsid w:val="00E81CB4"/>
    <w:rsid w:val="00E8585B"/>
    <w:rsid w:val="00EA3F15"/>
    <w:rsid w:val="00EA7847"/>
    <w:rsid w:val="00EE2E6E"/>
    <w:rsid w:val="00F0759E"/>
    <w:rsid w:val="00F20BE3"/>
    <w:rsid w:val="00F55C66"/>
    <w:rsid w:val="00F77438"/>
    <w:rsid w:val="00F821A3"/>
    <w:rsid w:val="00F9314A"/>
    <w:rsid w:val="00FB1009"/>
    <w:rsid w:val="00FC58EF"/>
    <w:rsid w:val="00FD33DF"/>
    <w:rsid w:val="00FE3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PLANTILLA1</Template>
  <TotalTime>1</TotalTime>
  <Pages>3</Pages>
  <Words>843</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2011-02-11T17:27:00Z</cp:lastPrinted>
  <dcterms:created xsi:type="dcterms:W3CDTF">2011-02-14T14:52:00Z</dcterms:created>
  <dcterms:modified xsi:type="dcterms:W3CDTF">2011-02-14T14:52:00Z</dcterms:modified>
</cp:coreProperties>
</file>