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61A" w:rsidRPr="00A63CB6" w:rsidRDefault="00173035" w:rsidP="00C31EC7">
      <w:pPr>
        <w:pStyle w:val="Encabezado"/>
        <w:tabs>
          <w:tab w:val="clear" w:pos="8504"/>
          <w:tab w:val="left" w:pos="0"/>
          <w:tab w:val="right" w:pos="9356"/>
        </w:tabs>
        <w:ind w:left="0"/>
        <w:jc w:val="both"/>
        <w:rPr>
          <w:rFonts w:ascii="Bookman Old Style" w:hAnsi="Bookman Old Style"/>
          <w:szCs w:val="24"/>
        </w:rPr>
      </w:pPr>
      <w:bookmarkStart w:id="0" w:name="_GoBack"/>
      <w:bookmarkEnd w:id="0"/>
      <w:r>
        <w:rPr>
          <w:rFonts w:ascii="Bookman Old Style" w:hAnsi="Bookman Old Style"/>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97.15pt;margin-top:-53.35pt;width:52.5pt;height:48.75pt;z-index:251660288" fillcolor="#0c9">
            <v:imagedata r:id="rId9" o:title=""/>
          </v:shape>
          <o:OLEObject Type="Embed" ProgID="PBrush" ShapeID="_x0000_s1029" DrawAspect="Content" ObjectID="_1398780458" r:id="rId10"/>
        </w:pict>
      </w:r>
    </w:p>
    <w:p w:rsidR="0072061A" w:rsidRPr="00A63CB6" w:rsidRDefault="0072061A" w:rsidP="00C31EC7">
      <w:pPr>
        <w:pStyle w:val="Encabezado"/>
        <w:tabs>
          <w:tab w:val="clear" w:pos="8504"/>
          <w:tab w:val="left" w:pos="0"/>
          <w:tab w:val="right" w:pos="9356"/>
        </w:tabs>
        <w:ind w:left="0"/>
        <w:jc w:val="both"/>
        <w:rPr>
          <w:rFonts w:ascii="Bookman Old Style" w:hAnsi="Bookman Old Style"/>
          <w:szCs w:val="24"/>
        </w:rPr>
      </w:pPr>
    </w:p>
    <w:p w:rsidR="0072061A" w:rsidRPr="00A63CB6" w:rsidRDefault="0072061A" w:rsidP="00C31EC7">
      <w:pPr>
        <w:pStyle w:val="Ttulo4"/>
        <w:tabs>
          <w:tab w:val="left" w:pos="0"/>
          <w:tab w:val="right" w:pos="9356"/>
        </w:tabs>
        <w:ind w:left="0"/>
        <w:rPr>
          <w:rFonts w:ascii="Bookman Old Style" w:hAnsi="Bookman Old Style"/>
          <w:b w:val="0"/>
          <w:bCs/>
          <w:noProof/>
          <w:sz w:val="24"/>
          <w:szCs w:val="24"/>
          <w:lang w:val="es-ES"/>
        </w:rPr>
      </w:pPr>
      <w:r w:rsidRPr="00A63CB6">
        <w:rPr>
          <w:rFonts w:ascii="Bookman Old Style" w:hAnsi="Bookman Old Style"/>
          <w:b w:val="0"/>
          <w:bCs/>
          <w:sz w:val="24"/>
          <w:szCs w:val="24"/>
        </w:rPr>
        <w:t>Ministerio de Minas y Energía</w:t>
      </w:r>
    </w:p>
    <w:p w:rsidR="0072061A" w:rsidRPr="00A63CB6" w:rsidRDefault="0072061A" w:rsidP="00C31EC7">
      <w:pPr>
        <w:pStyle w:val="Ttulo4"/>
        <w:tabs>
          <w:tab w:val="left" w:pos="0"/>
          <w:tab w:val="right" w:pos="9356"/>
        </w:tabs>
        <w:ind w:left="0"/>
        <w:rPr>
          <w:rFonts w:ascii="Bookman Old Style" w:hAnsi="Bookman Old Style"/>
          <w:b w:val="0"/>
          <w:bCs/>
          <w:sz w:val="24"/>
          <w:szCs w:val="24"/>
        </w:rPr>
      </w:pPr>
    </w:p>
    <w:p w:rsidR="0072061A" w:rsidRPr="00A63CB6" w:rsidRDefault="0072061A" w:rsidP="00C31EC7">
      <w:pPr>
        <w:pStyle w:val="Ttulo3"/>
        <w:tabs>
          <w:tab w:val="left" w:pos="0"/>
          <w:tab w:val="right" w:pos="9356"/>
        </w:tabs>
        <w:ind w:left="0"/>
        <w:rPr>
          <w:rFonts w:ascii="Bookman Old Style" w:hAnsi="Bookman Old Style" w:cs="Arial"/>
          <w:spacing w:val="20"/>
          <w:szCs w:val="24"/>
        </w:rPr>
      </w:pPr>
      <w:r w:rsidRPr="00A63CB6">
        <w:rPr>
          <w:rFonts w:ascii="Bookman Old Style" w:hAnsi="Bookman Old Style" w:cs="Arial"/>
          <w:spacing w:val="20"/>
          <w:szCs w:val="24"/>
        </w:rPr>
        <w:t>COMISIÓN DE REGULACIÓN DE ENERGÍA Y GAS</w:t>
      </w:r>
    </w:p>
    <w:p w:rsidR="0072061A" w:rsidRPr="00A63CB6" w:rsidRDefault="0072061A" w:rsidP="00C31EC7">
      <w:pPr>
        <w:pStyle w:val="Ttulo5"/>
        <w:tabs>
          <w:tab w:val="left" w:pos="0"/>
          <w:tab w:val="right" w:pos="9356"/>
        </w:tabs>
        <w:ind w:left="0"/>
        <w:rPr>
          <w:rFonts w:ascii="Bookman Old Style" w:hAnsi="Bookman Old Style"/>
          <w:sz w:val="24"/>
          <w:szCs w:val="24"/>
        </w:rPr>
      </w:pPr>
    </w:p>
    <w:p w:rsidR="0072061A" w:rsidRPr="00A63CB6" w:rsidRDefault="0072061A" w:rsidP="00C31EC7">
      <w:pPr>
        <w:pStyle w:val="Ttulo5"/>
        <w:tabs>
          <w:tab w:val="left" w:pos="0"/>
          <w:tab w:val="right" w:pos="9356"/>
        </w:tabs>
        <w:ind w:left="0"/>
        <w:rPr>
          <w:rFonts w:ascii="Bookman Old Style" w:hAnsi="Bookman Old Style"/>
          <w:sz w:val="24"/>
          <w:szCs w:val="24"/>
        </w:rPr>
      </w:pPr>
    </w:p>
    <w:p w:rsidR="0072061A" w:rsidRPr="00A63CB6" w:rsidRDefault="0072061A" w:rsidP="00C31EC7">
      <w:pPr>
        <w:pStyle w:val="Ttulo5"/>
        <w:tabs>
          <w:tab w:val="left" w:pos="0"/>
          <w:tab w:val="right" w:pos="9356"/>
        </w:tabs>
        <w:ind w:left="0"/>
        <w:rPr>
          <w:rFonts w:ascii="Bookman Old Style" w:hAnsi="Bookman Old Style"/>
          <w:sz w:val="24"/>
          <w:szCs w:val="24"/>
        </w:rPr>
      </w:pPr>
      <w:r w:rsidRPr="00A63CB6">
        <w:rPr>
          <w:rFonts w:ascii="Bookman Old Style" w:hAnsi="Bookman Old Style"/>
          <w:sz w:val="24"/>
          <w:szCs w:val="24"/>
        </w:rPr>
        <w:t>RESOLUCIÓN No.                   DE 201</w:t>
      </w:r>
      <w:r w:rsidR="00FB2498" w:rsidRPr="00A63CB6">
        <w:rPr>
          <w:rFonts w:ascii="Bookman Old Style" w:hAnsi="Bookman Old Style"/>
          <w:sz w:val="24"/>
          <w:szCs w:val="24"/>
        </w:rPr>
        <w:t>2</w:t>
      </w:r>
    </w:p>
    <w:p w:rsidR="0072061A" w:rsidRPr="00A63CB6" w:rsidRDefault="0072061A" w:rsidP="00C31EC7">
      <w:pPr>
        <w:tabs>
          <w:tab w:val="left" w:pos="0"/>
          <w:tab w:val="right" w:pos="9356"/>
        </w:tabs>
        <w:ind w:left="0"/>
        <w:jc w:val="center"/>
        <w:rPr>
          <w:rFonts w:ascii="Bookman Old Style" w:hAnsi="Bookman Old Style" w:cs="Arial"/>
          <w:b/>
          <w:snapToGrid w:val="0"/>
          <w:color w:val="000000"/>
          <w:lang w:val="es-ES_tradnl"/>
        </w:rPr>
      </w:pPr>
    </w:p>
    <w:p w:rsidR="0072061A" w:rsidRPr="00A63CB6" w:rsidRDefault="0072061A" w:rsidP="00C31EC7">
      <w:pPr>
        <w:pStyle w:val="Ttulo3"/>
        <w:tabs>
          <w:tab w:val="left" w:pos="0"/>
          <w:tab w:val="right" w:pos="9356"/>
        </w:tabs>
        <w:ind w:left="0"/>
        <w:rPr>
          <w:rFonts w:ascii="Bookman Old Style" w:hAnsi="Bookman Old Style"/>
          <w:b w:val="0"/>
          <w:snapToGrid/>
          <w:szCs w:val="24"/>
        </w:rPr>
      </w:pPr>
      <w:r w:rsidRPr="00A63CB6">
        <w:rPr>
          <w:rFonts w:ascii="Bookman Old Style" w:hAnsi="Bookman Old Style"/>
          <w:b w:val="0"/>
          <w:szCs w:val="24"/>
        </w:rPr>
        <w:t>(                                  )</w:t>
      </w:r>
    </w:p>
    <w:p w:rsidR="0072061A" w:rsidRPr="00A63CB6" w:rsidRDefault="0072061A" w:rsidP="00C31EC7">
      <w:pPr>
        <w:ind w:left="0"/>
        <w:rPr>
          <w:rFonts w:ascii="Bookman Old Style" w:hAnsi="Bookman Old Style"/>
          <w:bCs/>
          <w:lang w:val="es-CO"/>
        </w:rPr>
      </w:pPr>
    </w:p>
    <w:p w:rsidR="0072061A" w:rsidRDefault="0072061A" w:rsidP="00C31EC7">
      <w:pPr>
        <w:pStyle w:val="Sinespaciado"/>
        <w:jc w:val="both"/>
        <w:rPr>
          <w:rFonts w:ascii="Bookman Old Style" w:hAnsi="Bookman Old Style" w:cs="Arial"/>
          <w:b/>
          <w:sz w:val="24"/>
          <w:szCs w:val="24"/>
        </w:rPr>
      </w:pPr>
    </w:p>
    <w:p w:rsidR="00AB5FF7" w:rsidRPr="00A63CB6" w:rsidRDefault="00AB5FF7" w:rsidP="00C31EC7">
      <w:pPr>
        <w:pStyle w:val="Sinespaciado"/>
        <w:jc w:val="both"/>
        <w:rPr>
          <w:rFonts w:ascii="Bookman Old Style" w:hAnsi="Bookman Old Style" w:cs="Arial"/>
          <w:b/>
          <w:sz w:val="24"/>
          <w:szCs w:val="24"/>
        </w:rPr>
      </w:pPr>
    </w:p>
    <w:p w:rsidR="0072061A" w:rsidRPr="00A63CB6" w:rsidRDefault="0072061A" w:rsidP="00C31EC7">
      <w:pPr>
        <w:ind w:left="0"/>
        <w:jc w:val="center"/>
        <w:rPr>
          <w:rFonts w:ascii="Bookman Old Style" w:hAnsi="Bookman Old Style" w:cs="Arial"/>
          <w:lang w:eastAsia="es-CO"/>
        </w:rPr>
      </w:pPr>
      <w:r w:rsidRPr="00A63CB6">
        <w:rPr>
          <w:rFonts w:ascii="Bookman Old Style" w:hAnsi="Bookman Old Style" w:cs="Arial"/>
          <w:color w:val="000000" w:themeColor="text1"/>
          <w:lang w:eastAsia="es-CO"/>
        </w:rPr>
        <w:t xml:space="preserve">Por la cual se decide el recurso de reposición interpuesto </w:t>
      </w:r>
      <w:r w:rsidR="007B7837">
        <w:rPr>
          <w:rFonts w:ascii="Bookman Old Style" w:hAnsi="Bookman Old Style" w:cs="Arial"/>
          <w:color w:val="000000" w:themeColor="text1"/>
          <w:lang w:eastAsia="es-CO"/>
        </w:rPr>
        <w:t xml:space="preserve">por la </w:t>
      </w:r>
      <w:r w:rsidR="007B7837" w:rsidRPr="00A63CB6">
        <w:rPr>
          <w:rFonts w:ascii="Bookman Old Style" w:hAnsi="Bookman Old Style"/>
          <w:lang w:eastAsia="es-CO"/>
        </w:rPr>
        <w:t>Empresa de Energía del Guainía La Ceiba S.A. E.S.P.</w:t>
      </w:r>
      <w:r w:rsidR="007B7837">
        <w:rPr>
          <w:rFonts w:ascii="Bookman Old Style" w:hAnsi="Bookman Old Style"/>
          <w:lang w:eastAsia="es-CO"/>
        </w:rPr>
        <w:t xml:space="preserve"> </w:t>
      </w:r>
      <w:r w:rsidR="000F48BA" w:rsidRPr="00A63CB6">
        <w:rPr>
          <w:rFonts w:ascii="Bookman Old Style" w:hAnsi="Bookman Old Style" w:cs="Arial"/>
          <w:color w:val="000000" w:themeColor="text1"/>
          <w:lang w:eastAsia="es-CO"/>
        </w:rPr>
        <w:t>contra la Resolución CREG 025</w:t>
      </w:r>
      <w:r w:rsidRPr="00A63CB6">
        <w:rPr>
          <w:rFonts w:ascii="Bookman Old Style" w:hAnsi="Bookman Old Style" w:cs="Arial"/>
          <w:color w:val="000000" w:themeColor="text1"/>
          <w:lang w:eastAsia="es-CO"/>
        </w:rPr>
        <w:t xml:space="preserve"> de 201</w:t>
      </w:r>
      <w:r w:rsidR="000F48BA" w:rsidRPr="00A63CB6">
        <w:rPr>
          <w:rFonts w:ascii="Bookman Old Style" w:hAnsi="Bookman Old Style" w:cs="Arial"/>
          <w:color w:val="000000" w:themeColor="text1"/>
          <w:lang w:eastAsia="es-CO"/>
        </w:rPr>
        <w:t>2</w:t>
      </w:r>
    </w:p>
    <w:p w:rsidR="007B7837" w:rsidRPr="00A63CB6" w:rsidRDefault="007B7837" w:rsidP="00C31EC7">
      <w:pPr>
        <w:ind w:left="0"/>
        <w:jc w:val="center"/>
        <w:rPr>
          <w:rFonts w:ascii="Bookman Old Style" w:hAnsi="Bookman Old Style" w:cs="Arial"/>
        </w:rPr>
      </w:pPr>
    </w:p>
    <w:p w:rsidR="0072061A" w:rsidRPr="00A63CB6" w:rsidRDefault="0072061A" w:rsidP="00C31EC7">
      <w:pPr>
        <w:ind w:left="0"/>
        <w:jc w:val="center"/>
        <w:rPr>
          <w:rFonts w:ascii="Bookman Old Style" w:hAnsi="Bookman Old Style" w:cs="Arial"/>
        </w:rPr>
      </w:pPr>
    </w:p>
    <w:p w:rsidR="0072061A" w:rsidRPr="00A63CB6" w:rsidRDefault="0072061A" w:rsidP="00C31EC7">
      <w:pPr>
        <w:ind w:left="0"/>
        <w:jc w:val="center"/>
        <w:rPr>
          <w:rFonts w:ascii="Bookman Old Style" w:hAnsi="Bookman Old Style" w:cs="Arial"/>
          <w:b/>
        </w:rPr>
      </w:pPr>
      <w:r w:rsidRPr="00A63CB6">
        <w:rPr>
          <w:rFonts w:ascii="Bookman Old Style" w:hAnsi="Bookman Old Style" w:cs="Arial"/>
          <w:b/>
        </w:rPr>
        <w:t>LA COMISIÓN DE REGULACIÓN DE ENERGÍA Y GAS</w:t>
      </w:r>
    </w:p>
    <w:p w:rsidR="0072061A" w:rsidRPr="00A63CB6" w:rsidRDefault="0072061A" w:rsidP="00C31EC7">
      <w:pPr>
        <w:ind w:left="0"/>
        <w:jc w:val="center"/>
        <w:rPr>
          <w:rFonts w:ascii="Bookman Old Style" w:hAnsi="Bookman Old Style" w:cs="Arial"/>
        </w:rPr>
      </w:pPr>
    </w:p>
    <w:p w:rsidR="0072061A" w:rsidRPr="00A63CB6" w:rsidRDefault="0072061A" w:rsidP="00C31EC7">
      <w:pPr>
        <w:ind w:left="0"/>
        <w:jc w:val="center"/>
        <w:rPr>
          <w:rFonts w:ascii="Bookman Old Style" w:hAnsi="Bookman Old Style" w:cs="Arial"/>
        </w:rPr>
      </w:pPr>
    </w:p>
    <w:p w:rsidR="0072061A" w:rsidRPr="00A63CB6" w:rsidRDefault="0072061A" w:rsidP="00C31EC7">
      <w:pPr>
        <w:ind w:left="0"/>
        <w:jc w:val="center"/>
        <w:rPr>
          <w:rFonts w:ascii="Bookman Old Style" w:hAnsi="Bookman Old Style" w:cs="Arial"/>
        </w:rPr>
      </w:pPr>
      <w:r w:rsidRPr="00A63CB6">
        <w:rPr>
          <w:rFonts w:ascii="Bookman Old Style" w:hAnsi="Bookman Old Style" w:cs="Arial"/>
        </w:rPr>
        <w:t xml:space="preserve">En ejercicio de </w:t>
      </w:r>
      <w:r w:rsidR="00387FCC" w:rsidRPr="00A63CB6">
        <w:rPr>
          <w:rFonts w:ascii="Bookman Old Style" w:hAnsi="Bookman Old Style" w:cs="Arial"/>
        </w:rPr>
        <w:t xml:space="preserve">sus </w:t>
      </w:r>
      <w:r w:rsidRPr="00A63CB6">
        <w:rPr>
          <w:rFonts w:ascii="Bookman Old Style" w:hAnsi="Bookman Old Style" w:cs="Arial"/>
        </w:rPr>
        <w:t>atribuciones legales, en especial las conferidas por las Leyes 142 y 143 de 1994, y en desarrollo de los Decretos 1524 y 2253 de 1994, y</w:t>
      </w:r>
    </w:p>
    <w:p w:rsidR="0072061A" w:rsidRPr="00A63CB6" w:rsidRDefault="0072061A" w:rsidP="00C31EC7">
      <w:pPr>
        <w:ind w:left="0"/>
        <w:jc w:val="center"/>
        <w:rPr>
          <w:rFonts w:ascii="Bookman Old Style" w:hAnsi="Bookman Old Style" w:cs="Arial"/>
        </w:rPr>
      </w:pPr>
    </w:p>
    <w:p w:rsidR="0072061A" w:rsidRPr="00A63CB6" w:rsidRDefault="0072061A" w:rsidP="00C31EC7">
      <w:pPr>
        <w:ind w:left="0"/>
        <w:jc w:val="center"/>
        <w:rPr>
          <w:rFonts w:ascii="Bookman Old Style" w:hAnsi="Bookman Old Style" w:cs="Arial"/>
        </w:rPr>
      </w:pPr>
    </w:p>
    <w:p w:rsidR="0072061A" w:rsidRPr="00A63CB6" w:rsidRDefault="0072061A" w:rsidP="00C31EC7">
      <w:pPr>
        <w:ind w:left="0"/>
        <w:jc w:val="center"/>
        <w:rPr>
          <w:rFonts w:ascii="Bookman Old Style" w:hAnsi="Bookman Old Style" w:cs="Arial"/>
        </w:rPr>
      </w:pPr>
      <w:r w:rsidRPr="00A63CB6">
        <w:rPr>
          <w:rFonts w:ascii="Bookman Old Style" w:hAnsi="Bookman Old Style" w:cs="Arial"/>
          <w:b/>
        </w:rPr>
        <w:t>C O N S I D E R A N D O:</w:t>
      </w:r>
    </w:p>
    <w:p w:rsidR="0072061A" w:rsidRPr="00A63CB6" w:rsidRDefault="0072061A" w:rsidP="00C31EC7">
      <w:pPr>
        <w:ind w:left="0"/>
        <w:rPr>
          <w:rFonts w:ascii="Bookman Old Style" w:hAnsi="Bookman Old Style" w:cs="Arial"/>
        </w:rPr>
      </w:pPr>
    </w:p>
    <w:p w:rsidR="0072061A" w:rsidRPr="00A63CB6" w:rsidRDefault="0072061A" w:rsidP="00C31EC7">
      <w:pPr>
        <w:ind w:left="0"/>
        <w:rPr>
          <w:rFonts w:ascii="Bookman Old Style" w:hAnsi="Bookman Old Style" w:cs="Arial"/>
        </w:rPr>
      </w:pPr>
    </w:p>
    <w:p w:rsidR="0072061A" w:rsidRPr="00A63CB6" w:rsidRDefault="0072061A" w:rsidP="00C31EC7">
      <w:pPr>
        <w:pStyle w:val="Ttulo1"/>
        <w:numPr>
          <w:ilvl w:val="0"/>
          <w:numId w:val="1"/>
        </w:numPr>
        <w:ind w:hanging="720"/>
        <w:jc w:val="left"/>
        <w:rPr>
          <w:rFonts w:ascii="Bookman Old Style" w:hAnsi="Bookman Old Style"/>
          <w:szCs w:val="24"/>
        </w:rPr>
      </w:pPr>
      <w:r w:rsidRPr="00A63CB6">
        <w:rPr>
          <w:rFonts w:ascii="Bookman Old Style" w:hAnsi="Bookman Old Style"/>
          <w:szCs w:val="24"/>
        </w:rPr>
        <w:t>ANTECEDENTES</w:t>
      </w:r>
    </w:p>
    <w:p w:rsidR="0072061A" w:rsidRPr="00A63CB6" w:rsidRDefault="0072061A" w:rsidP="00C31EC7">
      <w:pPr>
        <w:pStyle w:val="Textoindependiente"/>
        <w:ind w:left="0"/>
        <w:jc w:val="both"/>
        <w:rPr>
          <w:rFonts w:ascii="Bookman Old Style" w:hAnsi="Bookman Old Style" w:cs="Times New Roman"/>
          <w:b w:val="0"/>
          <w:bCs w:val="0"/>
          <w:lang w:val="es-CO"/>
        </w:rPr>
      </w:pPr>
    </w:p>
    <w:p w:rsidR="0072061A" w:rsidRPr="00A63CB6" w:rsidRDefault="000F48BA" w:rsidP="00C31EC7">
      <w:pPr>
        <w:pStyle w:val="Textoindependiente"/>
        <w:ind w:left="0"/>
        <w:jc w:val="both"/>
        <w:rPr>
          <w:rFonts w:ascii="Bookman Old Style" w:hAnsi="Bookman Old Style"/>
          <w:b w:val="0"/>
          <w:lang w:eastAsia="es-CO"/>
        </w:rPr>
      </w:pPr>
      <w:r w:rsidRPr="00A63CB6">
        <w:rPr>
          <w:rFonts w:ascii="Bookman Old Style" w:hAnsi="Bookman Old Style" w:cs="Times New Roman"/>
          <w:b w:val="0"/>
          <w:bCs w:val="0"/>
          <w:lang w:val="es-CO"/>
        </w:rPr>
        <w:t>Mediante la Resolución CREG 025</w:t>
      </w:r>
      <w:r w:rsidR="0072061A" w:rsidRPr="00A63CB6">
        <w:rPr>
          <w:rFonts w:ascii="Bookman Old Style" w:hAnsi="Bookman Old Style" w:cs="Times New Roman"/>
          <w:b w:val="0"/>
          <w:bCs w:val="0"/>
          <w:lang w:val="es-CO"/>
        </w:rPr>
        <w:t xml:space="preserve"> del </w:t>
      </w:r>
      <w:r w:rsidRPr="00A63CB6">
        <w:rPr>
          <w:rFonts w:ascii="Bookman Old Style" w:hAnsi="Bookman Old Style" w:cs="Times New Roman"/>
          <w:b w:val="0"/>
          <w:bCs w:val="0"/>
          <w:lang w:val="es-CO"/>
        </w:rPr>
        <w:t>8</w:t>
      </w:r>
      <w:r w:rsidR="0072061A" w:rsidRPr="00A63CB6">
        <w:rPr>
          <w:rFonts w:ascii="Bookman Old Style" w:hAnsi="Bookman Old Style" w:cs="Times New Roman"/>
          <w:b w:val="0"/>
          <w:bCs w:val="0"/>
          <w:lang w:val="es-CO"/>
        </w:rPr>
        <w:t xml:space="preserve"> de </w:t>
      </w:r>
      <w:r w:rsidRPr="00A63CB6">
        <w:rPr>
          <w:rFonts w:ascii="Bookman Old Style" w:hAnsi="Bookman Old Style" w:cs="Times New Roman"/>
          <w:b w:val="0"/>
          <w:bCs w:val="0"/>
          <w:lang w:val="es-CO"/>
        </w:rPr>
        <w:t>marzo</w:t>
      </w:r>
      <w:r w:rsidR="0072061A" w:rsidRPr="00A63CB6">
        <w:rPr>
          <w:rFonts w:ascii="Bookman Old Style" w:hAnsi="Bookman Old Style" w:cs="Times New Roman"/>
          <w:b w:val="0"/>
          <w:bCs w:val="0"/>
          <w:lang w:val="es-CO"/>
        </w:rPr>
        <w:t xml:space="preserve"> de 201</w:t>
      </w:r>
      <w:r w:rsidRPr="00A63CB6">
        <w:rPr>
          <w:rFonts w:ascii="Bookman Old Style" w:hAnsi="Bookman Old Style" w:cs="Times New Roman"/>
          <w:b w:val="0"/>
          <w:bCs w:val="0"/>
          <w:lang w:val="es-CO"/>
        </w:rPr>
        <w:t>2</w:t>
      </w:r>
      <w:r w:rsidR="0072061A" w:rsidRPr="00A63CB6">
        <w:rPr>
          <w:rFonts w:ascii="Bookman Old Style" w:hAnsi="Bookman Old Style" w:cs="Times New Roman"/>
          <w:b w:val="0"/>
          <w:bCs w:val="0"/>
          <w:lang w:val="es-CO"/>
        </w:rPr>
        <w:t xml:space="preserve">, la Comisión de Regulación de Energía y Gas, en adelante CREG, decidió la </w:t>
      </w:r>
      <w:r w:rsidR="0072061A" w:rsidRPr="00A63CB6">
        <w:rPr>
          <w:rFonts w:ascii="Bookman Old Style" w:hAnsi="Bookman Old Style"/>
          <w:b w:val="0"/>
          <w:lang w:eastAsia="es-CO"/>
        </w:rPr>
        <w:t xml:space="preserve">solicitud </w:t>
      </w:r>
      <w:r w:rsidR="00C31EC7" w:rsidRPr="00A63CB6">
        <w:rPr>
          <w:rFonts w:ascii="Bookman Old Style" w:hAnsi="Bookman Old Style"/>
          <w:b w:val="0"/>
          <w:lang w:eastAsia="es-CO"/>
        </w:rPr>
        <w:t>de modificación por mutuo acuerdo de la Resolución CREG 091 de 2007, efectuada por la Empresa de Energía del Guainía La Ceiba S.A. E.S.P.</w:t>
      </w:r>
      <w:r w:rsidR="0072061A" w:rsidRPr="00A63CB6">
        <w:rPr>
          <w:rFonts w:ascii="Bookman Old Style" w:hAnsi="Bookman Old Style"/>
          <w:b w:val="0"/>
          <w:lang w:eastAsia="es-CO"/>
        </w:rPr>
        <w:t>, en adelante la empresa.</w:t>
      </w:r>
    </w:p>
    <w:p w:rsidR="0072061A" w:rsidRPr="00A63CB6" w:rsidRDefault="0072061A" w:rsidP="00C31EC7">
      <w:pPr>
        <w:pStyle w:val="Textoindependiente"/>
        <w:ind w:left="0"/>
        <w:jc w:val="both"/>
        <w:rPr>
          <w:rFonts w:ascii="Bookman Old Style" w:hAnsi="Bookman Old Style"/>
          <w:b w:val="0"/>
          <w:lang w:eastAsia="es-CO"/>
        </w:rPr>
      </w:pPr>
    </w:p>
    <w:p w:rsidR="0072061A" w:rsidRPr="00A63CB6" w:rsidRDefault="0072061A" w:rsidP="00C31EC7">
      <w:pPr>
        <w:pStyle w:val="Textoindependiente"/>
        <w:ind w:left="0"/>
        <w:jc w:val="both"/>
        <w:rPr>
          <w:rFonts w:ascii="Bookman Old Style" w:hAnsi="Bookman Old Style"/>
          <w:b w:val="0"/>
          <w:i/>
        </w:rPr>
      </w:pPr>
      <w:r w:rsidRPr="00A63CB6">
        <w:rPr>
          <w:rFonts w:ascii="Bookman Old Style" w:hAnsi="Bookman Old Style"/>
          <w:b w:val="0"/>
          <w:lang w:eastAsia="es-CO"/>
        </w:rPr>
        <w:t>Mediante comunicación con el radicado CREG E-</w:t>
      </w:r>
      <w:r w:rsidR="000F48BA" w:rsidRPr="00A63CB6">
        <w:rPr>
          <w:rFonts w:ascii="Bookman Old Style" w:hAnsi="Bookman Old Style"/>
          <w:b w:val="0"/>
          <w:lang w:eastAsia="es-CO"/>
        </w:rPr>
        <w:t>2012-00</w:t>
      </w:r>
      <w:r w:rsidRPr="00A63CB6">
        <w:rPr>
          <w:rFonts w:ascii="Bookman Old Style" w:hAnsi="Bookman Old Style"/>
          <w:b w:val="0"/>
          <w:lang w:eastAsia="es-CO"/>
        </w:rPr>
        <w:t>3</w:t>
      </w:r>
      <w:r w:rsidR="000F48BA" w:rsidRPr="00A63CB6">
        <w:rPr>
          <w:rFonts w:ascii="Bookman Old Style" w:hAnsi="Bookman Old Style"/>
          <w:b w:val="0"/>
          <w:lang w:eastAsia="es-CO"/>
        </w:rPr>
        <w:t>087</w:t>
      </w:r>
      <w:r w:rsidRPr="00A63CB6">
        <w:rPr>
          <w:rFonts w:ascii="Bookman Old Style" w:hAnsi="Bookman Old Style"/>
          <w:b w:val="0"/>
          <w:lang w:eastAsia="es-CO"/>
        </w:rPr>
        <w:t xml:space="preserve">, la </w:t>
      </w:r>
      <w:r w:rsidRPr="00A63CB6">
        <w:rPr>
          <w:rFonts w:ascii="Bookman Old Style" w:hAnsi="Bookman Old Style"/>
          <w:b w:val="0"/>
          <w:lang w:eastAsia="es-CO"/>
        </w:rPr>
        <w:br/>
        <w:t>empresa presentó recurso de reposición en contra de la Resolución CREG 0</w:t>
      </w:r>
      <w:r w:rsidR="000F48BA" w:rsidRPr="00A63CB6">
        <w:rPr>
          <w:rFonts w:ascii="Bookman Old Style" w:hAnsi="Bookman Old Style"/>
          <w:b w:val="0"/>
          <w:lang w:eastAsia="es-CO"/>
        </w:rPr>
        <w:t>25</w:t>
      </w:r>
      <w:r w:rsidRPr="00A63CB6">
        <w:rPr>
          <w:rFonts w:ascii="Bookman Old Style" w:hAnsi="Bookman Old Style"/>
          <w:b w:val="0"/>
          <w:lang w:eastAsia="es-CO"/>
        </w:rPr>
        <w:t xml:space="preserve"> de 201</w:t>
      </w:r>
      <w:r w:rsidR="000F48BA" w:rsidRPr="00A63CB6">
        <w:rPr>
          <w:rFonts w:ascii="Bookman Old Style" w:hAnsi="Bookman Old Style"/>
          <w:b w:val="0"/>
          <w:lang w:eastAsia="es-CO"/>
        </w:rPr>
        <w:t>2</w:t>
      </w:r>
      <w:r w:rsidRPr="00A63CB6">
        <w:rPr>
          <w:rFonts w:ascii="Bookman Old Style" w:hAnsi="Bookman Old Style"/>
          <w:b w:val="0"/>
          <w:lang w:eastAsia="es-CO"/>
        </w:rPr>
        <w:t>.</w:t>
      </w:r>
    </w:p>
    <w:p w:rsidR="0072061A" w:rsidRPr="00A63CB6" w:rsidRDefault="0072061A" w:rsidP="00C31EC7">
      <w:pPr>
        <w:pStyle w:val="Textoindependiente"/>
        <w:ind w:left="0"/>
        <w:jc w:val="both"/>
        <w:rPr>
          <w:rFonts w:ascii="Bookman Old Style" w:hAnsi="Bookman Old Style"/>
          <w:b w:val="0"/>
          <w:i/>
        </w:rPr>
      </w:pPr>
    </w:p>
    <w:p w:rsidR="0072061A" w:rsidRPr="00A63CB6" w:rsidRDefault="0072061A" w:rsidP="00C31EC7">
      <w:pPr>
        <w:pStyle w:val="Textoindependiente"/>
        <w:ind w:left="0"/>
        <w:jc w:val="both"/>
        <w:rPr>
          <w:rFonts w:ascii="Bookman Old Style" w:hAnsi="Bookman Old Style"/>
          <w:bCs w:val="0"/>
          <w:iCs/>
        </w:rPr>
      </w:pPr>
      <w:r w:rsidRPr="00A63CB6">
        <w:rPr>
          <w:rFonts w:ascii="Bookman Old Style" w:hAnsi="Bookman Old Style"/>
          <w:bCs w:val="0"/>
          <w:iCs/>
        </w:rPr>
        <w:t xml:space="preserve">2. </w:t>
      </w:r>
      <w:r w:rsidRPr="00A63CB6">
        <w:rPr>
          <w:rFonts w:ascii="Bookman Old Style" w:hAnsi="Bookman Old Style"/>
          <w:bCs w:val="0"/>
          <w:iCs/>
        </w:rPr>
        <w:tab/>
        <w:t>SOLICITUD</w:t>
      </w:r>
    </w:p>
    <w:p w:rsidR="0072061A" w:rsidRPr="00A63CB6" w:rsidRDefault="0072061A" w:rsidP="00C31EC7">
      <w:pPr>
        <w:pStyle w:val="Textoindependiente"/>
        <w:ind w:left="0"/>
        <w:jc w:val="both"/>
        <w:rPr>
          <w:rFonts w:ascii="Bookman Old Style" w:hAnsi="Bookman Old Style"/>
          <w:b w:val="0"/>
          <w:lang w:eastAsia="es-CO"/>
        </w:rPr>
      </w:pPr>
    </w:p>
    <w:p w:rsidR="0072061A" w:rsidRPr="00A63CB6" w:rsidRDefault="0072061A" w:rsidP="00C31EC7">
      <w:pPr>
        <w:pStyle w:val="Textoindependiente"/>
        <w:ind w:left="0"/>
        <w:jc w:val="both"/>
        <w:rPr>
          <w:rFonts w:ascii="Bookman Old Style" w:hAnsi="Bookman Old Style"/>
          <w:b w:val="0"/>
          <w:bCs w:val="0"/>
          <w:iCs/>
        </w:rPr>
      </w:pPr>
      <w:r w:rsidRPr="00A63CB6">
        <w:rPr>
          <w:rFonts w:ascii="Bookman Old Style" w:hAnsi="Bookman Old Style"/>
          <w:b w:val="0"/>
          <w:lang w:eastAsia="es-CO"/>
        </w:rPr>
        <w:t>La empresa,</w:t>
      </w:r>
      <w:r w:rsidRPr="00A63CB6">
        <w:rPr>
          <w:rFonts w:ascii="Bookman Old Style" w:hAnsi="Bookman Old Style"/>
          <w:b w:val="0"/>
          <w:bCs w:val="0"/>
          <w:iCs/>
        </w:rPr>
        <w:t xml:space="preserve"> mediante recurso de reposición, plantea lo siguiente: </w:t>
      </w:r>
    </w:p>
    <w:p w:rsidR="0072061A" w:rsidRPr="00A63CB6" w:rsidRDefault="0072061A" w:rsidP="00C31EC7">
      <w:pPr>
        <w:pStyle w:val="Textoindependiente"/>
        <w:ind w:left="0"/>
        <w:jc w:val="both"/>
        <w:rPr>
          <w:rFonts w:ascii="Bookman Old Style" w:hAnsi="Bookman Old Style"/>
          <w:b w:val="0"/>
          <w:bCs w:val="0"/>
          <w:iCs/>
        </w:rPr>
      </w:pPr>
    </w:p>
    <w:p w:rsidR="000F48BA" w:rsidRPr="00A63CB6" w:rsidRDefault="0072061A"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 xml:space="preserve">“(…) </w:t>
      </w:r>
    </w:p>
    <w:p w:rsidR="000F48BA" w:rsidRPr="00A63CB6" w:rsidRDefault="000F48BA" w:rsidP="00D14538">
      <w:pPr>
        <w:widowControl w:val="0"/>
        <w:autoSpaceDE w:val="0"/>
        <w:autoSpaceDN w:val="0"/>
        <w:adjustRightInd w:val="0"/>
        <w:jc w:val="both"/>
        <w:rPr>
          <w:rFonts w:ascii="Bookman Old Style" w:hAnsi="Bookman Old Style" w:cs="Arial"/>
          <w:i/>
        </w:rPr>
      </w:pPr>
    </w:p>
    <w:p w:rsidR="006D3789" w:rsidRPr="00A63CB6" w:rsidRDefault="003946CF"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Resuelve</w:t>
      </w:r>
      <w:r w:rsidR="000F48BA" w:rsidRPr="00A63CB6">
        <w:rPr>
          <w:rFonts w:ascii="Bookman Old Style" w:hAnsi="Bookman Old Style" w:cs="Arial"/>
          <w:i/>
        </w:rPr>
        <w:t xml:space="preserve"> la Comisión negativamente, de manera </w:t>
      </w:r>
      <w:r w:rsidRPr="00A63CB6">
        <w:rPr>
          <w:rFonts w:ascii="Bookman Old Style" w:hAnsi="Bookman Old Style" w:cs="Arial"/>
          <w:i/>
        </w:rPr>
        <w:t>parcial</w:t>
      </w:r>
      <w:r w:rsidR="000F48BA" w:rsidRPr="00A63CB6">
        <w:rPr>
          <w:rFonts w:ascii="Bookman Old Style" w:hAnsi="Bookman Old Style" w:cs="Arial"/>
          <w:i/>
        </w:rPr>
        <w:t xml:space="preserve">, la </w:t>
      </w:r>
      <w:r w:rsidRPr="00A63CB6">
        <w:rPr>
          <w:rFonts w:ascii="Bookman Old Style" w:hAnsi="Bookman Old Style" w:cs="Arial"/>
          <w:i/>
        </w:rPr>
        <w:t>solicitud</w:t>
      </w:r>
      <w:r w:rsidR="000F48BA" w:rsidRPr="00A63CB6">
        <w:rPr>
          <w:rFonts w:ascii="Bookman Old Style" w:hAnsi="Bookman Old Style" w:cs="Arial"/>
          <w:i/>
        </w:rPr>
        <w:t xml:space="preserve"> de EMELCE para revisar los Cargos de </w:t>
      </w:r>
      <w:r w:rsidRPr="00A63CB6">
        <w:rPr>
          <w:rFonts w:ascii="Bookman Old Style" w:hAnsi="Bookman Old Style" w:cs="Arial"/>
          <w:i/>
        </w:rPr>
        <w:t>Generación</w:t>
      </w:r>
      <w:r w:rsidR="000F48BA" w:rsidRPr="00A63CB6">
        <w:rPr>
          <w:rFonts w:ascii="Bookman Old Style" w:hAnsi="Bookman Old Style" w:cs="Arial"/>
          <w:i/>
        </w:rPr>
        <w:t xml:space="preserve">, </w:t>
      </w:r>
      <w:r w:rsidRPr="00A63CB6">
        <w:rPr>
          <w:rFonts w:ascii="Bookman Old Style" w:hAnsi="Bookman Old Style" w:cs="Arial"/>
          <w:i/>
        </w:rPr>
        <w:t>Distribución</w:t>
      </w:r>
      <w:r w:rsidR="000F48BA" w:rsidRPr="00A63CB6">
        <w:rPr>
          <w:rFonts w:ascii="Bookman Old Style" w:hAnsi="Bookman Old Style" w:cs="Arial"/>
          <w:i/>
        </w:rPr>
        <w:t xml:space="preserve"> y </w:t>
      </w:r>
      <w:r w:rsidRPr="00A63CB6">
        <w:rPr>
          <w:rFonts w:ascii="Bookman Old Style" w:hAnsi="Bookman Old Style" w:cs="Arial"/>
          <w:i/>
        </w:rPr>
        <w:t>Comercialización</w:t>
      </w:r>
      <w:r w:rsidR="000F48BA" w:rsidRPr="00A63CB6">
        <w:rPr>
          <w:rFonts w:ascii="Bookman Old Style" w:hAnsi="Bookman Old Style" w:cs="Arial"/>
          <w:i/>
        </w:rPr>
        <w:t xml:space="preserve"> de energía eléctrica en el mercado de comercialización atendido por la empresa, por cuento es evidente que los cargos reales en que se incurren para prestar el servicio son mayores a los reconocidos </w:t>
      </w:r>
      <w:r w:rsidR="000F48BA" w:rsidRPr="00A63CB6">
        <w:rPr>
          <w:rFonts w:ascii="Bookman Old Style" w:hAnsi="Bookman Old Style" w:cs="Arial"/>
          <w:i/>
        </w:rPr>
        <w:lastRenderedPageBreak/>
        <w:t>mediante la Resolución CREG 091 de 2007, modificada por la Resolución CREG 057 de 2009, específicamente en los gastos asociados a la administración, operación y mantenimiento (AO</w:t>
      </w:r>
      <w:r w:rsidR="00206840" w:rsidRPr="00A63CB6">
        <w:rPr>
          <w:rFonts w:ascii="Bookman Old Style" w:hAnsi="Bookman Old Style" w:cs="Arial"/>
          <w:i/>
        </w:rPr>
        <w:t>M</w:t>
      </w:r>
      <w:r w:rsidR="000F48BA" w:rsidRPr="00A63CB6">
        <w:rPr>
          <w:rFonts w:ascii="Bookman Old Style" w:hAnsi="Bookman Old Style" w:cs="Arial"/>
          <w:i/>
        </w:rPr>
        <w:t>) de las actividades de generación, distribución y comercialización de energía eléctrica.</w:t>
      </w:r>
      <w:r w:rsidR="006D3789" w:rsidRPr="00A63CB6">
        <w:rPr>
          <w:rFonts w:ascii="Bookman Old Style" w:hAnsi="Bookman Old Style" w:cs="Arial"/>
          <w:i/>
        </w:rPr>
        <w:t xml:space="preserve"> </w:t>
      </w:r>
    </w:p>
    <w:p w:rsidR="006D3789" w:rsidRPr="00AB5FF7" w:rsidRDefault="006D3789" w:rsidP="00D14538">
      <w:pPr>
        <w:widowControl w:val="0"/>
        <w:autoSpaceDE w:val="0"/>
        <w:autoSpaceDN w:val="0"/>
        <w:adjustRightInd w:val="0"/>
        <w:jc w:val="both"/>
        <w:rPr>
          <w:rFonts w:ascii="Bookman Old Style" w:hAnsi="Bookman Old Style" w:cs="Arial"/>
          <w:i/>
          <w:sz w:val="20"/>
        </w:rPr>
      </w:pPr>
    </w:p>
    <w:p w:rsidR="000F48BA" w:rsidRPr="00A63CB6" w:rsidRDefault="006D3789"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w:t>
      </w:r>
    </w:p>
    <w:p w:rsidR="000F48BA" w:rsidRPr="00AB5FF7" w:rsidRDefault="000F48BA" w:rsidP="00D14538">
      <w:pPr>
        <w:widowControl w:val="0"/>
        <w:autoSpaceDE w:val="0"/>
        <w:autoSpaceDN w:val="0"/>
        <w:adjustRightInd w:val="0"/>
        <w:jc w:val="both"/>
        <w:rPr>
          <w:rFonts w:ascii="Bookman Old Style" w:hAnsi="Bookman Old Style" w:cs="Arial"/>
          <w:i/>
          <w:sz w:val="22"/>
        </w:rPr>
      </w:pPr>
    </w:p>
    <w:p w:rsidR="006D3789" w:rsidRPr="00A63CB6" w:rsidRDefault="006D3789"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Al respecto y si bien es cierto que en su momento la Comisión, para determinar los cargos de distribución, utiliz</w:t>
      </w:r>
      <w:r w:rsidR="00206840" w:rsidRPr="00A63CB6">
        <w:rPr>
          <w:rFonts w:ascii="Bookman Old Style" w:hAnsi="Bookman Old Style" w:cs="Arial"/>
          <w:i/>
        </w:rPr>
        <w:t>ó</w:t>
      </w:r>
      <w:r w:rsidRPr="00A63CB6">
        <w:rPr>
          <w:rFonts w:ascii="Bookman Old Style" w:hAnsi="Bookman Old Style" w:cs="Arial"/>
          <w:i/>
        </w:rPr>
        <w:t xml:space="preserve"> la valoración de la infraestructura y sobre ella aplicó un 4% como gastos de AOM de la actividad de distribución, dicha cifra, que al parecer fue tomada de lo que se venia aplicando para las empresas del SIN, no refleja la realidad de las empresas de las ZNI, por las siguientes razones:</w:t>
      </w:r>
    </w:p>
    <w:p w:rsidR="006D3789" w:rsidRPr="00AB5FF7" w:rsidRDefault="006D3789" w:rsidP="00D14538">
      <w:pPr>
        <w:widowControl w:val="0"/>
        <w:autoSpaceDE w:val="0"/>
        <w:autoSpaceDN w:val="0"/>
        <w:adjustRightInd w:val="0"/>
        <w:jc w:val="both"/>
        <w:rPr>
          <w:rFonts w:ascii="Bookman Old Style" w:hAnsi="Bookman Old Style" w:cs="Arial"/>
          <w:i/>
          <w:sz w:val="20"/>
        </w:rPr>
      </w:pPr>
    </w:p>
    <w:p w:rsidR="006D3789" w:rsidRPr="00A63CB6" w:rsidRDefault="006D3789"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 xml:space="preserve">La infraestructura eléctrica de las ZNI es sencilla y reducida dada la baja población que atiende. Puesto que la valoración de las redes y transformadores de distribución es </w:t>
      </w:r>
      <w:r w:rsidR="0065583A" w:rsidRPr="00A63CB6">
        <w:rPr>
          <w:rFonts w:ascii="Bookman Old Style" w:hAnsi="Bookman Old Style" w:cs="Arial"/>
          <w:i/>
        </w:rPr>
        <w:t>mínima</w:t>
      </w:r>
      <w:r w:rsidRPr="00A63CB6">
        <w:rPr>
          <w:rFonts w:ascii="Bookman Old Style" w:hAnsi="Bookman Old Style" w:cs="Arial"/>
          <w:i/>
        </w:rPr>
        <w:t xml:space="preserve">, aplicar un factor del 4%, que ni </w:t>
      </w:r>
      <w:r w:rsidR="0065583A" w:rsidRPr="00A63CB6">
        <w:rPr>
          <w:rFonts w:ascii="Bookman Old Style" w:hAnsi="Bookman Old Style" w:cs="Arial"/>
          <w:i/>
        </w:rPr>
        <w:t>siquiera</w:t>
      </w:r>
      <w:r w:rsidRPr="00A63CB6">
        <w:rPr>
          <w:rFonts w:ascii="Bookman Old Style" w:hAnsi="Bookman Old Style" w:cs="Arial"/>
          <w:i/>
        </w:rPr>
        <w:t xml:space="preserve"> alcanza a remunerar los gastos de AOM en que incurren la mayoría de las empresas de distribución del SIN, es condenar a las comunidades de las ZNI a quedar sin el servicio de energía eléctrica hacia futuro por la insuficiencia financiera de las empresas que actualmente atienden el servicio.</w:t>
      </w:r>
    </w:p>
    <w:p w:rsidR="006D3789" w:rsidRPr="00AB5FF7" w:rsidRDefault="006D3789" w:rsidP="00D14538">
      <w:pPr>
        <w:widowControl w:val="0"/>
        <w:autoSpaceDE w:val="0"/>
        <w:autoSpaceDN w:val="0"/>
        <w:adjustRightInd w:val="0"/>
        <w:jc w:val="both"/>
        <w:rPr>
          <w:rFonts w:ascii="Bookman Old Style" w:hAnsi="Bookman Old Style" w:cs="Arial"/>
          <w:i/>
          <w:sz w:val="20"/>
        </w:rPr>
      </w:pPr>
    </w:p>
    <w:p w:rsidR="006D3789" w:rsidRPr="00A63CB6" w:rsidRDefault="006D3789"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De acuerdo con las metodología de la Resolución CREG 098 de 2007, la CREG reconoce gastos de AOM para la actividad de distribución superiores al 4% del valor de la infraestructura para muchas de las empresas del SIN, lo que consideramos un tratamiento inequitativo frente al 4% que pretende reconocer a las empresas de las ZNI.</w:t>
      </w:r>
    </w:p>
    <w:p w:rsidR="006D3789" w:rsidRPr="00AB5FF7" w:rsidRDefault="006D3789" w:rsidP="00D14538">
      <w:pPr>
        <w:widowControl w:val="0"/>
        <w:autoSpaceDE w:val="0"/>
        <w:autoSpaceDN w:val="0"/>
        <w:adjustRightInd w:val="0"/>
        <w:jc w:val="both"/>
        <w:rPr>
          <w:rFonts w:ascii="Bookman Old Style" w:hAnsi="Bookman Old Style" w:cs="Arial"/>
          <w:i/>
          <w:sz w:val="20"/>
        </w:rPr>
      </w:pPr>
    </w:p>
    <w:p w:rsidR="006D3789" w:rsidRPr="00A63CB6" w:rsidRDefault="006D3789"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 xml:space="preserve">Adicionalmente, la infraestructura al parecer ha sido valorada por la CREG con los costos unitarios eficientes aplicados en el SIN, cuando los costos de transporte de materias y equipos, de personal, de viáticos y gastos de viaje de los </w:t>
      </w:r>
      <w:r w:rsidR="0065583A" w:rsidRPr="00A63CB6">
        <w:rPr>
          <w:rFonts w:ascii="Bookman Old Style" w:hAnsi="Bookman Old Style" w:cs="Arial"/>
          <w:i/>
        </w:rPr>
        <w:t>contratistas</w:t>
      </w:r>
      <w:r w:rsidRPr="00A63CB6">
        <w:rPr>
          <w:rFonts w:ascii="Bookman Old Style" w:hAnsi="Bookman Old Style" w:cs="Arial"/>
          <w:i/>
        </w:rPr>
        <w:t xml:space="preserve"> constructores de la infraestructura son elevados con respecto a los considerados en el SIN (No hay que olvidar que en la mayoría  de localidades </w:t>
      </w:r>
      <w:r w:rsidR="0065583A" w:rsidRPr="00A63CB6">
        <w:rPr>
          <w:rFonts w:ascii="Bookman Old Style" w:hAnsi="Bookman Old Style" w:cs="Arial"/>
          <w:i/>
        </w:rPr>
        <w:t xml:space="preserve"> de las ZNI se incurre en transporte terrestre, fluvial y/o marítimo que es costoso por las condiciones ambientales y topográficas, y que en algunos casos la frecuencia es semanal y hasta quincenal</w:t>
      </w:r>
      <w:r w:rsidRPr="00A63CB6">
        <w:rPr>
          <w:rFonts w:ascii="Bookman Old Style" w:hAnsi="Bookman Old Style" w:cs="Arial"/>
          <w:i/>
        </w:rPr>
        <w:t>)</w:t>
      </w:r>
      <w:r w:rsidR="0065583A" w:rsidRPr="00A63CB6">
        <w:rPr>
          <w:rFonts w:ascii="Bookman Old Style" w:hAnsi="Bookman Old Style" w:cs="Arial"/>
          <w:i/>
        </w:rPr>
        <w:t>.</w:t>
      </w:r>
    </w:p>
    <w:p w:rsidR="0065583A" w:rsidRPr="00AB5FF7" w:rsidRDefault="0065583A" w:rsidP="00D14538">
      <w:pPr>
        <w:widowControl w:val="0"/>
        <w:autoSpaceDE w:val="0"/>
        <w:autoSpaceDN w:val="0"/>
        <w:adjustRightInd w:val="0"/>
        <w:jc w:val="both"/>
        <w:rPr>
          <w:rFonts w:ascii="Bookman Old Style" w:hAnsi="Bookman Old Style" w:cs="Arial"/>
          <w:i/>
          <w:sz w:val="20"/>
        </w:rPr>
      </w:pPr>
    </w:p>
    <w:p w:rsidR="0065583A" w:rsidRPr="00A63CB6" w:rsidRDefault="0065583A"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Suficientemente se ha soportado las condiciones en que debe EMELCE presta</w:t>
      </w:r>
      <w:r w:rsidR="00206840" w:rsidRPr="00A63CB6">
        <w:rPr>
          <w:rFonts w:ascii="Bookman Old Style" w:hAnsi="Bookman Old Style" w:cs="Arial"/>
          <w:i/>
        </w:rPr>
        <w:t>r</w:t>
      </w:r>
      <w:r w:rsidRPr="00A63CB6">
        <w:rPr>
          <w:rFonts w:ascii="Bookman Old Style" w:hAnsi="Bookman Old Style" w:cs="Arial"/>
          <w:i/>
        </w:rPr>
        <w:t xml:space="preserve"> el servicio, los soportes que se remitieron para la modificación de los costos de transporten dan fe de la condición agreste de la geografía del Guainía, implicando ello condiciones de viaje de hasta quince y mas días por lancha para llevar los insumos materiales y humanos que se requieren para prestar el servicio; con respeto, se considera que se pretende aplicar un rasero que por las condiciones propias del mercado que se atiende no son adecuadas con lo que se desconoce las condiciones particulares de nuestro mercado relevante.</w:t>
      </w:r>
    </w:p>
    <w:p w:rsidR="0065583A" w:rsidRPr="00AB5FF7" w:rsidRDefault="0065583A" w:rsidP="00D14538">
      <w:pPr>
        <w:widowControl w:val="0"/>
        <w:autoSpaceDE w:val="0"/>
        <w:autoSpaceDN w:val="0"/>
        <w:adjustRightInd w:val="0"/>
        <w:jc w:val="both"/>
        <w:rPr>
          <w:rFonts w:ascii="Bookman Old Style" w:hAnsi="Bookman Old Style" w:cs="Arial"/>
          <w:i/>
          <w:sz w:val="20"/>
        </w:rPr>
      </w:pPr>
    </w:p>
    <w:p w:rsidR="0065583A" w:rsidRPr="00A63CB6" w:rsidRDefault="0065583A"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 xml:space="preserve">Se ha demostrado fehacientemente con los soportes contables que los costos complementarios de la operación son superiores a los estipulados en la regulación, no se tiene en cuenta costos necesarios y con fundamento legal, tales como los honorarios del Revisor Fiscal, con el que por mandato legal </w:t>
      </w:r>
      <w:r w:rsidRPr="00A63CB6">
        <w:rPr>
          <w:rFonts w:ascii="Bookman Old Style" w:hAnsi="Bookman Old Style" w:cs="Arial"/>
          <w:i/>
        </w:rPr>
        <w:lastRenderedPageBreak/>
        <w:t>debe EMELCE contar, así como tampoco con los honorarios de un abogado, que por la cantidad de situaciones que se presentan en las actividades propias de la empresa se requiere; igualmente, no se tiene en cuenta el mayor valor de los insumos en esta ciudad, la que por la distancia y las condiciones del transporte hace que los precios se incrementen hasta en un 40% por ciento comparados con los precios del interior del país.</w:t>
      </w:r>
    </w:p>
    <w:p w:rsidR="0065583A" w:rsidRPr="00AB5FF7" w:rsidRDefault="0065583A" w:rsidP="00D14538">
      <w:pPr>
        <w:widowControl w:val="0"/>
        <w:autoSpaceDE w:val="0"/>
        <w:autoSpaceDN w:val="0"/>
        <w:adjustRightInd w:val="0"/>
        <w:jc w:val="both"/>
        <w:rPr>
          <w:rFonts w:ascii="Bookman Old Style" w:hAnsi="Bookman Old Style" w:cs="Arial"/>
          <w:i/>
          <w:sz w:val="16"/>
        </w:rPr>
      </w:pPr>
    </w:p>
    <w:p w:rsidR="0065583A" w:rsidRPr="00A63CB6" w:rsidRDefault="0065583A"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w:t>
      </w:r>
    </w:p>
    <w:p w:rsidR="006D3789" w:rsidRPr="00AB5FF7" w:rsidRDefault="006D3789" w:rsidP="00D14538">
      <w:pPr>
        <w:widowControl w:val="0"/>
        <w:autoSpaceDE w:val="0"/>
        <w:autoSpaceDN w:val="0"/>
        <w:adjustRightInd w:val="0"/>
        <w:jc w:val="both"/>
        <w:rPr>
          <w:rFonts w:ascii="Bookman Old Style" w:hAnsi="Bookman Old Style" w:cs="Arial"/>
          <w:i/>
          <w:sz w:val="18"/>
        </w:rPr>
      </w:pPr>
    </w:p>
    <w:p w:rsidR="0065583A" w:rsidRPr="00A63CB6" w:rsidRDefault="0065583A"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 xml:space="preserve">Argumenta la CREG que la empresa no ha presentado soportes de la </w:t>
      </w:r>
      <w:r w:rsidR="00E51EF4" w:rsidRPr="00A63CB6">
        <w:rPr>
          <w:rFonts w:ascii="Bookman Old Style" w:hAnsi="Bookman Old Style" w:cs="Arial"/>
          <w:i/>
        </w:rPr>
        <w:t>totalidad</w:t>
      </w:r>
      <w:r w:rsidRPr="00A63CB6">
        <w:rPr>
          <w:rFonts w:ascii="Bookman Old Style" w:hAnsi="Bookman Old Style" w:cs="Arial"/>
          <w:i/>
        </w:rPr>
        <w:t xml:space="preserve"> de los gastos en que ha incurrido, basando su argumento en que los gastos son de $ 119</w:t>
      </w:r>
      <w:proofErr w:type="gramStart"/>
      <w:r w:rsidRPr="00A63CB6">
        <w:rPr>
          <w:rFonts w:ascii="Bookman Old Style" w:hAnsi="Bookman Old Style" w:cs="Arial"/>
          <w:i/>
        </w:rPr>
        <w:t>,544,585</w:t>
      </w:r>
      <w:proofErr w:type="gramEnd"/>
      <w:r w:rsidRPr="00A63CB6">
        <w:rPr>
          <w:rFonts w:ascii="Bookman Old Style" w:hAnsi="Bookman Old Style" w:cs="Arial"/>
          <w:i/>
        </w:rPr>
        <w:t xml:space="preserve"> (pesos de dic de 2009), los cuales ha calculado con base en una “Empresa Modelo Eficiente”, desconociendo gastos necesarios como celaduría, asesoría jurídica, asesor contable, revisor fiscal, recaudador, almacén que por mandato de la ley y necesidades </w:t>
      </w:r>
      <w:r w:rsidR="00E51EF4" w:rsidRPr="00A63CB6">
        <w:rPr>
          <w:rFonts w:ascii="Bookman Old Style" w:hAnsi="Bookman Old Style" w:cs="Arial"/>
          <w:i/>
        </w:rPr>
        <w:t>mínimas</w:t>
      </w:r>
      <w:r w:rsidRPr="00A63CB6">
        <w:rPr>
          <w:rFonts w:ascii="Bookman Old Style" w:hAnsi="Bookman Old Style" w:cs="Arial"/>
          <w:i/>
        </w:rPr>
        <w:t xml:space="preserve"> del negocio se requiere. Además,</w:t>
      </w:r>
      <w:r w:rsidR="00E51EF4" w:rsidRPr="00A63CB6">
        <w:rPr>
          <w:rFonts w:ascii="Bookman Old Style" w:hAnsi="Bookman Old Style" w:cs="Arial"/>
          <w:i/>
        </w:rPr>
        <w:t xml:space="preserve"> el cuadro No. 16 de la página 45 no reconoce prácticamente gastos de </w:t>
      </w:r>
      <w:proofErr w:type="spellStart"/>
      <w:r w:rsidR="00E51EF4" w:rsidRPr="00A63CB6">
        <w:rPr>
          <w:rFonts w:ascii="Bookman Old Style" w:hAnsi="Bookman Old Style" w:cs="Arial"/>
          <w:i/>
        </w:rPr>
        <w:t>Preimpresos</w:t>
      </w:r>
      <w:proofErr w:type="spellEnd"/>
      <w:r w:rsidR="00E51EF4" w:rsidRPr="00A63CB6">
        <w:rPr>
          <w:rFonts w:ascii="Bookman Old Style" w:hAnsi="Bookman Old Style" w:cs="Arial"/>
          <w:i/>
        </w:rPr>
        <w:t xml:space="preserve"> Facturados, Cintas de impresión y papelería ($7930 por año).</w:t>
      </w:r>
    </w:p>
    <w:p w:rsidR="00E51EF4" w:rsidRPr="00AB5FF7" w:rsidRDefault="00E51EF4" w:rsidP="00D14538">
      <w:pPr>
        <w:widowControl w:val="0"/>
        <w:autoSpaceDE w:val="0"/>
        <w:autoSpaceDN w:val="0"/>
        <w:adjustRightInd w:val="0"/>
        <w:jc w:val="both"/>
        <w:rPr>
          <w:rFonts w:ascii="Bookman Old Style" w:hAnsi="Bookman Old Style" w:cs="Arial"/>
          <w:i/>
          <w:sz w:val="18"/>
        </w:rPr>
      </w:pPr>
    </w:p>
    <w:p w:rsidR="001A47C6" w:rsidRPr="00A63CB6" w:rsidRDefault="001A47C6"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El modelo de “”empresa eficiente”, es un modelo que no tiene aplicación práctica en la regulación económica que se debe aplicar a empresas como EMELCE, que presta el servicio en 51 localidades del Guainía.</w:t>
      </w:r>
    </w:p>
    <w:p w:rsidR="001A47C6" w:rsidRPr="00AB5FF7" w:rsidRDefault="001A47C6" w:rsidP="00D14538">
      <w:pPr>
        <w:widowControl w:val="0"/>
        <w:autoSpaceDE w:val="0"/>
        <w:autoSpaceDN w:val="0"/>
        <w:adjustRightInd w:val="0"/>
        <w:jc w:val="both"/>
        <w:rPr>
          <w:rFonts w:ascii="Bookman Old Style" w:hAnsi="Bookman Old Style" w:cs="Arial"/>
          <w:i/>
          <w:sz w:val="18"/>
        </w:rPr>
      </w:pPr>
    </w:p>
    <w:p w:rsidR="001A47C6" w:rsidRPr="00A63CB6" w:rsidRDefault="001A47C6"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Queremos manifestar respetuosamente que dicho modelo podrá ser aplicable en localidades menores que son atendidas por Cooperativas o Juntas de Usuarios, pero no para empresas en municipios capitales de Departamento que atienden múltiples localidades (caso de EMELCE) distantes muchas horas por cualquier medio de transporte, que además debe cumplir con todas las obligaciones legales como son: aportes al sistema de seguridad social (Salud, Pensiones y Riesgos Profesionales), aportes parafiscales, impuestos de Industria y Comercio, gastos de viajes, gastos financieros por ejemplo mientras se reciben los subsidios por parte del Ministerio de Minas y Energía, (que son inoportunos) y Gravamen a los movimientos financieros, contribuciones a la Contraloría, Superintendencia de Servicios Públicos Domiciliarios y Comisión de Regulación de Energía y Gas; servicios públicos domiciliarios, seguros para sedes administrativas y para la infraestructura.</w:t>
      </w:r>
    </w:p>
    <w:p w:rsidR="001A47C6" w:rsidRPr="00AB5FF7" w:rsidRDefault="001A47C6" w:rsidP="00D14538">
      <w:pPr>
        <w:widowControl w:val="0"/>
        <w:autoSpaceDE w:val="0"/>
        <w:autoSpaceDN w:val="0"/>
        <w:adjustRightInd w:val="0"/>
        <w:jc w:val="both"/>
        <w:rPr>
          <w:rFonts w:ascii="Bookman Old Style" w:hAnsi="Bookman Old Style" w:cs="Arial"/>
          <w:i/>
          <w:sz w:val="18"/>
        </w:rPr>
      </w:pPr>
    </w:p>
    <w:p w:rsidR="001A47C6" w:rsidRPr="00A63CB6" w:rsidRDefault="001A47C6"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 xml:space="preserve">Cuando la CREG </w:t>
      </w:r>
      <w:r w:rsidR="001F25A7" w:rsidRPr="00A63CB6">
        <w:rPr>
          <w:rFonts w:ascii="Bookman Old Style" w:hAnsi="Bookman Old Style" w:cs="Arial"/>
          <w:i/>
        </w:rPr>
        <w:t>estableció</w:t>
      </w:r>
      <w:r w:rsidRPr="00A63CB6">
        <w:rPr>
          <w:rFonts w:ascii="Bookman Old Style" w:hAnsi="Bookman Old Style" w:cs="Arial"/>
          <w:i/>
        </w:rPr>
        <w:t xml:space="preserve"> la metodología para remunerar la actividad de </w:t>
      </w:r>
      <w:r w:rsidR="001F25A7" w:rsidRPr="00A63CB6">
        <w:rPr>
          <w:rFonts w:ascii="Bookman Old Style" w:hAnsi="Bookman Old Style" w:cs="Arial"/>
          <w:i/>
        </w:rPr>
        <w:t>comercialización</w:t>
      </w:r>
      <w:r w:rsidRPr="00A63CB6">
        <w:rPr>
          <w:rFonts w:ascii="Bookman Old Style" w:hAnsi="Bookman Old Style" w:cs="Arial"/>
          <w:i/>
        </w:rPr>
        <w:t xml:space="preserve"> en las ZNI no tuvo en cuenta muchos de los gastos anteriores que ya existían en su momento, simplemente que por no tener cifras históricas </w:t>
      </w:r>
      <w:r w:rsidR="001F25A7" w:rsidRPr="00A63CB6">
        <w:rPr>
          <w:rFonts w:ascii="Bookman Old Style" w:hAnsi="Bookman Old Style" w:cs="Arial"/>
          <w:i/>
        </w:rPr>
        <w:t>decidió</w:t>
      </w:r>
      <w:r w:rsidRPr="00A63CB6">
        <w:rPr>
          <w:rFonts w:ascii="Bookman Old Style" w:hAnsi="Bookman Old Style" w:cs="Arial"/>
          <w:i/>
        </w:rPr>
        <w:t xml:space="preserve"> ignorarlos. Igualmente, tampoco reconoce un margen de comercialización como lo hace para las empresas del SIN</w:t>
      </w:r>
      <w:r w:rsidR="001F25A7" w:rsidRPr="00A63CB6">
        <w:rPr>
          <w:rFonts w:ascii="Bookman Old Style" w:hAnsi="Bookman Old Style" w:cs="Arial"/>
          <w:i/>
        </w:rPr>
        <w:t>.</w:t>
      </w:r>
    </w:p>
    <w:p w:rsidR="001F25A7" w:rsidRPr="00AB5FF7" w:rsidRDefault="001F25A7" w:rsidP="00D14538">
      <w:pPr>
        <w:widowControl w:val="0"/>
        <w:autoSpaceDE w:val="0"/>
        <w:autoSpaceDN w:val="0"/>
        <w:adjustRightInd w:val="0"/>
        <w:jc w:val="both"/>
        <w:rPr>
          <w:rFonts w:ascii="Bookman Old Style" w:hAnsi="Bookman Old Style" w:cs="Arial"/>
          <w:i/>
          <w:sz w:val="18"/>
        </w:rPr>
      </w:pPr>
    </w:p>
    <w:p w:rsidR="001F25A7" w:rsidRPr="00A63CB6" w:rsidRDefault="001F25A7"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 xml:space="preserve">Es también de amplio conocimiento que gran número de empresas comercializadoras del SIN tienen reconocidos cargos de comercialización superiores a $ 10.000 por factura y el modelo de empresa eficiente no les ha sido aplicado, constituyéndose en un tratamiento </w:t>
      </w:r>
      <w:r w:rsidRPr="00A63CB6">
        <w:rPr>
          <w:rFonts w:ascii="Bookman Old Style" w:hAnsi="Bookman Old Style" w:cs="Arial"/>
          <w:i/>
          <w:u w:val="single"/>
        </w:rPr>
        <w:t>inequitativo</w:t>
      </w:r>
      <w:r w:rsidRPr="00A63CB6">
        <w:rPr>
          <w:rFonts w:ascii="Bookman Old Style" w:hAnsi="Bookman Old Style" w:cs="Arial"/>
          <w:i/>
        </w:rPr>
        <w:t xml:space="preserve"> frente a las empresas de las ZNI.</w:t>
      </w:r>
    </w:p>
    <w:p w:rsidR="001F25A7" w:rsidRPr="00AB5FF7" w:rsidRDefault="001F25A7" w:rsidP="00D14538">
      <w:pPr>
        <w:widowControl w:val="0"/>
        <w:autoSpaceDE w:val="0"/>
        <w:autoSpaceDN w:val="0"/>
        <w:adjustRightInd w:val="0"/>
        <w:jc w:val="both"/>
        <w:rPr>
          <w:rFonts w:ascii="Bookman Old Style" w:hAnsi="Bookman Old Style" w:cs="Arial"/>
          <w:i/>
          <w:sz w:val="16"/>
        </w:rPr>
      </w:pPr>
    </w:p>
    <w:p w:rsidR="001F25A7" w:rsidRPr="00A63CB6" w:rsidRDefault="001F25A7"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 xml:space="preserve">Por ello es necesario, que la Comisión reconsidere su posición, indicando además, petición que en este momento se hace, cuál es una empresa eficiente, estableciendo la forma de creación, configuración jurídica, y todos </w:t>
      </w:r>
      <w:r w:rsidRPr="00A63CB6">
        <w:rPr>
          <w:rFonts w:ascii="Bookman Old Style" w:hAnsi="Bookman Old Style" w:cs="Arial"/>
          <w:i/>
        </w:rPr>
        <w:lastRenderedPageBreak/>
        <w:t xml:space="preserve">los demás aspectos relevantes de la misma; pidiendo que se tenga en cuenta la forma de creación de EMELCE S.A E.S.P., y las obligaciones legales que debe cumplir, pues verbigracia, los costos por contribuciones a la CREG son para este año del orden de </w:t>
      </w:r>
      <w:r w:rsidRPr="00A63CB6">
        <w:rPr>
          <w:rFonts w:ascii="Bookman Old Style" w:hAnsi="Bookman Old Style" w:cs="Arial"/>
          <w:i/>
          <w:u w:val="single"/>
        </w:rPr>
        <w:t>6 millones de pesos</w:t>
      </w:r>
      <w:r w:rsidRPr="00A63CB6">
        <w:rPr>
          <w:rFonts w:ascii="Bookman Old Style" w:hAnsi="Bookman Old Style" w:cs="Arial"/>
          <w:i/>
        </w:rPr>
        <w:t>, igual para la Superintendencia de Servicios Públicos y AZESONIC, 20 millones de Impuestos para la DIAN y 140 millones para el Municipio de Inírida por ICA, y que de no ser cumplidos dan lugar al inicio de los procesos coactivos correspondientes.</w:t>
      </w:r>
    </w:p>
    <w:p w:rsidR="001F25A7" w:rsidRPr="00AB5FF7" w:rsidRDefault="001F25A7" w:rsidP="00D14538">
      <w:pPr>
        <w:widowControl w:val="0"/>
        <w:autoSpaceDE w:val="0"/>
        <w:autoSpaceDN w:val="0"/>
        <w:adjustRightInd w:val="0"/>
        <w:jc w:val="both"/>
        <w:rPr>
          <w:rFonts w:ascii="Bookman Old Style" w:hAnsi="Bookman Old Style" w:cs="Arial"/>
          <w:i/>
          <w:sz w:val="20"/>
        </w:rPr>
      </w:pPr>
    </w:p>
    <w:p w:rsidR="001F25A7" w:rsidRPr="00A63CB6" w:rsidRDefault="001F25A7"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Al ser la empresa una sociedad anónima, debe por mandato del Código de Comercio contar con REVISORIA FISCAL, sin que pueda válidamente excusarse de cumplir con ese mandato.</w:t>
      </w:r>
    </w:p>
    <w:p w:rsidR="001F25A7" w:rsidRPr="00AB5FF7" w:rsidRDefault="001F25A7" w:rsidP="00D14538">
      <w:pPr>
        <w:widowControl w:val="0"/>
        <w:autoSpaceDE w:val="0"/>
        <w:autoSpaceDN w:val="0"/>
        <w:adjustRightInd w:val="0"/>
        <w:jc w:val="both"/>
        <w:rPr>
          <w:rFonts w:ascii="Bookman Old Style" w:hAnsi="Bookman Old Style" w:cs="Arial"/>
          <w:i/>
          <w:sz w:val="20"/>
        </w:rPr>
      </w:pPr>
    </w:p>
    <w:p w:rsidR="001F25A7" w:rsidRPr="00A63CB6" w:rsidRDefault="001F25A7"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 xml:space="preserve">La dinámica del ejercicio de la operación, demuestra la real necesidad de que exista un asesor contable, pues los reportes a la </w:t>
      </w:r>
      <w:proofErr w:type="spellStart"/>
      <w:r w:rsidRPr="00A63CB6">
        <w:rPr>
          <w:rFonts w:ascii="Bookman Old Style" w:hAnsi="Bookman Old Style" w:cs="Arial"/>
          <w:i/>
        </w:rPr>
        <w:t>S</w:t>
      </w:r>
      <w:r w:rsidR="00993FD4" w:rsidRPr="00A63CB6">
        <w:rPr>
          <w:rFonts w:ascii="Bookman Old Style" w:hAnsi="Bookman Old Style" w:cs="Arial"/>
          <w:i/>
        </w:rPr>
        <w:t>uperservicios</w:t>
      </w:r>
      <w:proofErr w:type="spellEnd"/>
      <w:r w:rsidR="00993FD4" w:rsidRPr="00A63CB6">
        <w:rPr>
          <w:rFonts w:ascii="Bookman Old Style" w:hAnsi="Bookman Old Style" w:cs="Arial"/>
          <w:i/>
        </w:rPr>
        <w:t>, a la DIAN, a la Contaduría General de la Nación, Contraloría General y Departamental y Asamblea de Socios, son constantes y reales, sin que pueda la empresa voluntariamente dejar de cumplir con esas obligaciones, y son que persona diferente a la formación profesional del contador pueda realizar.</w:t>
      </w:r>
    </w:p>
    <w:p w:rsidR="00993FD4" w:rsidRPr="00AB5FF7" w:rsidRDefault="00993FD4" w:rsidP="00D14538">
      <w:pPr>
        <w:widowControl w:val="0"/>
        <w:autoSpaceDE w:val="0"/>
        <w:autoSpaceDN w:val="0"/>
        <w:adjustRightInd w:val="0"/>
        <w:jc w:val="both"/>
        <w:rPr>
          <w:rFonts w:ascii="Bookman Old Style" w:hAnsi="Bookman Old Style" w:cs="Arial"/>
          <w:i/>
          <w:sz w:val="20"/>
        </w:rPr>
      </w:pPr>
    </w:p>
    <w:p w:rsidR="00993FD4" w:rsidRPr="00A63CB6" w:rsidRDefault="00993FD4"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Esa misma dinámica implica la necesidad de asesoramiento jurídico continuo pues los derechos de petición son constantes, así como el mismo acompañamiento de es profesional en el quehacer diario de la empresa, para minimizar el riesgo de cometer infracciones a las normas que rigen el actuar de la empresa, y en la rendición de informes mensuales a los entes de control.</w:t>
      </w:r>
    </w:p>
    <w:p w:rsidR="00993FD4" w:rsidRPr="00AB5FF7" w:rsidRDefault="00993FD4" w:rsidP="00D14538">
      <w:pPr>
        <w:widowControl w:val="0"/>
        <w:autoSpaceDE w:val="0"/>
        <w:autoSpaceDN w:val="0"/>
        <w:adjustRightInd w:val="0"/>
        <w:jc w:val="both"/>
        <w:rPr>
          <w:rFonts w:ascii="Bookman Old Style" w:hAnsi="Bookman Old Style" w:cs="Arial"/>
          <w:i/>
          <w:sz w:val="20"/>
        </w:rPr>
      </w:pPr>
    </w:p>
    <w:p w:rsidR="00993FD4" w:rsidRPr="00A63CB6" w:rsidRDefault="00993FD4"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 xml:space="preserve">Entonces, esta probado que el modelo de “empresa eficiente” se queda cortó frente a la realidad de empresas como EMELCE, sin que pueda indicarse en ningún caso que estos costos sean fruto de la </w:t>
      </w:r>
      <w:r w:rsidRPr="00A63CB6">
        <w:rPr>
          <w:rFonts w:ascii="Bookman Old Style" w:hAnsi="Bookman Old Style" w:cs="Arial"/>
          <w:i/>
          <w:u w:val="single"/>
        </w:rPr>
        <w:t>ineficiencia</w:t>
      </w:r>
      <w:r w:rsidRPr="00A63CB6">
        <w:rPr>
          <w:rFonts w:ascii="Bookman Old Style" w:hAnsi="Bookman Old Style" w:cs="Arial"/>
          <w:i/>
        </w:rPr>
        <w:t xml:space="preserve"> de la empresa, son fruto de la regulación existente que debe cumplir EMELCE, los cuales están soportados </w:t>
      </w:r>
      <w:r w:rsidRPr="00A63CB6">
        <w:rPr>
          <w:rFonts w:ascii="Bookman Old Style" w:hAnsi="Bookman Old Style" w:cs="Arial"/>
          <w:b/>
          <w:i/>
        </w:rPr>
        <w:t>en los estados financieros</w:t>
      </w:r>
      <w:r w:rsidRPr="00A63CB6">
        <w:rPr>
          <w:rFonts w:ascii="Bookman Old Style" w:hAnsi="Bookman Old Style" w:cs="Arial"/>
          <w:i/>
        </w:rPr>
        <w:t xml:space="preserve"> que la empresa </w:t>
      </w:r>
      <w:r w:rsidR="0007707F" w:rsidRPr="00A63CB6">
        <w:rPr>
          <w:rFonts w:ascii="Bookman Old Style" w:hAnsi="Bookman Old Style" w:cs="Arial"/>
          <w:i/>
        </w:rPr>
        <w:t>remitió</w:t>
      </w:r>
      <w:r w:rsidRPr="00A63CB6">
        <w:rPr>
          <w:rFonts w:ascii="Bookman Old Style" w:hAnsi="Bookman Old Style" w:cs="Arial"/>
          <w:i/>
        </w:rPr>
        <w:t xml:space="preserve"> </w:t>
      </w:r>
      <w:r w:rsidR="0007707F" w:rsidRPr="00A63CB6">
        <w:rPr>
          <w:rFonts w:ascii="Bookman Old Style" w:hAnsi="Bookman Old Style" w:cs="Arial"/>
          <w:i/>
        </w:rPr>
        <w:t>oportunamente</w:t>
      </w:r>
      <w:r w:rsidRPr="00A63CB6">
        <w:rPr>
          <w:rFonts w:ascii="Bookman Old Style" w:hAnsi="Bookman Old Style" w:cs="Arial"/>
          <w:i/>
        </w:rPr>
        <w:t xml:space="preserve"> a su despacho.</w:t>
      </w:r>
    </w:p>
    <w:p w:rsidR="00993FD4" w:rsidRPr="00AB5FF7" w:rsidRDefault="00993FD4" w:rsidP="00D14538">
      <w:pPr>
        <w:widowControl w:val="0"/>
        <w:autoSpaceDE w:val="0"/>
        <w:autoSpaceDN w:val="0"/>
        <w:adjustRightInd w:val="0"/>
        <w:jc w:val="both"/>
        <w:rPr>
          <w:rFonts w:ascii="Bookman Old Style" w:hAnsi="Bookman Old Style" w:cs="Arial"/>
          <w:i/>
          <w:sz w:val="20"/>
        </w:rPr>
      </w:pPr>
    </w:p>
    <w:p w:rsidR="00993FD4" w:rsidRPr="00A63CB6" w:rsidRDefault="00993FD4"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 xml:space="preserve">Es desafortunado, inequitativa e injusta para las empresas de la ZNI, la formula que utiliza la Comisión, sita en la Resolución CREG 091 de 2007, porque queda demostrado de manera clara que es insuficiente para remunerar los costos reales que empresas como la nuestra tienen que asumir para </w:t>
      </w:r>
      <w:r w:rsidR="0007707F" w:rsidRPr="00A63CB6">
        <w:rPr>
          <w:rFonts w:ascii="Bookman Old Style" w:hAnsi="Bookman Old Style" w:cs="Arial"/>
          <w:i/>
        </w:rPr>
        <w:t>realizar</w:t>
      </w:r>
      <w:r w:rsidRPr="00A63CB6">
        <w:rPr>
          <w:rFonts w:ascii="Bookman Old Style" w:hAnsi="Bookman Old Style" w:cs="Arial"/>
          <w:i/>
        </w:rPr>
        <w:t xml:space="preserve"> la distribución y comercialización y </w:t>
      </w:r>
      <w:r w:rsidRPr="00A63CB6">
        <w:rPr>
          <w:rFonts w:ascii="Bookman Old Style" w:hAnsi="Bookman Old Style" w:cs="Arial"/>
          <w:b/>
          <w:i/>
          <w:u w:val="single"/>
        </w:rPr>
        <w:t>sin que corresponda a la realidad de una empresa eficiente</w:t>
      </w:r>
      <w:r w:rsidRPr="00A63CB6">
        <w:rPr>
          <w:rFonts w:ascii="Bookman Old Style" w:hAnsi="Bookman Old Style" w:cs="Arial"/>
          <w:i/>
        </w:rPr>
        <w:t>.</w:t>
      </w:r>
    </w:p>
    <w:p w:rsidR="00993FD4" w:rsidRPr="00AB5FF7" w:rsidRDefault="00993FD4" w:rsidP="00D14538">
      <w:pPr>
        <w:widowControl w:val="0"/>
        <w:autoSpaceDE w:val="0"/>
        <w:autoSpaceDN w:val="0"/>
        <w:adjustRightInd w:val="0"/>
        <w:jc w:val="both"/>
        <w:rPr>
          <w:rFonts w:ascii="Bookman Old Style" w:hAnsi="Bookman Old Style" w:cs="Arial"/>
          <w:i/>
          <w:sz w:val="20"/>
        </w:rPr>
      </w:pPr>
    </w:p>
    <w:p w:rsidR="00993FD4" w:rsidRPr="00A63CB6" w:rsidRDefault="00993FD4"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b/>
          <w:i/>
        </w:rPr>
        <w:t>PRUEBAS</w:t>
      </w:r>
      <w:r w:rsidRPr="00A63CB6">
        <w:rPr>
          <w:rFonts w:ascii="Bookman Old Style" w:hAnsi="Bookman Old Style" w:cs="Arial"/>
          <w:i/>
        </w:rPr>
        <w:t>.</w:t>
      </w:r>
    </w:p>
    <w:p w:rsidR="00E51EF4" w:rsidRPr="00AB5FF7" w:rsidRDefault="00E51EF4" w:rsidP="00D14538">
      <w:pPr>
        <w:widowControl w:val="0"/>
        <w:autoSpaceDE w:val="0"/>
        <w:autoSpaceDN w:val="0"/>
        <w:adjustRightInd w:val="0"/>
        <w:jc w:val="both"/>
        <w:rPr>
          <w:rFonts w:ascii="Bookman Old Style" w:hAnsi="Bookman Old Style" w:cs="Arial"/>
          <w:i/>
          <w:sz w:val="18"/>
        </w:rPr>
      </w:pPr>
    </w:p>
    <w:p w:rsidR="0007707F" w:rsidRPr="00A63CB6" w:rsidRDefault="0007707F"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Solicito que se realice visita ocular a la empresa a efecto de corroborar in situ, las condiciones en que se trabajo y se establezca si efectivamente los gastos en que se incurre pueden considerarse ineficientes.</w:t>
      </w:r>
    </w:p>
    <w:p w:rsidR="0007707F" w:rsidRPr="00A63CB6" w:rsidRDefault="0007707F" w:rsidP="00D14538">
      <w:pPr>
        <w:widowControl w:val="0"/>
        <w:autoSpaceDE w:val="0"/>
        <w:autoSpaceDN w:val="0"/>
        <w:adjustRightInd w:val="0"/>
        <w:jc w:val="both"/>
        <w:rPr>
          <w:rFonts w:ascii="Bookman Old Style" w:hAnsi="Bookman Old Style" w:cs="Arial"/>
          <w:i/>
        </w:rPr>
      </w:pPr>
    </w:p>
    <w:p w:rsidR="0007707F" w:rsidRPr="00A63CB6" w:rsidRDefault="0007707F"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Solicito que a través de una mesa de trabajo que se desarrolle ya sea en la ciudad de Inírida o en la ciudad de Bogotá se pueda explicar fehacientemente los costos reales en que incurre la empresa y así pueda determinarse costos diferentes a los establecidos en la regulación.</w:t>
      </w:r>
    </w:p>
    <w:p w:rsidR="0007707F" w:rsidRPr="00A63CB6" w:rsidRDefault="0007707F" w:rsidP="00D14538">
      <w:pPr>
        <w:widowControl w:val="0"/>
        <w:autoSpaceDE w:val="0"/>
        <w:autoSpaceDN w:val="0"/>
        <w:adjustRightInd w:val="0"/>
        <w:jc w:val="both"/>
        <w:rPr>
          <w:rFonts w:ascii="Bookman Old Style" w:hAnsi="Bookman Old Style" w:cs="Arial"/>
          <w:b/>
          <w:i/>
        </w:rPr>
      </w:pPr>
      <w:r w:rsidRPr="00A63CB6">
        <w:rPr>
          <w:rFonts w:ascii="Bookman Old Style" w:hAnsi="Bookman Old Style" w:cs="Arial"/>
          <w:b/>
          <w:i/>
        </w:rPr>
        <w:lastRenderedPageBreak/>
        <w:t xml:space="preserve">SOLICITUD </w:t>
      </w:r>
    </w:p>
    <w:p w:rsidR="0007707F" w:rsidRPr="00A63CB6" w:rsidRDefault="0007707F" w:rsidP="00D14538">
      <w:pPr>
        <w:widowControl w:val="0"/>
        <w:autoSpaceDE w:val="0"/>
        <w:autoSpaceDN w:val="0"/>
        <w:adjustRightInd w:val="0"/>
        <w:jc w:val="both"/>
        <w:rPr>
          <w:rFonts w:ascii="Bookman Old Style" w:hAnsi="Bookman Old Style" w:cs="Arial"/>
          <w:i/>
        </w:rPr>
      </w:pPr>
    </w:p>
    <w:p w:rsidR="0007707F" w:rsidRPr="00A63CB6" w:rsidRDefault="0007707F"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Por las razones expuestas le solicito a la Comisión reconsiderar la decisión contenida en la resolución 025 de 2012, en lo atinente a negar parcialmente la solicitud de EMELCE, para aprobar como Cargo de Distribución la cifra de 130.61 $/</w:t>
      </w:r>
      <w:proofErr w:type="spellStart"/>
      <w:r w:rsidRPr="00A63CB6">
        <w:rPr>
          <w:rFonts w:ascii="Bookman Old Style" w:hAnsi="Bookman Old Style" w:cs="Arial"/>
          <w:i/>
        </w:rPr>
        <w:t>KWh</w:t>
      </w:r>
      <w:proofErr w:type="spellEnd"/>
      <w:r w:rsidRPr="00A63CB6">
        <w:rPr>
          <w:rFonts w:ascii="Bookman Old Style" w:hAnsi="Bookman Old Style" w:cs="Arial"/>
          <w:i/>
        </w:rPr>
        <w:t xml:space="preserve"> a pesos de diciembre de 2009, distribuidos en componente de inversión de 88.24 $/</w:t>
      </w:r>
      <w:proofErr w:type="spellStart"/>
      <w:r w:rsidRPr="00A63CB6">
        <w:rPr>
          <w:rFonts w:ascii="Bookman Old Style" w:hAnsi="Bookman Old Style" w:cs="Arial"/>
          <w:i/>
        </w:rPr>
        <w:t>KWh</w:t>
      </w:r>
      <w:proofErr w:type="spellEnd"/>
      <w:r w:rsidRPr="00A63CB6">
        <w:rPr>
          <w:rFonts w:ascii="Bookman Old Style" w:hAnsi="Bookman Old Style" w:cs="Arial"/>
          <w:i/>
        </w:rPr>
        <w:t xml:space="preserve"> y componente de AOM de 42.37 $/</w:t>
      </w:r>
      <w:proofErr w:type="spellStart"/>
      <w:r w:rsidRPr="00A63CB6">
        <w:rPr>
          <w:rFonts w:ascii="Bookman Old Style" w:hAnsi="Bookman Old Style" w:cs="Arial"/>
          <w:i/>
        </w:rPr>
        <w:t>KWh</w:t>
      </w:r>
      <w:proofErr w:type="spellEnd"/>
      <w:r w:rsidRPr="00A63CB6">
        <w:rPr>
          <w:rFonts w:ascii="Bookman Old Style" w:hAnsi="Bookman Old Style" w:cs="Arial"/>
          <w:i/>
        </w:rPr>
        <w:t xml:space="preserve"> y de aprobar como Cargo de Comercialización la cifra de 7543.17 $/Factura a pesos de diciembre de 2009, y aprobar la petición de cargos por ser los requeridos para garantizar la subsistencia financiera de la empresa</w:t>
      </w:r>
    </w:p>
    <w:p w:rsidR="0065583A" w:rsidRPr="00AB5FF7" w:rsidRDefault="0065583A" w:rsidP="00D14538">
      <w:pPr>
        <w:widowControl w:val="0"/>
        <w:autoSpaceDE w:val="0"/>
        <w:autoSpaceDN w:val="0"/>
        <w:adjustRightInd w:val="0"/>
        <w:jc w:val="both"/>
        <w:rPr>
          <w:rFonts w:ascii="Bookman Old Style" w:hAnsi="Bookman Old Style" w:cs="Arial"/>
          <w:i/>
          <w:sz w:val="14"/>
        </w:rPr>
      </w:pPr>
    </w:p>
    <w:p w:rsidR="000F48BA" w:rsidRPr="00A63CB6" w:rsidRDefault="000F48BA" w:rsidP="00D14538">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w:t>
      </w:r>
    </w:p>
    <w:p w:rsidR="0072061A" w:rsidRPr="00AB5FF7" w:rsidRDefault="0072061A" w:rsidP="00C31EC7">
      <w:pPr>
        <w:pStyle w:val="Textoindependiente"/>
        <w:ind w:left="0"/>
        <w:jc w:val="both"/>
        <w:rPr>
          <w:rFonts w:ascii="Bookman Old Style" w:hAnsi="Bookman Old Style"/>
          <w:b w:val="0"/>
          <w:bCs w:val="0"/>
          <w:iCs/>
          <w:lang w:val="es-CO"/>
        </w:rPr>
      </w:pPr>
    </w:p>
    <w:p w:rsidR="0072061A" w:rsidRPr="00A63CB6" w:rsidRDefault="0072061A" w:rsidP="00C31EC7">
      <w:pPr>
        <w:ind w:left="0"/>
        <w:jc w:val="both"/>
        <w:rPr>
          <w:rFonts w:ascii="Bookman Old Style" w:hAnsi="Bookman Old Style" w:cs="Arial"/>
          <w:b/>
        </w:rPr>
      </w:pPr>
      <w:r w:rsidRPr="00A63CB6">
        <w:rPr>
          <w:rFonts w:ascii="Bookman Old Style" w:hAnsi="Bookman Old Style" w:cs="Arial"/>
          <w:b/>
        </w:rPr>
        <w:t>3.</w:t>
      </w:r>
      <w:r w:rsidRPr="00A63CB6">
        <w:rPr>
          <w:rFonts w:ascii="Bookman Old Style" w:hAnsi="Bookman Old Style" w:cs="Arial"/>
          <w:b/>
        </w:rPr>
        <w:tab/>
        <w:t>TRÁMITE SURTIDO POR LA CREG</w:t>
      </w:r>
    </w:p>
    <w:p w:rsidR="0072061A" w:rsidRPr="00AB5FF7" w:rsidRDefault="0072061A" w:rsidP="00C31EC7">
      <w:pPr>
        <w:ind w:left="0"/>
        <w:jc w:val="both"/>
        <w:rPr>
          <w:rFonts w:ascii="Bookman Old Style" w:hAnsi="Bookman Old Style" w:cs="Arial"/>
          <w:sz w:val="18"/>
        </w:rPr>
      </w:pPr>
    </w:p>
    <w:p w:rsidR="0072061A" w:rsidRPr="00A63CB6" w:rsidRDefault="0072061A" w:rsidP="00C31EC7">
      <w:pPr>
        <w:ind w:left="0"/>
        <w:jc w:val="both"/>
        <w:rPr>
          <w:rFonts w:ascii="Bookman Old Style" w:hAnsi="Bookman Old Style" w:cs="Arial"/>
        </w:rPr>
      </w:pPr>
      <w:r w:rsidRPr="00A63CB6">
        <w:rPr>
          <w:rFonts w:ascii="Bookman Old Style" w:hAnsi="Bookman Old Style" w:cs="Arial"/>
        </w:rPr>
        <w:t>Recibido el recurso de la referencia, corresponde a la CREG analizar la competencia de la entidad para conocerlo y la oportunidad en la cual fue presentado.</w:t>
      </w:r>
    </w:p>
    <w:p w:rsidR="0072061A" w:rsidRPr="00AB5FF7" w:rsidRDefault="0072061A" w:rsidP="00C31EC7">
      <w:pPr>
        <w:ind w:left="0"/>
        <w:jc w:val="both"/>
        <w:rPr>
          <w:rFonts w:ascii="Bookman Old Style" w:hAnsi="Bookman Old Style" w:cs="Arial"/>
          <w:sz w:val="20"/>
        </w:rPr>
      </w:pPr>
    </w:p>
    <w:p w:rsidR="0072061A" w:rsidRPr="00A63CB6" w:rsidRDefault="0072061A" w:rsidP="00C31EC7">
      <w:pPr>
        <w:ind w:left="0"/>
        <w:jc w:val="both"/>
        <w:rPr>
          <w:rFonts w:ascii="Bookman Old Style" w:hAnsi="Bookman Old Style" w:cs="Arial"/>
          <w:b/>
        </w:rPr>
      </w:pPr>
      <w:r w:rsidRPr="00A63CB6">
        <w:rPr>
          <w:rFonts w:ascii="Bookman Old Style" w:hAnsi="Bookman Old Style" w:cs="Arial"/>
          <w:b/>
        </w:rPr>
        <w:t>3.1 COMPETENCIA</w:t>
      </w:r>
    </w:p>
    <w:p w:rsidR="0072061A" w:rsidRPr="00A63CB6" w:rsidRDefault="0072061A" w:rsidP="00C31EC7">
      <w:pPr>
        <w:ind w:left="0"/>
        <w:jc w:val="both"/>
        <w:rPr>
          <w:rFonts w:ascii="Bookman Old Style" w:hAnsi="Bookman Old Style" w:cs="Arial"/>
        </w:rPr>
      </w:pPr>
    </w:p>
    <w:p w:rsidR="0072061A" w:rsidRPr="00A63CB6" w:rsidRDefault="0072061A" w:rsidP="00C31EC7">
      <w:pPr>
        <w:ind w:left="0"/>
        <w:jc w:val="both"/>
        <w:rPr>
          <w:rFonts w:ascii="Bookman Old Style" w:hAnsi="Bookman Old Style" w:cs="Arial"/>
        </w:rPr>
      </w:pPr>
      <w:r w:rsidRPr="00A63CB6">
        <w:rPr>
          <w:rFonts w:ascii="Bookman Old Style" w:hAnsi="Bookman Old Style" w:cs="Arial"/>
        </w:rPr>
        <w:t>Salvo disposición legal en contrario, el artículo 113 de la Ley 142 de 1994 establece que en contra de las decisiones de las Comisiones de Regulación con las cuales se pon</w:t>
      </w:r>
      <w:r w:rsidR="00D14538" w:rsidRPr="00A63CB6">
        <w:rPr>
          <w:rFonts w:ascii="Bookman Old Style" w:hAnsi="Bookman Old Style" w:cs="Arial"/>
        </w:rPr>
        <w:t>e</w:t>
      </w:r>
      <w:r w:rsidRPr="00A63CB6">
        <w:rPr>
          <w:rFonts w:ascii="Bookman Old Style" w:hAnsi="Bookman Old Style" w:cs="Arial"/>
        </w:rPr>
        <w:t xml:space="preserve"> fin a actuaci</w:t>
      </w:r>
      <w:r w:rsidR="00D14538" w:rsidRPr="00A63CB6">
        <w:rPr>
          <w:rFonts w:ascii="Bookman Old Style" w:hAnsi="Bookman Old Style" w:cs="Arial"/>
        </w:rPr>
        <w:t>o</w:t>
      </w:r>
      <w:r w:rsidRPr="00A63CB6">
        <w:rPr>
          <w:rFonts w:ascii="Bookman Old Style" w:hAnsi="Bookman Old Style" w:cs="Arial"/>
        </w:rPr>
        <w:t>n</w:t>
      </w:r>
      <w:r w:rsidR="00D14538" w:rsidRPr="00A63CB6">
        <w:rPr>
          <w:rFonts w:ascii="Bookman Old Style" w:hAnsi="Bookman Old Style" w:cs="Arial"/>
        </w:rPr>
        <w:t>es</w:t>
      </w:r>
      <w:r w:rsidRPr="00A63CB6">
        <w:rPr>
          <w:rFonts w:ascii="Bookman Old Style" w:hAnsi="Bookman Old Style" w:cs="Arial"/>
        </w:rPr>
        <w:t xml:space="preserve"> administrativa</w:t>
      </w:r>
      <w:r w:rsidR="00D14538" w:rsidRPr="00A63CB6">
        <w:rPr>
          <w:rFonts w:ascii="Bookman Old Style" w:hAnsi="Bookman Old Style" w:cs="Arial"/>
        </w:rPr>
        <w:t>s</w:t>
      </w:r>
      <w:r w:rsidRPr="00A63CB6">
        <w:rPr>
          <w:rFonts w:ascii="Bookman Old Style" w:hAnsi="Bookman Old Style" w:cs="Arial"/>
        </w:rPr>
        <w:t xml:space="preserve"> únicamente procede el recurso de reposición, el cual deberá interponerse dentro de los cinco días siguientes a la notificación o publicación del acto.</w:t>
      </w:r>
    </w:p>
    <w:p w:rsidR="0072061A" w:rsidRPr="00AB5FF7" w:rsidRDefault="0072061A" w:rsidP="00C31EC7">
      <w:pPr>
        <w:ind w:left="0"/>
        <w:jc w:val="both"/>
        <w:rPr>
          <w:rFonts w:ascii="Bookman Old Style" w:hAnsi="Bookman Old Style" w:cs="Arial"/>
          <w:sz w:val="22"/>
        </w:rPr>
      </w:pPr>
    </w:p>
    <w:p w:rsidR="0072061A" w:rsidRPr="00A63CB6" w:rsidRDefault="0072061A" w:rsidP="00C31EC7">
      <w:pPr>
        <w:ind w:left="0"/>
        <w:jc w:val="both"/>
        <w:rPr>
          <w:rFonts w:ascii="Bookman Old Style" w:hAnsi="Bookman Old Style" w:cs="Arial"/>
        </w:rPr>
      </w:pPr>
      <w:r w:rsidRPr="00A63CB6">
        <w:rPr>
          <w:rFonts w:ascii="Bookman Old Style" w:hAnsi="Bookman Old Style" w:cs="Arial"/>
        </w:rPr>
        <w:t>Complementando lo anterior, el artículo 50 del Código Contencioso Administrativo establece que el recurso de reposición existe en la vía gubernativa, siendo interpuesto ante el mismo funcionario que profirió el acto para que sea éste quien lo decida.</w:t>
      </w:r>
    </w:p>
    <w:p w:rsidR="0072061A" w:rsidRPr="00AB5FF7" w:rsidRDefault="0072061A" w:rsidP="00C31EC7">
      <w:pPr>
        <w:ind w:left="0"/>
        <w:jc w:val="both"/>
        <w:rPr>
          <w:rFonts w:ascii="Bookman Old Style" w:hAnsi="Bookman Old Style" w:cs="Arial"/>
          <w:sz w:val="20"/>
        </w:rPr>
      </w:pPr>
    </w:p>
    <w:p w:rsidR="0072061A" w:rsidRPr="00A63CB6" w:rsidRDefault="0072061A" w:rsidP="00C31EC7">
      <w:pPr>
        <w:ind w:left="0"/>
        <w:jc w:val="both"/>
        <w:rPr>
          <w:rFonts w:ascii="Bookman Old Style" w:hAnsi="Bookman Old Style" w:cs="Arial"/>
        </w:rPr>
      </w:pPr>
      <w:r w:rsidRPr="00A63CB6">
        <w:rPr>
          <w:rFonts w:ascii="Bookman Old Style" w:hAnsi="Bookman Old Style" w:cs="Arial"/>
        </w:rPr>
        <w:t>De esta manera resulta clara la competencia de la CREG para resolver el recurso de reposición, interpuesto por la empresa en contra de la Resolución CREG 0</w:t>
      </w:r>
      <w:r w:rsidR="00D14538" w:rsidRPr="00A63CB6">
        <w:rPr>
          <w:rFonts w:ascii="Bookman Old Style" w:hAnsi="Bookman Old Style" w:cs="Arial"/>
        </w:rPr>
        <w:t>25</w:t>
      </w:r>
      <w:r w:rsidRPr="00A63CB6">
        <w:rPr>
          <w:rFonts w:ascii="Bookman Old Style" w:hAnsi="Bookman Old Style" w:cs="Arial"/>
        </w:rPr>
        <w:t xml:space="preserve"> de 201</w:t>
      </w:r>
      <w:r w:rsidR="00D14538" w:rsidRPr="00A63CB6">
        <w:rPr>
          <w:rFonts w:ascii="Bookman Old Style" w:hAnsi="Bookman Old Style" w:cs="Arial"/>
        </w:rPr>
        <w:t>2</w:t>
      </w:r>
      <w:r w:rsidRPr="00A63CB6">
        <w:rPr>
          <w:rFonts w:ascii="Bookman Old Style" w:hAnsi="Bookman Old Style" w:cs="Arial"/>
        </w:rPr>
        <w:t xml:space="preserve">. </w:t>
      </w:r>
    </w:p>
    <w:p w:rsidR="0072061A" w:rsidRPr="00AB5FF7" w:rsidRDefault="0072061A" w:rsidP="00C31EC7">
      <w:pPr>
        <w:ind w:left="0"/>
        <w:jc w:val="both"/>
        <w:rPr>
          <w:rFonts w:ascii="Bookman Old Style" w:hAnsi="Bookman Old Style"/>
          <w:iCs/>
          <w:sz w:val="22"/>
          <w:lang w:val="es-CO"/>
        </w:rPr>
      </w:pPr>
    </w:p>
    <w:p w:rsidR="0072061A" w:rsidRPr="00A63CB6" w:rsidRDefault="0072061A" w:rsidP="00C31EC7">
      <w:pPr>
        <w:ind w:left="0"/>
        <w:jc w:val="both"/>
        <w:rPr>
          <w:rFonts w:ascii="Bookman Old Style" w:hAnsi="Bookman Old Style"/>
          <w:b/>
          <w:iCs/>
          <w:lang w:val="es-CO"/>
        </w:rPr>
      </w:pPr>
      <w:r w:rsidRPr="00A63CB6">
        <w:rPr>
          <w:rFonts w:ascii="Bookman Old Style" w:hAnsi="Bookman Old Style"/>
          <w:b/>
          <w:iCs/>
          <w:lang w:val="es-CO"/>
        </w:rPr>
        <w:t>3.2 OPORTUNIDAD</w:t>
      </w:r>
    </w:p>
    <w:p w:rsidR="0072061A" w:rsidRPr="00AB5FF7" w:rsidRDefault="0072061A" w:rsidP="00C31EC7">
      <w:pPr>
        <w:ind w:left="0"/>
        <w:jc w:val="both"/>
        <w:rPr>
          <w:rFonts w:ascii="Bookman Old Style" w:hAnsi="Bookman Old Style"/>
          <w:b/>
          <w:iCs/>
          <w:sz w:val="22"/>
          <w:lang w:val="es-CO"/>
        </w:rPr>
      </w:pPr>
    </w:p>
    <w:p w:rsidR="0072061A" w:rsidRPr="00A63CB6" w:rsidRDefault="0072061A" w:rsidP="00C31EC7">
      <w:pPr>
        <w:ind w:left="0"/>
        <w:jc w:val="both"/>
        <w:rPr>
          <w:rFonts w:ascii="Bookman Old Style" w:hAnsi="Bookman Old Style"/>
          <w:iCs/>
          <w:lang w:val="es-CO"/>
        </w:rPr>
      </w:pPr>
      <w:r w:rsidRPr="00A63CB6">
        <w:rPr>
          <w:rFonts w:ascii="Bookman Old Style" w:hAnsi="Bookman Old Style"/>
          <w:iCs/>
          <w:lang w:val="es-CO"/>
        </w:rPr>
        <w:t>El recurso de reposició</w:t>
      </w:r>
      <w:r w:rsidR="00993FD4" w:rsidRPr="00A63CB6">
        <w:rPr>
          <w:rFonts w:ascii="Bookman Old Style" w:hAnsi="Bookman Old Style"/>
          <w:iCs/>
          <w:lang w:val="es-CO"/>
        </w:rPr>
        <w:t>n fue presentado en la CREG el 13</w:t>
      </w:r>
      <w:r w:rsidRPr="00A63CB6">
        <w:rPr>
          <w:rFonts w:ascii="Bookman Old Style" w:hAnsi="Bookman Old Style"/>
          <w:iCs/>
          <w:lang w:val="es-CO"/>
        </w:rPr>
        <w:t xml:space="preserve"> de </w:t>
      </w:r>
      <w:r w:rsidR="00993FD4" w:rsidRPr="00A63CB6">
        <w:rPr>
          <w:rFonts w:ascii="Bookman Old Style" w:hAnsi="Bookman Old Style"/>
          <w:iCs/>
          <w:lang w:val="es-CO"/>
        </w:rPr>
        <w:t>abril</w:t>
      </w:r>
      <w:r w:rsidRPr="00A63CB6">
        <w:rPr>
          <w:rFonts w:ascii="Bookman Old Style" w:hAnsi="Bookman Old Style"/>
          <w:iCs/>
          <w:lang w:val="es-CO"/>
        </w:rPr>
        <w:t xml:space="preserve"> de 201</w:t>
      </w:r>
      <w:r w:rsidR="00993FD4" w:rsidRPr="00A63CB6">
        <w:rPr>
          <w:rFonts w:ascii="Bookman Old Style" w:hAnsi="Bookman Old Style"/>
          <w:iCs/>
          <w:lang w:val="es-CO"/>
        </w:rPr>
        <w:t>2</w:t>
      </w:r>
      <w:r w:rsidRPr="00A63CB6">
        <w:rPr>
          <w:rFonts w:ascii="Bookman Old Style" w:hAnsi="Bookman Old Style"/>
          <w:iCs/>
          <w:lang w:val="es-CO"/>
        </w:rPr>
        <w:t xml:space="preserve"> y la Resolución CREG 0</w:t>
      </w:r>
      <w:r w:rsidR="00993FD4" w:rsidRPr="00A63CB6">
        <w:rPr>
          <w:rFonts w:ascii="Bookman Old Style" w:hAnsi="Bookman Old Style"/>
          <w:iCs/>
          <w:lang w:val="es-CO"/>
        </w:rPr>
        <w:t>25</w:t>
      </w:r>
      <w:r w:rsidRPr="00A63CB6">
        <w:rPr>
          <w:rFonts w:ascii="Bookman Old Style" w:hAnsi="Bookman Old Style"/>
          <w:iCs/>
          <w:lang w:val="es-CO"/>
        </w:rPr>
        <w:t xml:space="preserve"> de 201</w:t>
      </w:r>
      <w:r w:rsidR="00D5294D" w:rsidRPr="00A63CB6">
        <w:rPr>
          <w:rFonts w:ascii="Bookman Old Style" w:hAnsi="Bookman Old Style"/>
          <w:iCs/>
          <w:lang w:val="es-CO"/>
        </w:rPr>
        <w:t>2</w:t>
      </w:r>
      <w:r w:rsidRPr="00A63CB6">
        <w:rPr>
          <w:rFonts w:ascii="Bookman Old Style" w:hAnsi="Bookman Old Style"/>
          <w:iCs/>
          <w:lang w:val="es-CO"/>
        </w:rPr>
        <w:t xml:space="preserve"> fue notificada a la empresa el </w:t>
      </w:r>
      <w:r w:rsidR="00D5294D" w:rsidRPr="00A63CB6">
        <w:rPr>
          <w:rFonts w:ascii="Bookman Old Style" w:hAnsi="Bookman Old Style"/>
          <w:iCs/>
          <w:lang w:val="es-CO"/>
        </w:rPr>
        <w:t>9</w:t>
      </w:r>
      <w:r w:rsidRPr="00A63CB6">
        <w:rPr>
          <w:rFonts w:ascii="Bookman Old Style" w:hAnsi="Bookman Old Style"/>
          <w:iCs/>
          <w:lang w:val="es-CO"/>
        </w:rPr>
        <w:t xml:space="preserve"> de abril de 201</w:t>
      </w:r>
      <w:r w:rsidR="00D5294D" w:rsidRPr="00A63CB6">
        <w:rPr>
          <w:rFonts w:ascii="Bookman Old Style" w:hAnsi="Bookman Old Style"/>
          <w:iCs/>
          <w:lang w:val="es-CO"/>
        </w:rPr>
        <w:t>2</w:t>
      </w:r>
      <w:r w:rsidRPr="00A63CB6">
        <w:rPr>
          <w:rFonts w:ascii="Bookman Old Style" w:hAnsi="Bookman Old Style"/>
          <w:iCs/>
          <w:lang w:val="es-CO"/>
        </w:rPr>
        <w:t>, con lo cual se puede observar la oportunidad en la interposición del recurso por parte de la empresa.</w:t>
      </w:r>
    </w:p>
    <w:p w:rsidR="00AB5FF7" w:rsidRPr="00AB5FF7" w:rsidRDefault="00AB5FF7" w:rsidP="00C31EC7">
      <w:pPr>
        <w:ind w:left="0"/>
        <w:jc w:val="both"/>
        <w:rPr>
          <w:rFonts w:ascii="Bookman Old Style" w:hAnsi="Bookman Old Style"/>
          <w:iCs/>
          <w:sz w:val="28"/>
          <w:lang w:val="es-CO"/>
        </w:rPr>
      </w:pPr>
    </w:p>
    <w:p w:rsidR="0072061A" w:rsidRPr="00A63CB6" w:rsidRDefault="0072061A" w:rsidP="00C31EC7">
      <w:pPr>
        <w:pStyle w:val="Ttulo1"/>
        <w:ind w:left="0"/>
        <w:jc w:val="left"/>
        <w:rPr>
          <w:rFonts w:ascii="Bookman Old Style" w:hAnsi="Bookman Old Style"/>
          <w:szCs w:val="24"/>
        </w:rPr>
      </w:pPr>
      <w:r w:rsidRPr="00A63CB6">
        <w:rPr>
          <w:rFonts w:ascii="Bookman Old Style" w:hAnsi="Bookman Old Style"/>
          <w:szCs w:val="24"/>
        </w:rPr>
        <w:t>4.</w:t>
      </w:r>
      <w:r w:rsidRPr="00A63CB6">
        <w:rPr>
          <w:rFonts w:ascii="Bookman Old Style" w:hAnsi="Bookman Old Style"/>
          <w:szCs w:val="24"/>
        </w:rPr>
        <w:tab/>
        <w:t>ANÁLISIS DE LA SOLICITUD</w:t>
      </w:r>
    </w:p>
    <w:p w:rsidR="0072061A" w:rsidRPr="00A63CB6" w:rsidRDefault="0072061A" w:rsidP="00C31EC7">
      <w:pPr>
        <w:ind w:left="0"/>
        <w:rPr>
          <w:rFonts w:ascii="Bookman Old Style" w:hAnsi="Bookman Old Style"/>
          <w:lang w:val="es-CO"/>
        </w:rPr>
      </w:pPr>
    </w:p>
    <w:p w:rsidR="008D3154" w:rsidRPr="00A63CB6" w:rsidRDefault="008D3154" w:rsidP="00C31EC7">
      <w:pPr>
        <w:ind w:left="0"/>
        <w:jc w:val="both"/>
        <w:rPr>
          <w:rFonts w:ascii="Bookman Old Style" w:hAnsi="Bookman Old Style" w:cs="Arial"/>
          <w:bCs/>
        </w:rPr>
      </w:pPr>
      <w:r w:rsidRPr="00A63CB6">
        <w:rPr>
          <w:rFonts w:ascii="Bookman Old Style" w:hAnsi="Bookman Old Style" w:cs="Arial"/>
          <w:bCs/>
        </w:rPr>
        <w:t>Sea lo primero ac</w:t>
      </w:r>
      <w:r w:rsidR="00EA39BE" w:rsidRPr="00A63CB6">
        <w:rPr>
          <w:rFonts w:ascii="Bookman Old Style" w:hAnsi="Bookman Old Style" w:cs="Arial"/>
          <w:bCs/>
        </w:rPr>
        <w:t>la</w:t>
      </w:r>
      <w:r w:rsidRPr="00A63CB6">
        <w:rPr>
          <w:rFonts w:ascii="Bookman Old Style" w:hAnsi="Bookman Old Style" w:cs="Arial"/>
          <w:bCs/>
        </w:rPr>
        <w:t xml:space="preserve">rar que </w:t>
      </w:r>
      <w:r w:rsidR="00EA39BE" w:rsidRPr="00A63CB6">
        <w:rPr>
          <w:rFonts w:ascii="Bookman Old Style" w:hAnsi="Bookman Old Style" w:cs="Arial"/>
          <w:bCs/>
        </w:rPr>
        <w:t xml:space="preserve">en </w:t>
      </w:r>
      <w:r w:rsidRPr="00A63CB6">
        <w:rPr>
          <w:rFonts w:ascii="Bookman Old Style" w:hAnsi="Bookman Old Style" w:cs="Arial"/>
          <w:bCs/>
        </w:rPr>
        <w:t>el recurso se</w:t>
      </w:r>
      <w:r w:rsidR="00EA39BE" w:rsidRPr="00A63CB6">
        <w:rPr>
          <w:rFonts w:ascii="Bookman Old Style" w:hAnsi="Bookman Old Style" w:cs="Arial"/>
          <w:bCs/>
        </w:rPr>
        <w:t xml:space="preserve"> hace</w:t>
      </w:r>
      <w:r w:rsidRPr="00A63CB6">
        <w:rPr>
          <w:rFonts w:ascii="Bookman Old Style" w:hAnsi="Bookman Old Style" w:cs="Arial"/>
          <w:bCs/>
        </w:rPr>
        <w:t xml:space="preserve"> ref</w:t>
      </w:r>
      <w:r w:rsidR="00EA39BE" w:rsidRPr="00A63CB6">
        <w:rPr>
          <w:rFonts w:ascii="Bookman Old Style" w:hAnsi="Bookman Old Style" w:cs="Arial"/>
          <w:bCs/>
        </w:rPr>
        <w:t xml:space="preserve">erencia </w:t>
      </w:r>
      <w:r w:rsidRPr="00A63CB6">
        <w:rPr>
          <w:rFonts w:ascii="Bookman Old Style" w:hAnsi="Bookman Old Style" w:cs="Arial"/>
          <w:bCs/>
        </w:rPr>
        <w:t>a consi</w:t>
      </w:r>
      <w:r w:rsidR="00EA39BE" w:rsidRPr="00A63CB6">
        <w:rPr>
          <w:rFonts w:ascii="Bookman Old Style" w:hAnsi="Bookman Old Style" w:cs="Arial"/>
          <w:bCs/>
        </w:rPr>
        <w:t>d</w:t>
      </w:r>
      <w:r w:rsidRPr="00A63CB6">
        <w:rPr>
          <w:rFonts w:ascii="Bookman Old Style" w:hAnsi="Bookman Old Style" w:cs="Arial"/>
          <w:bCs/>
        </w:rPr>
        <w:t>eraciones generales</w:t>
      </w:r>
      <w:r w:rsidR="00EA39BE" w:rsidRPr="00A63CB6">
        <w:rPr>
          <w:rFonts w:ascii="Bookman Old Style" w:hAnsi="Bookman Old Style" w:cs="Arial"/>
          <w:bCs/>
        </w:rPr>
        <w:t xml:space="preserve"> y apreciaciones sobre la Resolución CREG 091 de 2007 y su aplicación en </w:t>
      </w:r>
      <w:r w:rsidR="00A63CB6" w:rsidRPr="00A63CB6">
        <w:rPr>
          <w:rFonts w:ascii="Bookman Old Style" w:hAnsi="Bookman Old Style" w:cs="Arial"/>
          <w:bCs/>
        </w:rPr>
        <w:t xml:space="preserve">la totalidad de </w:t>
      </w:r>
      <w:r w:rsidR="00EA39BE" w:rsidRPr="00A63CB6">
        <w:rPr>
          <w:rFonts w:ascii="Bookman Old Style" w:hAnsi="Bookman Old Style" w:cs="Arial"/>
          <w:bCs/>
        </w:rPr>
        <w:t>la</w:t>
      </w:r>
      <w:r w:rsidR="00A63CB6" w:rsidRPr="00A63CB6">
        <w:rPr>
          <w:rFonts w:ascii="Bookman Old Style" w:hAnsi="Bookman Old Style" w:cs="Arial"/>
          <w:bCs/>
        </w:rPr>
        <w:t>s</w:t>
      </w:r>
      <w:r w:rsidR="00EA39BE" w:rsidRPr="00A63CB6">
        <w:rPr>
          <w:rFonts w:ascii="Bookman Old Style" w:hAnsi="Bookman Old Style" w:cs="Arial"/>
          <w:bCs/>
        </w:rPr>
        <w:t xml:space="preserve"> Z</w:t>
      </w:r>
      <w:r w:rsidR="00A63CB6" w:rsidRPr="00A63CB6">
        <w:rPr>
          <w:rFonts w:ascii="Bookman Old Style" w:hAnsi="Bookman Old Style" w:cs="Arial"/>
          <w:bCs/>
        </w:rPr>
        <w:t xml:space="preserve">onas </w:t>
      </w:r>
      <w:r w:rsidR="00EA39BE" w:rsidRPr="00A63CB6">
        <w:rPr>
          <w:rFonts w:ascii="Bookman Old Style" w:hAnsi="Bookman Old Style" w:cs="Arial"/>
          <w:bCs/>
        </w:rPr>
        <w:t>N</w:t>
      </w:r>
      <w:r w:rsidR="00A63CB6" w:rsidRPr="00A63CB6">
        <w:rPr>
          <w:rFonts w:ascii="Bookman Old Style" w:hAnsi="Bookman Old Style" w:cs="Arial"/>
          <w:bCs/>
        </w:rPr>
        <w:t xml:space="preserve">o </w:t>
      </w:r>
      <w:r w:rsidR="00EA39BE" w:rsidRPr="00A63CB6">
        <w:rPr>
          <w:rFonts w:ascii="Bookman Old Style" w:hAnsi="Bookman Old Style" w:cs="Arial"/>
          <w:bCs/>
        </w:rPr>
        <w:t>I</w:t>
      </w:r>
      <w:r w:rsidR="00A63CB6" w:rsidRPr="00A63CB6">
        <w:rPr>
          <w:rFonts w:ascii="Bookman Old Style" w:hAnsi="Bookman Old Style" w:cs="Arial"/>
          <w:bCs/>
        </w:rPr>
        <w:t>nterconectadas</w:t>
      </w:r>
      <w:r w:rsidR="0098055C">
        <w:rPr>
          <w:rFonts w:ascii="Bookman Old Style" w:hAnsi="Bookman Old Style" w:cs="Arial"/>
          <w:bCs/>
        </w:rPr>
        <w:t>, argumentos</w:t>
      </w:r>
      <w:r w:rsidR="00A63CB6" w:rsidRPr="00A63CB6">
        <w:rPr>
          <w:rFonts w:ascii="Bookman Old Style" w:hAnsi="Bookman Old Style" w:cs="Arial"/>
          <w:bCs/>
        </w:rPr>
        <w:t xml:space="preserve"> que no son objeto de análisis en esta actuación administrativa</w:t>
      </w:r>
      <w:r w:rsidR="0098055C">
        <w:rPr>
          <w:rFonts w:ascii="Bookman Old Style" w:hAnsi="Bookman Old Style" w:cs="Arial"/>
          <w:bCs/>
        </w:rPr>
        <w:t>,</w:t>
      </w:r>
      <w:r w:rsidR="00A63CB6" w:rsidRPr="00A63CB6">
        <w:rPr>
          <w:rFonts w:ascii="Bookman Old Style" w:hAnsi="Bookman Old Style" w:cs="Arial"/>
          <w:bCs/>
        </w:rPr>
        <w:t xml:space="preserve"> </w:t>
      </w:r>
      <w:r w:rsidR="0098055C">
        <w:rPr>
          <w:rFonts w:ascii="Bookman Old Style" w:hAnsi="Bookman Old Style" w:cs="Arial"/>
          <w:bCs/>
        </w:rPr>
        <w:t>ya que e</w:t>
      </w:r>
      <w:r w:rsidRPr="00A63CB6">
        <w:rPr>
          <w:rFonts w:ascii="Bookman Old Style" w:hAnsi="Bookman Old Style" w:cs="Arial"/>
          <w:bCs/>
        </w:rPr>
        <w:t>n la presente Resolución</w:t>
      </w:r>
      <w:r w:rsidR="00EA39BE" w:rsidRPr="00A63CB6">
        <w:rPr>
          <w:rFonts w:ascii="Bookman Old Style" w:hAnsi="Bookman Old Style" w:cs="Arial"/>
          <w:bCs/>
        </w:rPr>
        <w:t xml:space="preserve"> únicamente se </w:t>
      </w:r>
      <w:r w:rsidR="00A63CB6" w:rsidRPr="00A63CB6">
        <w:rPr>
          <w:rFonts w:ascii="Bookman Old Style" w:hAnsi="Bookman Old Style" w:cs="Arial"/>
          <w:bCs/>
        </w:rPr>
        <w:t xml:space="preserve">hace </w:t>
      </w:r>
      <w:r w:rsidR="00EA39BE" w:rsidRPr="00A63CB6">
        <w:rPr>
          <w:rFonts w:ascii="Bookman Old Style" w:hAnsi="Bookman Old Style" w:cs="Arial"/>
          <w:bCs/>
        </w:rPr>
        <w:t>refer</w:t>
      </w:r>
      <w:r w:rsidR="00A63CB6" w:rsidRPr="00A63CB6">
        <w:rPr>
          <w:rFonts w:ascii="Bookman Old Style" w:hAnsi="Bookman Old Style" w:cs="Arial"/>
          <w:bCs/>
        </w:rPr>
        <w:t xml:space="preserve">encia </w:t>
      </w:r>
      <w:r w:rsidR="00EA39BE" w:rsidRPr="00A63CB6">
        <w:rPr>
          <w:rFonts w:ascii="Bookman Old Style" w:hAnsi="Bookman Old Style" w:cs="Arial"/>
          <w:bCs/>
        </w:rPr>
        <w:t xml:space="preserve">a los cargos en concreto planteados por el recurrente en contra de la Resolución CREG 025 de 2012. </w:t>
      </w:r>
      <w:r w:rsidR="00A63CB6" w:rsidRPr="00A63CB6">
        <w:rPr>
          <w:rFonts w:ascii="Bookman Old Style" w:hAnsi="Bookman Old Style" w:cs="Arial"/>
          <w:bCs/>
        </w:rPr>
        <w:t>Es de r</w:t>
      </w:r>
      <w:r w:rsidR="00EA39BE" w:rsidRPr="00A63CB6">
        <w:rPr>
          <w:rFonts w:ascii="Bookman Old Style" w:hAnsi="Bookman Old Style" w:cs="Arial"/>
          <w:bCs/>
        </w:rPr>
        <w:t>ecord</w:t>
      </w:r>
      <w:r w:rsidR="00A63CB6" w:rsidRPr="00A63CB6">
        <w:rPr>
          <w:rFonts w:ascii="Bookman Old Style" w:hAnsi="Bookman Old Style" w:cs="Arial"/>
          <w:bCs/>
        </w:rPr>
        <w:t>ar</w:t>
      </w:r>
      <w:r w:rsidR="00EA39BE" w:rsidRPr="00A63CB6">
        <w:rPr>
          <w:rFonts w:ascii="Bookman Old Style" w:hAnsi="Bookman Old Style" w:cs="Arial"/>
          <w:bCs/>
        </w:rPr>
        <w:t xml:space="preserve"> que en el ordenamiento jurídico de un Estado Social de Derecho </w:t>
      </w:r>
      <w:r w:rsidR="00EA39BE" w:rsidRPr="00A63CB6">
        <w:rPr>
          <w:rFonts w:ascii="Bookman Old Style" w:hAnsi="Bookman Old Style" w:cs="Arial"/>
          <w:bCs/>
        </w:rPr>
        <w:lastRenderedPageBreak/>
        <w:t>únicamente se permite a la administración pública, en sede de reposición y mientras realiza una actuación</w:t>
      </w:r>
      <w:r w:rsidR="003946CF" w:rsidRPr="00A63CB6">
        <w:rPr>
          <w:rFonts w:ascii="Bookman Old Style" w:hAnsi="Bookman Old Style" w:cs="Arial"/>
          <w:bCs/>
        </w:rPr>
        <w:t xml:space="preserve"> administrativa</w:t>
      </w:r>
      <w:r w:rsidR="00EA39BE" w:rsidRPr="00A63CB6">
        <w:rPr>
          <w:rFonts w:ascii="Bookman Old Style" w:hAnsi="Bookman Old Style" w:cs="Arial"/>
          <w:bCs/>
        </w:rPr>
        <w:t xml:space="preserve"> en particular, referirse con exclusividad a las consid</w:t>
      </w:r>
      <w:r w:rsidR="001621A0" w:rsidRPr="00A63CB6">
        <w:rPr>
          <w:rFonts w:ascii="Bookman Old Style" w:hAnsi="Bookman Old Style" w:cs="Arial"/>
          <w:bCs/>
        </w:rPr>
        <w:t>eraciones planteada</w:t>
      </w:r>
      <w:r w:rsidR="00EA39BE" w:rsidRPr="00A63CB6">
        <w:rPr>
          <w:rFonts w:ascii="Bookman Old Style" w:hAnsi="Bookman Old Style" w:cs="Arial"/>
          <w:bCs/>
        </w:rPr>
        <w:t>s por el interesado en contra del acto administrativo recurrido. No se trata pues de una instancia para discutir la pertinencia o validez de actos diferentes a los que son objeto de recurso.</w:t>
      </w:r>
    </w:p>
    <w:p w:rsidR="0072061A" w:rsidRPr="00AB5FF7" w:rsidRDefault="0072061A" w:rsidP="00C31EC7">
      <w:pPr>
        <w:pStyle w:val="Textoindependiente"/>
        <w:ind w:left="0"/>
        <w:jc w:val="both"/>
        <w:rPr>
          <w:rFonts w:ascii="Bookman Old Style" w:hAnsi="Bookman Old Style"/>
          <w:b w:val="0"/>
          <w:sz w:val="22"/>
        </w:rPr>
      </w:pPr>
    </w:p>
    <w:p w:rsidR="0072061A" w:rsidRPr="00A63CB6" w:rsidRDefault="0072061A" w:rsidP="00C31EC7">
      <w:pPr>
        <w:pStyle w:val="Textoindependiente"/>
        <w:ind w:left="0"/>
        <w:jc w:val="both"/>
        <w:rPr>
          <w:rFonts w:ascii="Bookman Old Style" w:hAnsi="Bookman Old Style"/>
        </w:rPr>
      </w:pPr>
      <w:r w:rsidRPr="00A63CB6">
        <w:rPr>
          <w:rFonts w:ascii="Bookman Old Style" w:hAnsi="Bookman Old Style"/>
        </w:rPr>
        <w:t xml:space="preserve">4.1 </w:t>
      </w:r>
      <w:r w:rsidR="00A63CB6">
        <w:rPr>
          <w:rFonts w:ascii="Bookman Old Style" w:hAnsi="Bookman Old Style"/>
        </w:rPr>
        <w:t>OBSERVACIONES</w:t>
      </w:r>
      <w:r w:rsidR="00A63CB6" w:rsidRPr="00A63CB6">
        <w:rPr>
          <w:rFonts w:ascii="Bookman Old Style" w:hAnsi="Bookman Old Style"/>
        </w:rPr>
        <w:t xml:space="preserve"> </w:t>
      </w:r>
      <w:r w:rsidRPr="00A63CB6">
        <w:rPr>
          <w:rFonts w:ascii="Bookman Old Style" w:hAnsi="Bookman Old Style"/>
        </w:rPr>
        <w:t>PLANTEAD</w:t>
      </w:r>
      <w:r w:rsidR="00A63CB6">
        <w:rPr>
          <w:rFonts w:ascii="Bookman Old Style" w:hAnsi="Bookman Old Style"/>
        </w:rPr>
        <w:t>A</w:t>
      </w:r>
      <w:r w:rsidRPr="00A63CB6">
        <w:rPr>
          <w:rFonts w:ascii="Bookman Old Style" w:hAnsi="Bookman Old Style"/>
        </w:rPr>
        <w:t xml:space="preserve">S </w:t>
      </w:r>
      <w:r w:rsidR="00A63CB6" w:rsidRPr="00A63CB6">
        <w:rPr>
          <w:rFonts w:ascii="Bookman Old Style" w:hAnsi="Bookman Old Style"/>
        </w:rPr>
        <w:t xml:space="preserve">EN </w:t>
      </w:r>
      <w:r w:rsidRPr="00A63CB6">
        <w:rPr>
          <w:rFonts w:ascii="Bookman Old Style" w:hAnsi="Bookman Old Style"/>
        </w:rPr>
        <w:t>EL RECURSO DE REPOSICIÓN</w:t>
      </w:r>
    </w:p>
    <w:p w:rsidR="0072061A" w:rsidRPr="00AB5FF7" w:rsidRDefault="0072061A" w:rsidP="00C31EC7">
      <w:pPr>
        <w:pStyle w:val="Textoindependiente"/>
        <w:ind w:left="0"/>
        <w:jc w:val="both"/>
        <w:rPr>
          <w:rFonts w:ascii="Bookman Old Style" w:hAnsi="Bookman Old Style"/>
          <w:sz w:val="20"/>
        </w:rPr>
      </w:pPr>
    </w:p>
    <w:p w:rsidR="0072061A" w:rsidRPr="00A63CB6" w:rsidRDefault="0072061A" w:rsidP="00C31EC7">
      <w:pPr>
        <w:pStyle w:val="Textoindependiente"/>
        <w:ind w:left="0"/>
        <w:jc w:val="both"/>
        <w:rPr>
          <w:rFonts w:ascii="Bookman Old Style" w:hAnsi="Bookman Old Style"/>
          <w:b w:val="0"/>
        </w:rPr>
      </w:pPr>
      <w:r w:rsidRPr="00A63CB6">
        <w:rPr>
          <w:rFonts w:ascii="Bookman Old Style" w:hAnsi="Bookman Old Style"/>
          <w:b w:val="0"/>
        </w:rPr>
        <w:t>De la lectura del recurso de reposición, la Comisión encuentra que se plantean l</w:t>
      </w:r>
      <w:r w:rsidR="00A63CB6">
        <w:rPr>
          <w:rFonts w:ascii="Bookman Old Style" w:hAnsi="Bookman Old Style"/>
          <w:b w:val="0"/>
        </w:rPr>
        <w:t>a</w:t>
      </w:r>
      <w:r w:rsidRPr="00A63CB6">
        <w:rPr>
          <w:rFonts w:ascii="Bookman Old Style" w:hAnsi="Bookman Old Style"/>
          <w:b w:val="0"/>
        </w:rPr>
        <w:t xml:space="preserve">s siguientes </w:t>
      </w:r>
      <w:r w:rsidR="00A63CB6">
        <w:rPr>
          <w:rFonts w:ascii="Bookman Old Style" w:hAnsi="Bookman Old Style"/>
          <w:b w:val="0"/>
        </w:rPr>
        <w:t>observaciones</w:t>
      </w:r>
      <w:r w:rsidR="00A63CB6" w:rsidRPr="00A63CB6">
        <w:rPr>
          <w:rFonts w:ascii="Bookman Old Style" w:hAnsi="Bookman Old Style"/>
          <w:b w:val="0"/>
        </w:rPr>
        <w:t xml:space="preserve"> </w:t>
      </w:r>
      <w:r w:rsidRPr="00A63CB6">
        <w:rPr>
          <w:rFonts w:ascii="Bookman Old Style" w:hAnsi="Bookman Old Style"/>
          <w:b w:val="0"/>
        </w:rPr>
        <w:t>sobre la Resolución CREG 0</w:t>
      </w:r>
      <w:r w:rsidR="008D3154" w:rsidRPr="00A63CB6">
        <w:rPr>
          <w:rFonts w:ascii="Bookman Old Style" w:hAnsi="Bookman Old Style"/>
          <w:b w:val="0"/>
        </w:rPr>
        <w:t>25</w:t>
      </w:r>
      <w:r w:rsidRPr="00A63CB6">
        <w:rPr>
          <w:rFonts w:ascii="Bookman Old Style" w:hAnsi="Bookman Old Style"/>
          <w:b w:val="0"/>
        </w:rPr>
        <w:t xml:space="preserve"> de 201</w:t>
      </w:r>
      <w:r w:rsidR="008D3154" w:rsidRPr="00A63CB6">
        <w:rPr>
          <w:rFonts w:ascii="Bookman Old Style" w:hAnsi="Bookman Old Style"/>
          <w:b w:val="0"/>
        </w:rPr>
        <w:t>2</w:t>
      </w:r>
      <w:r w:rsidRPr="00A63CB6">
        <w:rPr>
          <w:rFonts w:ascii="Bookman Old Style" w:hAnsi="Bookman Old Style"/>
          <w:b w:val="0"/>
        </w:rPr>
        <w:t>:</w:t>
      </w:r>
    </w:p>
    <w:p w:rsidR="0072061A" w:rsidRPr="00AB5FF7" w:rsidRDefault="0072061A" w:rsidP="00C31EC7">
      <w:pPr>
        <w:pStyle w:val="Textoindependiente"/>
        <w:ind w:left="0"/>
        <w:jc w:val="both"/>
        <w:rPr>
          <w:rFonts w:ascii="Bookman Old Style" w:hAnsi="Bookman Old Style"/>
          <w:b w:val="0"/>
          <w:sz w:val="18"/>
        </w:rPr>
      </w:pPr>
    </w:p>
    <w:p w:rsidR="008D3154" w:rsidRPr="00A63CB6" w:rsidRDefault="00A63CB6" w:rsidP="00C31EC7">
      <w:pPr>
        <w:pStyle w:val="Textoindependiente"/>
        <w:numPr>
          <w:ilvl w:val="0"/>
          <w:numId w:val="25"/>
        </w:numPr>
        <w:ind w:left="435"/>
        <w:jc w:val="both"/>
        <w:rPr>
          <w:rFonts w:ascii="Bookman Old Style" w:hAnsi="Bookman Old Style"/>
          <w:b w:val="0"/>
        </w:rPr>
      </w:pPr>
      <w:r>
        <w:rPr>
          <w:rFonts w:ascii="Bookman Old Style" w:hAnsi="Bookman Old Style"/>
          <w:b w:val="0"/>
        </w:rPr>
        <w:t xml:space="preserve">No se </w:t>
      </w:r>
      <w:r w:rsidR="008D3154" w:rsidRPr="00A63CB6">
        <w:rPr>
          <w:rFonts w:ascii="Bookman Old Style" w:hAnsi="Bookman Old Style"/>
          <w:b w:val="0"/>
        </w:rPr>
        <w:t>reconoc</w:t>
      </w:r>
      <w:r>
        <w:rPr>
          <w:rFonts w:ascii="Bookman Old Style" w:hAnsi="Bookman Old Style"/>
          <w:b w:val="0"/>
        </w:rPr>
        <w:t>en los</w:t>
      </w:r>
      <w:r w:rsidR="008D3154" w:rsidRPr="00A63CB6">
        <w:rPr>
          <w:rFonts w:ascii="Bookman Old Style" w:hAnsi="Bookman Old Style"/>
          <w:b w:val="0"/>
        </w:rPr>
        <w:t xml:space="preserve"> costos reales </w:t>
      </w:r>
      <w:r>
        <w:rPr>
          <w:rFonts w:ascii="Bookman Old Style" w:hAnsi="Bookman Old Style"/>
          <w:b w:val="0"/>
        </w:rPr>
        <w:t>de</w:t>
      </w:r>
      <w:r w:rsidRPr="00A63CB6">
        <w:rPr>
          <w:rFonts w:ascii="Bookman Old Style" w:hAnsi="Bookman Old Style"/>
          <w:b w:val="0"/>
        </w:rPr>
        <w:t xml:space="preserve"> </w:t>
      </w:r>
      <w:r w:rsidR="008D3154" w:rsidRPr="00A63CB6">
        <w:rPr>
          <w:rFonts w:ascii="Bookman Old Style" w:hAnsi="Bookman Old Style"/>
          <w:b w:val="0"/>
        </w:rPr>
        <w:t>la empresa.</w:t>
      </w:r>
    </w:p>
    <w:p w:rsidR="008D3154" w:rsidRPr="00A63CB6" w:rsidRDefault="008D3154" w:rsidP="00C31EC7">
      <w:pPr>
        <w:pStyle w:val="Textoindependiente"/>
        <w:ind w:left="435"/>
        <w:jc w:val="both"/>
        <w:rPr>
          <w:rFonts w:ascii="Bookman Old Style" w:hAnsi="Bookman Old Style"/>
          <w:b w:val="0"/>
        </w:rPr>
      </w:pPr>
    </w:p>
    <w:p w:rsidR="008D3154" w:rsidRPr="00A63CB6" w:rsidRDefault="00A63CB6" w:rsidP="00C31EC7">
      <w:pPr>
        <w:pStyle w:val="Textoindependiente"/>
        <w:numPr>
          <w:ilvl w:val="0"/>
          <w:numId w:val="25"/>
        </w:numPr>
        <w:ind w:left="435"/>
        <w:jc w:val="both"/>
        <w:rPr>
          <w:rFonts w:ascii="Bookman Old Style" w:hAnsi="Bookman Old Style"/>
          <w:b w:val="0"/>
        </w:rPr>
      </w:pPr>
      <w:r>
        <w:rPr>
          <w:rFonts w:ascii="Bookman Old Style" w:hAnsi="Bookman Old Style"/>
          <w:b w:val="0"/>
        </w:rPr>
        <w:t xml:space="preserve">Se da </w:t>
      </w:r>
      <w:r w:rsidR="008D3154" w:rsidRPr="00A63CB6">
        <w:rPr>
          <w:rFonts w:ascii="Bookman Old Style" w:hAnsi="Bookman Old Style"/>
          <w:b w:val="0"/>
        </w:rPr>
        <w:t xml:space="preserve">aplicación </w:t>
      </w:r>
      <w:r>
        <w:rPr>
          <w:rFonts w:ascii="Bookman Old Style" w:hAnsi="Bookman Old Style"/>
          <w:b w:val="0"/>
        </w:rPr>
        <w:t>a</w:t>
      </w:r>
      <w:r w:rsidR="008D3154" w:rsidRPr="00A63CB6">
        <w:rPr>
          <w:rFonts w:ascii="Bookman Old Style" w:hAnsi="Bookman Old Style"/>
          <w:b w:val="0"/>
        </w:rPr>
        <w:t xml:space="preserve"> un modelo de empresa eficiente que no se ajusta a la situación particular del recurrente.</w:t>
      </w:r>
    </w:p>
    <w:p w:rsidR="000D71F7" w:rsidRPr="00AB5FF7" w:rsidRDefault="000D71F7" w:rsidP="00C31EC7">
      <w:pPr>
        <w:pStyle w:val="Prrafodelista"/>
        <w:rPr>
          <w:rFonts w:ascii="Bookman Old Style" w:hAnsi="Bookman Old Style"/>
          <w:b/>
          <w:sz w:val="22"/>
          <w:szCs w:val="24"/>
        </w:rPr>
      </w:pPr>
    </w:p>
    <w:p w:rsidR="0072061A" w:rsidRPr="00A63CB6" w:rsidRDefault="0072061A" w:rsidP="00C31EC7">
      <w:pPr>
        <w:pStyle w:val="Textoindependiente"/>
        <w:ind w:left="0"/>
        <w:jc w:val="both"/>
        <w:rPr>
          <w:rFonts w:ascii="Bookman Old Style" w:hAnsi="Bookman Old Style"/>
        </w:rPr>
      </w:pPr>
      <w:r w:rsidRPr="00A63CB6">
        <w:rPr>
          <w:rFonts w:ascii="Bookman Old Style" w:hAnsi="Bookman Old Style"/>
        </w:rPr>
        <w:t>4.2 CONSIDERACIO</w:t>
      </w:r>
      <w:r w:rsidR="000635F8" w:rsidRPr="00A63CB6">
        <w:rPr>
          <w:rFonts w:ascii="Bookman Old Style" w:hAnsi="Bookman Old Style"/>
        </w:rPr>
        <w:t>NES</w:t>
      </w:r>
      <w:r w:rsidRPr="00A63CB6">
        <w:rPr>
          <w:rFonts w:ascii="Bookman Old Style" w:hAnsi="Bookman Old Style"/>
        </w:rPr>
        <w:t xml:space="preserve"> JURÍDICA</w:t>
      </w:r>
      <w:r w:rsidR="000635F8" w:rsidRPr="00A63CB6">
        <w:rPr>
          <w:rFonts w:ascii="Bookman Old Style" w:hAnsi="Bookman Old Style"/>
        </w:rPr>
        <w:t>S</w:t>
      </w:r>
    </w:p>
    <w:p w:rsidR="0072061A" w:rsidRPr="00AB5FF7" w:rsidRDefault="0072061A" w:rsidP="00C31EC7">
      <w:pPr>
        <w:pStyle w:val="Textoindependiente"/>
        <w:ind w:left="0"/>
        <w:jc w:val="both"/>
        <w:rPr>
          <w:rFonts w:ascii="Bookman Old Style" w:hAnsi="Bookman Old Style"/>
          <w:b w:val="0"/>
          <w:sz w:val="22"/>
        </w:rPr>
      </w:pPr>
    </w:p>
    <w:p w:rsidR="000635F8" w:rsidRPr="00A63CB6" w:rsidRDefault="000635F8" w:rsidP="00C31EC7">
      <w:pPr>
        <w:pStyle w:val="Textoindependiente"/>
        <w:ind w:left="0"/>
        <w:jc w:val="both"/>
        <w:rPr>
          <w:rFonts w:ascii="Bookman Old Style" w:hAnsi="Bookman Old Style"/>
          <w:b w:val="0"/>
        </w:rPr>
      </w:pPr>
      <w:r w:rsidRPr="00A63CB6">
        <w:rPr>
          <w:rFonts w:ascii="Bookman Old Style" w:hAnsi="Bookman Old Style"/>
          <w:b w:val="0"/>
        </w:rPr>
        <w:t xml:space="preserve">Esta Comisión debe </w:t>
      </w:r>
      <w:r w:rsidR="00A63CB6">
        <w:rPr>
          <w:rFonts w:ascii="Bookman Old Style" w:hAnsi="Bookman Old Style"/>
          <w:b w:val="0"/>
        </w:rPr>
        <w:t>señalar</w:t>
      </w:r>
      <w:r w:rsidRPr="00A63CB6">
        <w:rPr>
          <w:rFonts w:ascii="Bookman Old Style" w:hAnsi="Bookman Old Style"/>
          <w:b w:val="0"/>
        </w:rPr>
        <w:t>, tal y como lo hizo en la Resolución CREG 025 de 2012, que es la propia Ley 142 de 1994, la que consagra el reconocimiento de costos eficientes, y no de costos reales como lo pretende el accionante</w:t>
      </w:r>
      <w:r w:rsidR="00A63CB6">
        <w:rPr>
          <w:rFonts w:ascii="Bookman Old Style" w:hAnsi="Bookman Old Style"/>
          <w:b w:val="0"/>
        </w:rPr>
        <w:t>. A</w:t>
      </w:r>
      <w:r w:rsidRPr="00A63CB6">
        <w:rPr>
          <w:rFonts w:ascii="Bookman Old Style" w:hAnsi="Bookman Old Style"/>
          <w:b w:val="0"/>
        </w:rPr>
        <w:t>l respecto</w:t>
      </w:r>
      <w:r w:rsidR="00A63CB6">
        <w:rPr>
          <w:rFonts w:ascii="Bookman Old Style" w:hAnsi="Bookman Old Style"/>
          <w:b w:val="0"/>
        </w:rPr>
        <w:t>,</w:t>
      </w:r>
      <w:r w:rsidRPr="00A63CB6">
        <w:rPr>
          <w:rFonts w:ascii="Bookman Old Style" w:hAnsi="Bookman Old Style"/>
          <w:b w:val="0"/>
        </w:rPr>
        <w:t xml:space="preserve"> en la Resolución recurrida se dijo:</w:t>
      </w:r>
    </w:p>
    <w:p w:rsidR="000635F8" w:rsidRPr="00AB5FF7" w:rsidRDefault="000635F8" w:rsidP="00C31EC7">
      <w:pPr>
        <w:pStyle w:val="Textoindependiente"/>
        <w:ind w:left="0"/>
        <w:jc w:val="both"/>
        <w:rPr>
          <w:rFonts w:ascii="Bookman Old Style" w:hAnsi="Bookman Old Style"/>
          <w:b w:val="0"/>
          <w:sz w:val="20"/>
        </w:rPr>
      </w:pPr>
    </w:p>
    <w:p w:rsidR="000635F8" w:rsidRPr="00A63CB6" w:rsidRDefault="000635F8" w:rsidP="00A63CB6">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w:t>
      </w:r>
    </w:p>
    <w:p w:rsidR="000635F8" w:rsidRPr="00AB5FF7" w:rsidRDefault="000635F8" w:rsidP="00DD0E35">
      <w:pPr>
        <w:widowControl w:val="0"/>
        <w:autoSpaceDE w:val="0"/>
        <w:autoSpaceDN w:val="0"/>
        <w:adjustRightInd w:val="0"/>
        <w:jc w:val="both"/>
        <w:rPr>
          <w:rFonts w:ascii="Bookman Old Style" w:hAnsi="Bookman Old Style" w:cs="Arial"/>
          <w:i/>
          <w:sz w:val="22"/>
        </w:rPr>
      </w:pPr>
    </w:p>
    <w:p w:rsidR="000635F8" w:rsidRPr="00A63CB6" w:rsidRDefault="000635F8" w:rsidP="00DD0E35">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Ahora bien, conforme a los artículos 87 de la Ley 142 de 1994 y 44 de la Ley 143 de 1994, el régimen tarifario debe cumplir los criterios de eficiencia económica, neutralidad, solidaridad, redistribución, suficiencia financiera, simplicidad y transparencia.</w:t>
      </w:r>
    </w:p>
    <w:p w:rsidR="000635F8" w:rsidRPr="00A63CB6" w:rsidRDefault="000635F8" w:rsidP="00DD0E35">
      <w:pPr>
        <w:widowControl w:val="0"/>
        <w:autoSpaceDE w:val="0"/>
        <w:autoSpaceDN w:val="0"/>
        <w:adjustRightInd w:val="0"/>
        <w:jc w:val="both"/>
        <w:rPr>
          <w:rFonts w:ascii="Bookman Old Style" w:hAnsi="Bookman Old Style" w:cs="Arial"/>
          <w:i/>
        </w:rPr>
      </w:pPr>
    </w:p>
    <w:p w:rsidR="00A63CB6" w:rsidRDefault="000635F8" w:rsidP="00DD0E35">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Conforme al artículo 87.1 de la Ley 142 de 1994 y el inciso segundo del artículo 44 de la Ley 143 de 1994, en virtud del criterio de eficiencia económica se prohíbe trasladar vía tarifa los costos y gastos de una gestión ineficiente.</w:t>
      </w:r>
    </w:p>
    <w:p w:rsidR="00A63CB6" w:rsidRDefault="00A63CB6" w:rsidP="00DD0E35">
      <w:pPr>
        <w:widowControl w:val="0"/>
        <w:autoSpaceDE w:val="0"/>
        <w:autoSpaceDN w:val="0"/>
        <w:adjustRightInd w:val="0"/>
        <w:jc w:val="both"/>
        <w:rPr>
          <w:rFonts w:ascii="Bookman Old Style" w:hAnsi="Bookman Old Style" w:cs="Arial"/>
          <w:i/>
        </w:rPr>
      </w:pPr>
    </w:p>
    <w:p w:rsidR="000635F8" w:rsidRPr="00A63CB6" w:rsidRDefault="000635F8" w:rsidP="00DD0E35">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La Corte Constitucional, mediante Sentencia C-150 de 2003 expresó lo siguiente sobre el criterio de eficiencia económica:</w:t>
      </w:r>
    </w:p>
    <w:p w:rsidR="000635F8" w:rsidRPr="00A63CB6" w:rsidRDefault="000635F8" w:rsidP="00DD0E35">
      <w:pPr>
        <w:widowControl w:val="0"/>
        <w:autoSpaceDE w:val="0"/>
        <w:autoSpaceDN w:val="0"/>
        <w:adjustRightInd w:val="0"/>
        <w:jc w:val="both"/>
        <w:rPr>
          <w:rFonts w:ascii="Bookman Old Style" w:hAnsi="Bookman Old Style" w:cs="Arial"/>
          <w:i/>
        </w:rPr>
      </w:pPr>
    </w:p>
    <w:p w:rsidR="000635F8" w:rsidRPr="00A63CB6" w:rsidRDefault="000635F8" w:rsidP="00DD0E35">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 Se observa así que, de acuerdo con la definición citada, la eficiencia económica consiste en que: (i) las tarifas de los servicios públicos se aproximen a lo que serían los precios de un mercado competitivo; (ii) las fórmulas tarifarias tengan en cuenta los costos y los aumentos de productividad esperados; (iii) los aumentos de productividad esperados se distribuyan entre la empresa y los usuarios tal como ocurriría en un mercado competitivo; (iv) las fórmulas tarifarias no trasladen a los usuarios los costos de una gestión ineficiente; (v) las empresas no se apropien de las utilidades provenientes de prácticas restrictivas de la competencia. La referencia que hace la norma en el sentido de que "[e]n el caso de servicios públicos sujetos a fórmulas tarifarias, las tarifas deben reflejar siempre tanto el nivel y la estructura de los costos económicos de prestar el servicio, como la demanda por éste" versa sobre el ámbito de aplicación de los anteriores elementos. (…)</w:t>
      </w:r>
    </w:p>
    <w:p w:rsidR="000635F8" w:rsidRPr="00A63CB6" w:rsidRDefault="000635F8" w:rsidP="00DD0E35">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lastRenderedPageBreak/>
        <w:t>4.5.2.2.6. En conclusión, el numeral 87.1 del artículo 87 de la Ley 142 de 1994 contiene algunos de los elementos que, de acuerdo con la teoría económica de un mercado competitivo, caracterizan un mercado eficiente y las implicaciones que de éste se derivan. En este orden de ideas, la Corte encuentra que el criterio de eficiencia descrito en la norma en cuestión, desarrolla la prescripción del artículo 365 Superior, según el cual "es deber del Estado asegurar su prestación eficiente a todos los habitantes del territorio nacional (…)".</w:t>
      </w:r>
    </w:p>
    <w:p w:rsidR="000635F8" w:rsidRPr="00A63CB6" w:rsidRDefault="000635F8" w:rsidP="00DD0E35">
      <w:pPr>
        <w:widowControl w:val="0"/>
        <w:autoSpaceDE w:val="0"/>
        <w:autoSpaceDN w:val="0"/>
        <w:adjustRightInd w:val="0"/>
        <w:jc w:val="both"/>
        <w:rPr>
          <w:rFonts w:ascii="Bookman Old Style" w:hAnsi="Bookman Old Style" w:cs="Arial"/>
          <w:i/>
        </w:rPr>
      </w:pPr>
    </w:p>
    <w:p w:rsidR="000635F8" w:rsidRPr="00A63CB6" w:rsidRDefault="000635F8" w:rsidP="00DD0E35">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De conformidad con lo establecido en el artículo 87.4 de la Ley 142 de 1994 y conforme a lo señalado en la Sentencia C-150 de 2003, la suficiencia financiera consiste en que:</w:t>
      </w:r>
    </w:p>
    <w:p w:rsidR="000635F8" w:rsidRPr="00AB5FF7" w:rsidRDefault="000635F8" w:rsidP="00DD0E35">
      <w:pPr>
        <w:widowControl w:val="0"/>
        <w:autoSpaceDE w:val="0"/>
        <w:autoSpaceDN w:val="0"/>
        <w:adjustRightInd w:val="0"/>
        <w:jc w:val="both"/>
        <w:rPr>
          <w:rFonts w:ascii="Bookman Old Style" w:hAnsi="Bookman Old Style" w:cs="Arial"/>
          <w:i/>
          <w:sz w:val="22"/>
        </w:rPr>
      </w:pPr>
    </w:p>
    <w:p w:rsidR="000635F8" w:rsidRPr="00A63CB6" w:rsidRDefault="000635F8" w:rsidP="00DD0E35">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 las fórmulas tarifarias: (i) garanticen la recuperación de los costos y gastos propios de operación, incluyendo la expansión, la reposición y el mantenimiento; (ii) permitan remunerar el patrimonio de los accionistas en la misma forma en la que lo habría remunerado una empresa eficiente en un sector de riesgo comparable; y (iii) permitan utilizar las tecnologías y sistemas administrativos que garanticen la mejor calidad, continuidad y seguridad a sus usuarios (…)”.</w:t>
      </w:r>
    </w:p>
    <w:p w:rsidR="000635F8" w:rsidRPr="00A63CB6" w:rsidRDefault="000635F8" w:rsidP="00DD0E35">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br/>
        <w:t>Por su parte, según el artículo 44 de la Ley 143 de 1994, por suficiencia financiera se entiende que:</w:t>
      </w:r>
    </w:p>
    <w:p w:rsidR="000635F8" w:rsidRPr="00AB5FF7" w:rsidRDefault="000635F8" w:rsidP="00DD0E35">
      <w:pPr>
        <w:widowControl w:val="0"/>
        <w:autoSpaceDE w:val="0"/>
        <w:autoSpaceDN w:val="0"/>
        <w:adjustRightInd w:val="0"/>
        <w:jc w:val="both"/>
        <w:rPr>
          <w:rFonts w:ascii="Bookman Old Style" w:hAnsi="Bookman Old Style" w:cs="Arial"/>
          <w:i/>
          <w:sz w:val="22"/>
        </w:rPr>
      </w:pPr>
    </w:p>
    <w:p w:rsidR="000635F8" w:rsidRPr="00A63CB6" w:rsidRDefault="000635F8" w:rsidP="00DD0E35">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 las empresas eficientes tendrán garantizada la recuperación de sus costos de inversión y sus gastos de administración, operación y mantenimiento, con el valor de las ventas de electricidad y el monto de los subsidios que reciban en compensación por atender a usuarios residenciales de menores ingresos (…)”.</w:t>
      </w:r>
    </w:p>
    <w:p w:rsidR="00CB1EF2" w:rsidRPr="00A63CB6" w:rsidRDefault="000635F8" w:rsidP="00DD0E35">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br/>
        <w:t>En síntesis, el objetivo del proceso tarifario no es reconocer un costo o gasto “real” sino uno eficiente para todas las partes. De esta manera, si algunos costos o gastos “reales” son calificados como ineficientes no es posible reconocerlos vía tarifas.</w:t>
      </w:r>
    </w:p>
    <w:p w:rsidR="00CB1EF2" w:rsidRPr="00AB5FF7" w:rsidRDefault="00CB1EF2" w:rsidP="00DD0E35">
      <w:pPr>
        <w:widowControl w:val="0"/>
        <w:autoSpaceDE w:val="0"/>
        <w:autoSpaceDN w:val="0"/>
        <w:adjustRightInd w:val="0"/>
        <w:jc w:val="both"/>
        <w:rPr>
          <w:rFonts w:ascii="Bookman Old Style" w:hAnsi="Bookman Old Style" w:cs="Arial"/>
          <w:i/>
          <w:sz w:val="22"/>
        </w:rPr>
      </w:pPr>
    </w:p>
    <w:p w:rsidR="000635F8" w:rsidRPr="00A63CB6" w:rsidRDefault="000635F8" w:rsidP="00DD0E35">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De esta manera, los principios a los que se ha hecho referencia deben aplicarse en forma rigurosa en el proceso de modificación de la formula tarifaria.</w:t>
      </w:r>
    </w:p>
    <w:p w:rsidR="000635F8" w:rsidRPr="00AB5FF7" w:rsidRDefault="000635F8" w:rsidP="00DD0E35">
      <w:pPr>
        <w:widowControl w:val="0"/>
        <w:autoSpaceDE w:val="0"/>
        <w:autoSpaceDN w:val="0"/>
        <w:adjustRightInd w:val="0"/>
        <w:jc w:val="both"/>
        <w:rPr>
          <w:rFonts w:ascii="Bookman Old Style" w:hAnsi="Bookman Old Style" w:cs="Arial"/>
          <w:i/>
          <w:sz w:val="20"/>
        </w:rPr>
      </w:pPr>
    </w:p>
    <w:p w:rsidR="000635F8" w:rsidRPr="00A63CB6" w:rsidRDefault="000635F8" w:rsidP="00DD0E35">
      <w:pPr>
        <w:widowControl w:val="0"/>
        <w:autoSpaceDE w:val="0"/>
        <w:autoSpaceDN w:val="0"/>
        <w:adjustRightInd w:val="0"/>
        <w:jc w:val="both"/>
        <w:rPr>
          <w:rFonts w:ascii="Bookman Old Style" w:hAnsi="Bookman Old Style"/>
          <w:b/>
          <w:i/>
          <w:color w:val="000000" w:themeColor="text1"/>
        </w:rPr>
      </w:pPr>
      <w:r w:rsidRPr="00A63CB6">
        <w:rPr>
          <w:rFonts w:ascii="Bookman Old Style" w:hAnsi="Bookman Old Style" w:cs="Arial"/>
          <w:i/>
        </w:rPr>
        <w:t>(…)”</w:t>
      </w:r>
      <w:r w:rsidRPr="00A63CB6">
        <w:rPr>
          <w:rFonts w:ascii="Bookman Old Style" w:hAnsi="Bookman Old Style"/>
          <w:b/>
          <w:i/>
          <w:color w:val="000000" w:themeColor="text1"/>
        </w:rPr>
        <w:t xml:space="preserve"> </w:t>
      </w:r>
    </w:p>
    <w:p w:rsidR="00AB5FF7" w:rsidRPr="00AB5FF7" w:rsidRDefault="00AB5FF7" w:rsidP="00C31EC7">
      <w:pPr>
        <w:ind w:left="0"/>
        <w:jc w:val="both"/>
        <w:rPr>
          <w:rFonts w:ascii="Bookman Old Style" w:hAnsi="Bookman Old Style"/>
          <w:iCs/>
          <w:sz w:val="18"/>
        </w:rPr>
      </w:pPr>
    </w:p>
    <w:p w:rsidR="0072061A" w:rsidRPr="00A63CB6" w:rsidRDefault="00CB1EF2" w:rsidP="00C31EC7">
      <w:pPr>
        <w:ind w:left="0"/>
        <w:jc w:val="both"/>
        <w:rPr>
          <w:rFonts w:ascii="Bookman Old Style" w:hAnsi="Bookman Old Style"/>
          <w:iCs/>
        </w:rPr>
      </w:pPr>
      <w:r w:rsidRPr="00A63CB6">
        <w:rPr>
          <w:rFonts w:ascii="Bookman Old Style" w:hAnsi="Bookman Old Style"/>
          <w:iCs/>
        </w:rPr>
        <w:t xml:space="preserve">Por lo anterior, se repite que en el proceso tarifario no es </w:t>
      </w:r>
      <w:r w:rsidR="00DD0E35">
        <w:rPr>
          <w:rFonts w:ascii="Bookman Old Style" w:hAnsi="Bookman Old Style"/>
          <w:iCs/>
        </w:rPr>
        <w:t>procedente</w:t>
      </w:r>
      <w:r w:rsidR="00DD0E35" w:rsidRPr="00A63CB6">
        <w:rPr>
          <w:rFonts w:ascii="Bookman Old Style" w:hAnsi="Bookman Old Style"/>
          <w:iCs/>
        </w:rPr>
        <w:t xml:space="preserve"> </w:t>
      </w:r>
      <w:r w:rsidRPr="00A63CB6">
        <w:rPr>
          <w:rFonts w:ascii="Bookman Old Style" w:hAnsi="Bookman Old Style"/>
          <w:iCs/>
        </w:rPr>
        <w:t>el reconocimiento de costos reales.</w:t>
      </w:r>
    </w:p>
    <w:p w:rsidR="00CB1EF2" w:rsidRPr="00A63CB6" w:rsidRDefault="00CB1EF2" w:rsidP="00C31EC7">
      <w:pPr>
        <w:ind w:left="0"/>
        <w:jc w:val="both"/>
        <w:rPr>
          <w:rFonts w:ascii="Bookman Old Style" w:hAnsi="Bookman Old Style"/>
          <w:iCs/>
        </w:rPr>
      </w:pPr>
    </w:p>
    <w:p w:rsidR="00CB1EF2" w:rsidRPr="00A63CB6" w:rsidRDefault="00CB1EF2" w:rsidP="00C31EC7">
      <w:pPr>
        <w:ind w:left="0"/>
        <w:jc w:val="both"/>
        <w:rPr>
          <w:rFonts w:ascii="Bookman Old Style" w:hAnsi="Bookman Old Style"/>
          <w:iCs/>
        </w:rPr>
      </w:pPr>
      <w:r w:rsidRPr="00A63CB6">
        <w:rPr>
          <w:rFonts w:ascii="Bookman Old Style" w:hAnsi="Bookman Old Style"/>
          <w:iCs/>
        </w:rPr>
        <w:t xml:space="preserve">Por otro lado, debe advertirse que la Resolución CREG 091 de 2007 es un acto administrativo general, el cual goza de presunción de legalidad, por lo cual su aplicación y validez no son objeto de debate en la presente Resolución, </w:t>
      </w:r>
      <w:r w:rsidR="007C343F" w:rsidRPr="00A63CB6">
        <w:rPr>
          <w:rFonts w:ascii="Bookman Old Style" w:hAnsi="Bookman Old Style"/>
          <w:iCs/>
        </w:rPr>
        <w:t>más</w:t>
      </w:r>
      <w:r w:rsidRPr="00A63CB6">
        <w:rPr>
          <w:rFonts w:ascii="Bookman Old Style" w:hAnsi="Bookman Old Style"/>
          <w:iCs/>
        </w:rPr>
        <w:t xml:space="preserve"> aun cuando el recurso se encuentra destinado a la Resolución CREG 025 de 2012.</w:t>
      </w:r>
    </w:p>
    <w:p w:rsidR="00CB1EF2" w:rsidRPr="00A63CB6" w:rsidRDefault="00CB1EF2" w:rsidP="00C31EC7">
      <w:pPr>
        <w:ind w:left="0"/>
        <w:jc w:val="both"/>
        <w:rPr>
          <w:rFonts w:ascii="Bookman Old Style" w:hAnsi="Bookman Old Style"/>
          <w:iCs/>
        </w:rPr>
      </w:pPr>
    </w:p>
    <w:p w:rsidR="00FB26C8" w:rsidRPr="00A63CB6" w:rsidRDefault="007C343F" w:rsidP="00DD0E35">
      <w:pPr>
        <w:ind w:left="0"/>
        <w:jc w:val="both"/>
        <w:rPr>
          <w:rFonts w:ascii="Bookman Old Style" w:hAnsi="Bookman Old Style"/>
          <w:iCs/>
        </w:rPr>
      </w:pPr>
      <w:r w:rsidRPr="00A63CB6">
        <w:rPr>
          <w:rFonts w:ascii="Bookman Old Style" w:hAnsi="Bookman Old Style"/>
          <w:iCs/>
        </w:rPr>
        <w:lastRenderedPageBreak/>
        <w:t xml:space="preserve">Adicional a lo anterior, debe </w:t>
      </w:r>
      <w:r w:rsidR="005651DA" w:rsidRPr="00A63CB6">
        <w:rPr>
          <w:rFonts w:ascii="Bookman Old Style" w:hAnsi="Bookman Old Style"/>
          <w:iCs/>
        </w:rPr>
        <w:t>decirse</w:t>
      </w:r>
      <w:r w:rsidRPr="00A63CB6">
        <w:rPr>
          <w:rFonts w:ascii="Bookman Old Style" w:hAnsi="Bookman Old Style"/>
          <w:iCs/>
        </w:rPr>
        <w:t xml:space="preserve"> que el modelo de empresa eficiente de la Resolución CREG </w:t>
      </w:r>
      <w:r w:rsidR="005651DA" w:rsidRPr="00A63CB6">
        <w:rPr>
          <w:rFonts w:ascii="Bookman Old Style" w:hAnsi="Bookman Old Style"/>
          <w:iCs/>
        </w:rPr>
        <w:t>091 de 2007 no puede ser cuestionado en esta instancia procesal</w:t>
      </w:r>
      <w:r w:rsidR="00DD0E35">
        <w:rPr>
          <w:rFonts w:ascii="Bookman Old Style" w:hAnsi="Bookman Old Style"/>
          <w:iCs/>
        </w:rPr>
        <w:t>. S</w:t>
      </w:r>
      <w:r w:rsidR="005651DA" w:rsidRPr="00A63CB6">
        <w:rPr>
          <w:rFonts w:ascii="Bookman Old Style" w:hAnsi="Bookman Old Style"/>
          <w:iCs/>
        </w:rPr>
        <w:t xml:space="preserve">e trata de un acto administrativo </w:t>
      </w:r>
      <w:r w:rsidR="00DD0E35">
        <w:rPr>
          <w:rFonts w:ascii="Bookman Old Style" w:hAnsi="Bookman Old Style"/>
          <w:iCs/>
        </w:rPr>
        <w:t>cuya expedición fue precedida de la estricta aplicación de lo dispuesto en el Decreto 2696 de 2004, p</w:t>
      </w:r>
      <w:r w:rsidR="00DD0E35" w:rsidRPr="00DD0E35">
        <w:rPr>
          <w:rFonts w:ascii="Bookman Old Style" w:hAnsi="Bookman Old Style"/>
          <w:iCs/>
        </w:rPr>
        <w:t>or el cual se definen las reglas mínimas para garantizar la divulgación y la</w:t>
      </w:r>
      <w:r w:rsidR="00DD0E35">
        <w:rPr>
          <w:rFonts w:ascii="Bookman Old Style" w:hAnsi="Bookman Old Style"/>
          <w:iCs/>
        </w:rPr>
        <w:t xml:space="preserve"> </w:t>
      </w:r>
      <w:r w:rsidR="00DD0E35" w:rsidRPr="00DD0E35">
        <w:rPr>
          <w:rFonts w:ascii="Bookman Old Style" w:hAnsi="Bookman Old Style"/>
          <w:iCs/>
        </w:rPr>
        <w:t>participación en las actuaciones de las Comisiones de Regulación</w:t>
      </w:r>
      <w:r w:rsidR="00DD0E35">
        <w:rPr>
          <w:rFonts w:ascii="Bookman Old Style" w:hAnsi="Bookman Old Style"/>
          <w:iCs/>
        </w:rPr>
        <w:t xml:space="preserve">. Durante el trámite de elaboración y expedición de la norma mencionada no hubo pronunciamiento alguno de parte del recurrente en relación con la estimación de los gastos de </w:t>
      </w:r>
      <w:r w:rsidR="00D1450C">
        <w:rPr>
          <w:rFonts w:ascii="Bookman Old Style" w:hAnsi="Bookman Old Style"/>
          <w:iCs/>
        </w:rPr>
        <w:t xml:space="preserve">administración, operación y mantenimiento, </w:t>
      </w:r>
      <w:r w:rsidR="00DD0E35">
        <w:rPr>
          <w:rFonts w:ascii="Bookman Old Style" w:hAnsi="Bookman Old Style"/>
          <w:iCs/>
        </w:rPr>
        <w:t>AOM</w:t>
      </w:r>
      <w:r w:rsidR="00D1450C">
        <w:rPr>
          <w:rFonts w:ascii="Bookman Old Style" w:hAnsi="Bookman Old Style"/>
          <w:iCs/>
        </w:rPr>
        <w:t>,</w:t>
      </w:r>
      <w:r w:rsidR="00DD0E35">
        <w:rPr>
          <w:rFonts w:ascii="Bookman Old Style" w:hAnsi="Bookman Old Style"/>
          <w:iCs/>
        </w:rPr>
        <w:t xml:space="preserve"> de la actividad de distribución y la utilización del modelo de empresa eficiente </w:t>
      </w:r>
      <w:r w:rsidR="00520F96">
        <w:rPr>
          <w:rFonts w:ascii="Bookman Old Style" w:hAnsi="Bookman Old Style"/>
          <w:iCs/>
        </w:rPr>
        <w:t>empleado</w:t>
      </w:r>
      <w:r w:rsidR="00DD0E35">
        <w:rPr>
          <w:rFonts w:ascii="Bookman Old Style" w:hAnsi="Bookman Old Style"/>
          <w:iCs/>
        </w:rPr>
        <w:t xml:space="preserve"> para la determinación de los costos eficientes de la actividad de comercialización. Además, el</w:t>
      </w:r>
      <w:r w:rsidR="00DD0E35" w:rsidRPr="00A63CB6">
        <w:rPr>
          <w:rFonts w:ascii="Bookman Old Style" w:hAnsi="Bookman Old Style"/>
          <w:iCs/>
        </w:rPr>
        <w:t xml:space="preserve"> </w:t>
      </w:r>
      <w:r w:rsidR="005651DA" w:rsidRPr="00A63CB6">
        <w:rPr>
          <w:rFonts w:ascii="Bookman Old Style" w:hAnsi="Bookman Old Style"/>
          <w:iCs/>
        </w:rPr>
        <w:t xml:space="preserve">contenido </w:t>
      </w:r>
      <w:r w:rsidR="00DD0E35">
        <w:rPr>
          <w:rFonts w:ascii="Bookman Old Style" w:hAnsi="Bookman Old Style"/>
          <w:iCs/>
        </w:rPr>
        <w:t xml:space="preserve">de la </w:t>
      </w:r>
      <w:r w:rsidR="00DD0E35" w:rsidRPr="00A63CB6">
        <w:rPr>
          <w:rFonts w:ascii="Bookman Old Style" w:hAnsi="Bookman Old Style"/>
          <w:iCs/>
        </w:rPr>
        <w:t>Resolución CREG 091 de 2007</w:t>
      </w:r>
      <w:r w:rsidR="00DD0E35">
        <w:rPr>
          <w:rFonts w:ascii="Bookman Old Style" w:hAnsi="Bookman Old Style"/>
          <w:iCs/>
        </w:rPr>
        <w:t xml:space="preserve"> </w:t>
      </w:r>
      <w:r w:rsidR="005651DA" w:rsidRPr="00A63CB6">
        <w:rPr>
          <w:rFonts w:ascii="Bookman Old Style" w:hAnsi="Bookman Old Style"/>
          <w:iCs/>
        </w:rPr>
        <w:t xml:space="preserve">es conocido por el recurrente desde el año 2007, </w:t>
      </w:r>
      <w:r w:rsidR="00DD0E35">
        <w:rPr>
          <w:rFonts w:ascii="Bookman Old Style" w:hAnsi="Bookman Old Style"/>
          <w:iCs/>
        </w:rPr>
        <w:t xml:space="preserve">razón por la cual </w:t>
      </w:r>
      <w:r w:rsidR="005651DA" w:rsidRPr="00A63CB6">
        <w:rPr>
          <w:rFonts w:ascii="Bookman Old Style" w:hAnsi="Bookman Old Style"/>
          <w:iCs/>
        </w:rPr>
        <w:t xml:space="preserve">no puede aceptar la CREG que sean planteados después de </w:t>
      </w:r>
      <w:r w:rsidR="00DD0E35">
        <w:rPr>
          <w:rFonts w:ascii="Bookman Old Style" w:hAnsi="Bookman Old Style"/>
          <w:iCs/>
        </w:rPr>
        <w:t>cuatro</w:t>
      </w:r>
      <w:r w:rsidR="00DD0E35" w:rsidRPr="00A63CB6">
        <w:rPr>
          <w:rFonts w:ascii="Bookman Old Style" w:hAnsi="Bookman Old Style"/>
          <w:iCs/>
        </w:rPr>
        <w:t xml:space="preserve"> </w:t>
      </w:r>
      <w:r w:rsidR="005651DA" w:rsidRPr="00A63CB6">
        <w:rPr>
          <w:rFonts w:ascii="Bookman Old Style" w:hAnsi="Bookman Old Style"/>
          <w:iCs/>
        </w:rPr>
        <w:t>años de vigencia de dicha Resolución un desconocimiento de</w:t>
      </w:r>
      <w:r w:rsidR="00DD0E35">
        <w:rPr>
          <w:rFonts w:ascii="Bookman Old Style" w:hAnsi="Bookman Old Style"/>
          <w:iCs/>
        </w:rPr>
        <w:t xml:space="preserve"> </w:t>
      </w:r>
      <w:r w:rsidR="00FB26C8" w:rsidRPr="00A63CB6">
        <w:rPr>
          <w:rFonts w:ascii="Bookman Old Style" w:hAnsi="Bookman Old Style"/>
          <w:iCs/>
        </w:rPr>
        <w:t>l</w:t>
      </w:r>
      <w:r w:rsidR="00DD0E35">
        <w:rPr>
          <w:rFonts w:ascii="Bookman Old Style" w:hAnsi="Bookman Old Style"/>
          <w:iCs/>
        </w:rPr>
        <w:t>a</w:t>
      </w:r>
      <w:r w:rsidR="00FB26C8" w:rsidRPr="00A63CB6">
        <w:rPr>
          <w:rFonts w:ascii="Bookman Old Style" w:hAnsi="Bookman Old Style"/>
          <w:iCs/>
        </w:rPr>
        <w:t xml:space="preserve"> mism</w:t>
      </w:r>
      <w:r w:rsidR="00DD0E35">
        <w:rPr>
          <w:rFonts w:ascii="Bookman Old Style" w:hAnsi="Bookman Old Style"/>
          <w:iCs/>
        </w:rPr>
        <w:t>a</w:t>
      </w:r>
      <w:r w:rsidR="00FB26C8" w:rsidRPr="00A63CB6">
        <w:rPr>
          <w:rFonts w:ascii="Bookman Old Style" w:hAnsi="Bookman Old Style"/>
          <w:iCs/>
        </w:rPr>
        <w:t xml:space="preserve"> o de la forma como dicha Resolución debe ser aplicada.</w:t>
      </w:r>
    </w:p>
    <w:p w:rsidR="00FB26C8" w:rsidRPr="00A63CB6" w:rsidRDefault="00FB26C8" w:rsidP="00C31EC7">
      <w:pPr>
        <w:ind w:left="0"/>
        <w:jc w:val="both"/>
        <w:rPr>
          <w:rFonts w:ascii="Bookman Old Style" w:hAnsi="Bookman Old Style"/>
          <w:iCs/>
        </w:rPr>
      </w:pPr>
    </w:p>
    <w:p w:rsidR="005651DA" w:rsidRPr="00A63CB6" w:rsidRDefault="005651DA" w:rsidP="00C31EC7">
      <w:pPr>
        <w:pStyle w:val="Textoindependiente"/>
        <w:ind w:left="0"/>
        <w:jc w:val="both"/>
        <w:rPr>
          <w:rFonts w:ascii="Bookman Old Style" w:hAnsi="Bookman Old Style"/>
        </w:rPr>
      </w:pPr>
      <w:r w:rsidRPr="00A63CB6">
        <w:rPr>
          <w:rFonts w:ascii="Bookman Old Style" w:hAnsi="Bookman Old Style"/>
        </w:rPr>
        <w:t>4.3 CONSIDERACI</w:t>
      </w:r>
      <w:r w:rsidR="00DD0E35">
        <w:rPr>
          <w:rFonts w:ascii="Bookman Old Style" w:hAnsi="Bookman Old Style"/>
        </w:rPr>
        <w:t>Ó</w:t>
      </w:r>
      <w:r w:rsidRPr="00A63CB6">
        <w:rPr>
          <w:rFonts w:ascii="Bookman Old Style" w:hAnsi="Bookman Old Style"/>
        </w:rPr>
        <w:t>N T</w:t>
      </w:r>
      <w:r w:rsidR="00520F96">
        <w:rPr>
          <w:rFonts w:ascii="Bookman Old Style" w:hAnsi="Bookman Old Style"/>
        </w:rPr>
        <w:t>É</w:t>
      </w:r>
      <w:r w:rsidRPr="00A63CB6">
        <w:rPr>
          <w:rFonts w:ascii="Bookman Old Style" w:hAnsi="Bookman Old Style"/>
        </w:rPr>
        <w:t>CNICA</w:t>
      </w:r>
    </w:p>
    <w:p w:rsidR="00CB1EF2" w:rsidRPr="00A63CB6" w:rsidRDefault="00CB1EF2" w:rsidP="00C31EC7">
      <w:pPr>
        <w:ind w:left="0"/>
        <w:jc w:val="both"/>
        <w:rPr>
          <w:rFonts w:ascii="Bookman Old Style" w:hAnsi="Bookman Old Style"/>
          <w:iCs/>
        </w:rPr>
      </w:pPr>
    </w:p>
    <w:p w:rsidR="0098055C" w:rsidRDefault="0098055C" w:rsidP="00C31EC7">
      <w:pPr>
        <w:ind w:left="0"/>
        <w:jc w:val="both"/>
        <w:rPr>
          <w:rFonts w:ascii="Bookman Old Style" w:hAnsi="Bookman Old Style"/>
          <w:iCs/>
        </w:rPr>
      </w:pPr>
      <w:r>
        <w:rPr>
          <w:rFonts w:ascii="Bookman Old Style" w:hAnsi="Bookman Old Style"/>
          <w:iCs/>
        </w:rPr>
        <w:t xml:space="preserve">En esta instancias de las consideraciones, debe reiterarse que las actuaciones administrativas de la </w:t>
      </w:r>
      <w:r w:rsidR="00520F96">
        <w:rPr>
          <w:rFonts w:ascii="Bookman Old Style" w:hAnsi="Bookman Old Style"/>
          <w:iCs/>
        </w:rPr>
        <w:t>C</w:t>
      </w:r>
      <w:r>
        <w:rPr>
          <w:rFonts w:ascii="Bookman Old Style" w:hAnsi="Bookman Old Style"/>
          <w:iCs/>
        </w:rPr>
        <w:t>omisión para el establecimiento y modificación de las f</w:t>
      </w:r>
      <w:r w:rsidR="00520F96">
        <w:rPr>
          <w:rFonts w:ascii="Bookman Old Style" w:hAnsi="Bookman Old Style"/>
          <w:iCs/>
        </w:rPr>
        <w:t>ó</w:t>
      </w:r>
      <w:r>
        <w:rPr>
          <w:rFonts w:ascii="Bookman Old Style" w:hAnsi="Bookman Old Style"/>
          <w:iCs/>
        </w:rPr>
        <w:t>rmulas tarifarias son encuadradas por lo determinado por el ordenamiento jurídico, en especial por lo determinado en la Ley 142 de 1994, en la cual se estableci</w:t>
      </w:r>
      <w:r w:rsidR="00520F96">
        <w:rPr>
          <w:rFonts w:ascii="Bookman Old Style" w:hAnsi="Bookman Old Style"/>
          <w:iCs/>
        </w:rPr>
        <w:t>ó</w:t>
      </w:r>
      <w:r>
        <w:rPr>
          <w:rFonts w:ascii="Bookman Old Style" w:hAnsi="Bookman Old Style"/>
          <w:iCs/>
        </w:rPr>
        <w:t xml:space="preserve"> el estatuto general de las servicios públicos domiciliarios, incluyendo el de energía eléctrica. De tal manera que las disposiciones de la Ley 142 de 1994 sirven como la columna vertebral de las disposiciones administrativas, y el contenido de </w:t>
      </w:r>
      <w:r w:rsidR="00520F96">
        <w:rPr>
          <w:rFonts w:ascii="Bookman Old Style" w:hAnsi="Bookman Old Style"/>
          <w:iCs/>
        </w:rPr>
        <w:t>é</w:t>
      </w:r>
      <w:r>
        <w:rPr>
          <w:rFonts w:ascii="Bookman Old Style" w:hAnsi="Bookman Old Style"/>
          <w:iCs/>
        </w:rPr>
        <w:t>stas debe responder al mandato de las normas superiores.</w:t>
      </w:r>
    </w:p>
    <w:p w:rsidR="0098055C" w:rsidRDefault="0098055C" w:rsidP="00C31EC7">
      <w:pPr>
        <w:ind w:left="0"/>
        <w:jc w:val="both"/>
        <w:rPr>
          <w:rFonts w:ascii="Bookman Old Style" w:hAnsi="Bookman Old Style"/>
          <w:iCs/>
        </w:rPr>
      </w:pPr>
    </w:p>
    <w:p w:rsidR="0098055C" w:rsidRDefault="0098055C" w:rsidP="00C31EC7">
      <w:pPr>
        <w:ind w:left="0"/>
        <w:jc w:val="both"/>
        <w:rPr>
          <w:rFonts w:ascii="Bookman Old Style" w:hAnsi="Bookman Old Style"/>
          <w:iCs/>
        </w:rPr>
      </w:pPr>
      <w:r>
        <w:rPr>
          <w:rFonts w:ascii="Bookman Old Style" w:hAnsi="Bookman Old Style"/>
          <w:iCs/>
        </w:rPr>
        <w:t>Vale decir que la Ley 142 de 1994 cre</w:t>
      </w:r>
      <w:r w:rsidR="00520F96">
        <w:rPr>
          <w:rFonts w:ascii="Bookman Old Style" w:hAnsi="Bookman Old Style"/>
          <w:iCs/>
        </w:rPr>
        <w:t>ó</w:t>
      </w:r>
      <w:r>
        <w:rPr>
          <w:rFonts w:ascii="Bookman Old Style" w:hAnsi="Bookman Old Style"/>
          <w:iCs/>
        </w:rPr>
        <w:t xml:space="preserve"> un sistema de f</w:t>
      </w:r>
      <w:r w:rsidR="00520F96">
        <w:rPr>
          <w:rFonts w:ascii="Bookman Old Style" w:hAnsi="Bookman Old Style"/>
          <w:iCs/>
        </w:rPr>
        <w:t>ó</w:t>
      </w:r>
      <w:r>
        <w:rPr>
          <w:rFonts w:ascii="Bookman Old Style" w:hAnsi="Bookman Old Style"/>
          <w:iCs/>
        </w:rPr>
        <w:t>rmulas tarifarias en las cuales únicamente le es dado a la Comisión el reconocimiento de costos eficiente</w:t>
      </w:r>
      <w:r w:rsidR="00520F96">
        <w:rPr>
          <w:rFonts w:ascii="Bookman Old Style" w:hAnsi="Bookman Old Style"/>
          <w:iCs/>
        </w:rPr>
        <w:t>s</w:t>
      </w:r>
      <w:r>
        <w:rPr>
          <w:rFonts w:ascii="Bookman Old Style" w:hAnsi="Bookman Old Style"/>
          <w:iCs/>
        </w:rPr>
        <w:t xml:space="preserve"> y no reales en la prestación de los servicios públicos domiciliarios</w:t>
      </w:r>
      <w:r w:rsidR="00520F96">
        <w:rPr>
          <w:rFonts w:ascii="Bookman Old Style" w:hAnsi="Bookman Old Style"/>
          <w:iCs/>
        </w:rPr>
        <w:t>. P</w:t>
      </w:r>
      <w:r>
        <w:rPr>
          <w:rFonts w:ascii="Bookman Old Style" w:hAnsi="Bookman Old Style"/>
          <w:iCs/>
        </w:rPr>
        <w:t>or lo tanto</w:t>
      </w:r>
      <w:r w:rsidR="00520F96">
        <w:rPr>
          <w:rFonts w:ascii="Bookman Old Style" w:hAnsi="Bookman Old Style"/>
          <w:iCs/>
        </w:rPr>
        <w:t>,</w:t>
      </w:r>
      <w:r>
        <w:rPr>
          <w:rFonts w:ascii="Bookman Old Style" w:hAnsi="Bookman Old Style"/>
          <w:iCs/>
        </w:rPr>
        <w:t xml:space="preserve"> es bajo esta premisa que se desarrolla el esq</w:t>
      </w:r>
      <w:r w:rsidR="00520F96">
        <w:rPr>
          <w:rFonts w:ascii="Bookman Old Style" w:hAnsi="Bookman Old Style"/>
          <w:iCs/>
        </w:rPr>
        <w:t>u</w:t>
      </w:r>
      <w:r>
        <w:rPr>
          <w:rFonts w:ascii="Bookman Old Style" w:hAnsi="Bookman Old Style"/>
          <w:iCs/>
        </w:rPr>
        <w:t xml:space="preserve">ema técnico de las </w:t>
      </w:r>
      <w:r w:rsidR="00520F96">
        <w:rPr>
          <w:rFonts w:ascii="Bookman Old Style" w:hAnsi="Bookman Old Style"/>
          <w:iCs/>
        </w:rPr>
        <w:t>r</w:t>
      </w:r>
      <w:r>
        <w:rPr>
          <w:rFonts w:ascii="Bookman Old Style" w:hAnsi="Bookman Old Style"/>
          <w:iCs/>
        </w:rPr>
        <w:t>esoluciones de la CREG que crean f</w:t>
      </w:r>
      <w:r w:rsidR="00520F96">
        <w:rPr>
          <w:rFonts w:ascii="Bookman Old Style" w:hAnsi="Bookman Old Style"/>
          <w:iCs/>
        </w:rPr>
        <w:t>ó</w:t>
      </w:r>
      <w:r>
        <w:rPr>
          <w:rFonts w:ascii="Bookman Old Style" w:hAnsi="Bookman Old Style"/>
          <w:iCs/>
        </w:rPr>
        <w:t>rmulas tarifarias.</w:t>
      </w:r>
    </w:p>
    <w:p w:rsidR="0098055C" w:rsidRDefault="0098055C" w:rsidP="00C31EC7">
      <w:pPr>
        <w:ind w:left="0"/>
        <w:jc w:val="both"/>
        <w:rPr>
          <w:rFonts w:ascii="Bookman Old Style" w:hAnsi="Bookman Old Style"/>
          <w:iCs/>
        </w:rPr>
      </w:pPr>
    </w:p>
    <w:p w:rsidR="001E0D38" w:rsidRPr="00A63CB6" w:rsidRDefault="001E0D38" w:rsidP="00C31EC7">
      <w:pPr>
        <w:ind w:left="0"/>
        <w:jc w:val="both"/>
        <w:rPr>
          <w:rFonts w:ascii="Bookman Old Style" w:hAnsi="Bookman Old Style"/>
          <w:iCs/>
        </w:rPr>
      </w:pPr>
      <w:r w:rsidRPr="00A63CB6">
        <w:rPr>
          <w:rFonts w:ascii="Bookman Old Style" w:hAnsi="Bookman Old Style"/>
          <w:iCs/>
        </w:rPr>
        <w:t xml:space="preserve">Esta Comisión debe </w:t>
      </w:r>
      <w:r w:rsidR="00DD0E35">
        <w:rPr>
          <w:rFonts w:ascii="Bookman Old Style" w:hAnsi="Bookman Old Style"/>
          <w:iCs/>
        </w:rPr>
        <w:t>señalar</w:t>
      </w:r>
      <w:r w:rsidRPr="00A63CB6">
        <w:rPr>
          <w:rFonts w:ascii="Bookman Old Style" w:hAnsi="Bookman Old Style"/>
          <w:iCs/>
        </w:rPr>
        <w:t>, tal y como lo hizo en la Resolución CREG 025 de 2012, que es la propia Ley 142 de 1994, la que consagra el reconocimiento de costos eficientes, y no de costos reales como lo pretende el accionante.</w:t>
      </w:r>
    </w:p>
    <w:p w:rsidR="001E0D38" w:rsidRPr="00A63CB6" w:rsidRDefault="001E0D38" w:rsidP="00C31EC7">
      <w:pPr>
        <w:ind w:left="0"/>
        <w:jc w:val="both"/>
        <w:rPr>
          <w:rFonts w:ascii="Bookman Old Style" w:hAnsi="Bookman Old Style" w:cs="Arial"/>
          <w:color w:val="666666"/>
          <w:highlight w:val="yellow"/>
        </w:rPr>
      </w:pPr>
    </w:p>
    <w:p w:rsidR="00A91467" w:rsidRPr="00A63CB6" w:rsidRDefault="00A91467" w:rsidP="00C31EC7">
      <w:pPr>
        <w:ind w:left="0"/>
        <w:jc w:val="both"/>
        <w:rPr>
          <w:rFonts w:ascii="Bookman Old Style" w:hAnsi="Bookman Old Style"/>
          <w:b/>
          <w:iCs/>
        </w:rPr>
      </w:pPr>
      <w:r w:rsidRPr="00A63CB6">
        <w:rPr>
          <w:rFonts w:ascii="Bookman Old Style" w:hAnsi="Bookman Old Style"/>
          <w:b/>
          <w:iCs/>
        </w:rPr>
        <w:t>4.3.1 Cargo de distribución</w:t>
      </w:r>
    </w:p>
    <w:p w:rsidR="00A91467" w:rsidRPr="00A63CB6" w:rsidRDefault="00A91467" w:rsidP="00C31EC7">
      <w:pPr>
        <w:ind w:left="0"/>
        <w:jc w:val="both"/>
        <w:rPr>
          <w:rFonts w:ascii="Bookman Old Style" w:hAnsi="Bookman Old Style"/>
          <w:iCs/>
        </w:rPr>
      </w:pPr>
    </w:p>
    <w:p w:rsidR="00141329" w:rsidRPr="00A63CB6" w:rsidRDefault="00141329" w:rsidP="00C31EC7">
      <w:pPr>
        <w:ind w:left="0"/>
        <w:jc w:val="both"/>
        <w:rPr>
          <w:rFonts w:ascii="Bookman Old Style" w:hAnsi="Bookman Old Style"/>
          <w:iCs/>
        </w:rPr>
      </w:pPr>
      <w:r w:rsidRPr="00A63CB6">
        <w:rPr>
          <w:rFonts w:ascii="Bookman Old Style" w:hAnsi="Bookman Old Style"/>
          <w:iCs/>
        </w:rPr>
        <w:t>Con respecto a la valoración de los gastos de AOM</w:t>
      </w:r>
      <w:r w:rsidR="006D0A41" w:rsidRPr="00A63CB6">
        <w:rPr>
          <w:rFonts w:ascii="Bookman Old Style" w:hAnsi="Bookman Old Style"/>
          <w:iCs/>
        </w:rPr>
        <w:t xml:space="preserve"> </w:t>
      </w:r>
      <w:r w:rsidR="00D1450C">
        <w:rPr>
          <w:rFonts w:ascii="Bookman Old Style" w:hAnsi="Bookman Old Style"/>
          <w:iCs/>
        </w:rPr>
        <w:t>de</w:t>
      </w:r>
      <w:r w:rsidR="00D1450C" w:rsidRPr="00A63CB6">
        <w:rPr>
          <w:rFonts w:ascii="Bookman Old Style" w:hAnsi="Bookman Old Style"/>
          <w:iCs/>
        </w:rPr>
        <w:t xml:space="preserve"> </w:t>
      </w:r>
      <w:r w:rsidR="006D0A41" w:rsidRPr="00A63CB6">
        <w:rPr>
          <w:rFonts w:ascii="Bookman Old Style" w:hAnsi="Bookman Old Style"/>
          <w:iCs/>
        </w:rPr>
        <w:t xml:space="preserve">la actividad de distribución en las </w:t>
      </w:r>
      <w:r w:rsidR="00D1450C">
        <w:rPr>
          <w:rFonts w:ascii="Bookman Old Style" w:hAnsi="Bookman Old Style"/>
          <w:iCs/>
        </w:rPr>
        <w:t>Zonas No Interconectadas</w:t>
      </w:r>
      <w:r w:rsidRPr="00A63CB6">
        <w:rPr>
          <w:rFonts w:ascii="Bookman Old Style" w:hAnsi="Bookman Old Style"/>
          <w:iCs/>
        </w:rPr>
        <w:t xml:space="preserve">, la </w:t>
      </w:r>
      <w:r w:rsidR="00D1450C">
        <w:rPr>
          <w:rFonts w:ascii="Bookman Old Style" w:hAnsi="Bookman Old Style"/>
          <w:iCs/>
        </w:rPr>
        <w:t>Comisión</w:t>
      </w:r>
      <w:r w:rsidR="00D1450C" w:rsidRPr="00A63CB6">
        <w:rPr>
          <w:rFonts w:ascii="Bookman Old Style" w:hAnsi="Bookman Old Style"/>
          <w:iCs/>
        </w:rPr>
        <w:t xml:space="preserve"> </w:t>
      </w:r>
      <w:r w:rsidRPr="00A63CB6">
        <w:rPr>
          <w:rFonts w:ascii="Bookman Old Style" w:hAnsi="Bookman Old Style"/>
          <w:iCs/>
        </w:rPr>
        <w:t xml:space="preserve">analizó en su momento las inquietudes presentadas por los </w:t>
      </w:r>
      <w:r w:rsidR="0046125D">
        <w:rPr>
          <w:rFonts w:ascii="Bookman Old Style" w:hAnsi="Bookman Old Style"/>
          <w:iCs/>
        </w:rPr>
        <w:t>agentes</w:t>
      </w:r>
      <w:r w:rsidR="0046125D" w:rsidRPr="00A63CB6">
        <w:rPr>
          <w:rFonts w:ascii="Bookman Old Style" w:hAnsi="Bookman Old Style"/>
          <w:iCs/>
        </w:rPr>
        <w:t xml:space="preserve"> </w:t>
      </w:r>
      <w:r w:rsidRPr="00A63CB6">
        <w:rPr>
          <w:rFonts w:ascii="Bookman Old Style" w:hAnsi="Bookman Old Style"/>
          <w:iCs/>
        </w:rPr>
        <w:t xml:space="preserve">en </w:t>
      </w:r>
      <w:r w:rsidR="00D1450C">
        <w:rPr>
          <w:rFonts w:ascii="Bookman Old Style" w:hAnsi="Bookman Old Style"/>
          <w:iCs/>
        </w:rPr>
        <w:t xml:space="preserve">el sentido de </w:t>
      </w:r>
      <w:r w:rsidRPr="00A63CB6">
        <w:rPr>
          <w:rFonts w:ascii="Bookman Old Style" w:hAnsi="Bookman Old Style"/>
          <w:iCs/>
        </w:rPr>
        <w:t xml:space="preserve">revisar la remuneración de dicha actividad dada la indefinición </w:t>
      </w:r>
      <w:r w:rsidR="00D1450C">
        <w:rPr>
          <w:rFonts w:ascii="Bookman Old Style" w:hAnsi="Bookman Old Style"/>
          <w:iCs/>
        </w:rPr>
        <w:t>de</w:t>
      </w:r>
      <w:r w:rsidR="00D1450C" w:rsidRPr="00A63CB6">
        <w:rPr>
          <w:rFonts w:ascii="Bookman Old Style" w:hAnsi="Bookman Old Style"/>
          <w:iCs/>
        </w:rPr>
        <w:t xml:space="preserve"> </w:t>
      </w:r>
      <w:r w:rsidR="00D1450C">
        <w:rPr>
          <w:rFonts w:ascii="Bookman Old Style" w:hAnsi="Bookman Old Style"/>
          <w:iCs/>
        </w:rPr>
        <w:t>las</w:t>
      </w:r>
      <w:r w:rsidRPr="00A63CB6">
        <w:rPr>
          <w:rFonts w:ascii="Bookman Old Style" w:hAnsi="Bookman Old Style"/>
          <w:iCs/>
        </w:rPr>
        <w:t xml:space="preserve"> actividades, procesos o prácticas </w:t>
      </w:r>
      <w:r w:rsidR="00D1450C">
        <w:rPr>
          <w:rFonts w:ascii="Bookman Old Style" w:hAnsi="Bookman Old Style"/>
          <w:iCs/>
        </w:rPr>
        <w:t>d</w:t>
      </w:r>
      <w:r w:rsidRPr="00A63CB6">
        <w:rPr>
          <w:rFonts w:ascii="Bookman Old Style" w:hAnsi="Bookman Old Style"/>
          <w:iCs/>
        </w:rPr>
        <w:t xml:space="preserve">el distribuidor </w:t>
      </w:r>
      <w:r w:rsidR="00D1450C">
        <w:rPr>
          <w:rFonts w:ascii="Bookman Old Style" w:hAnsi="Bookman Old Style"/>
          <w:iCs/>
        </w:rPr>
        <w:t xml:space="preserve">correspondientes </w:t>
      </w:r>
      <w:r w:rsidRPr="00A63CB6">
        <w:rPr>
          <w:rFonts w:ascii="Bookman Old Style" w:hAnsi="Bookman Old Style"/>
          <w:iCs/>
        </w:rPr>
        <w:t xml:space="preserve">a mantenimiento o </w:t>
      </w:r>
      <w:r w:rsidR="00D1450C">
        <w:rPr>
          <w:rFonts w:ascii="Bookman Old Style" w:hAnsi="Bookman Old Style"/>
          <w:iCs/>
        </w:rPr>
        <w:t>a</w:t>
      </w:r>
      <w:r w:rsidR="00D1450C" w:rsidRPr="00A63CB6">
        <w:rPr>
          <w:rFonts w:ascii="Bookman Old Style" w:hAnsi="Bookman Old Style"/>
          <w:iCs/>
        </w:rPr>
        <w:t xml:space="preserve"> </w:t>
      </w:r>
      <w:r w:rsidRPr="00A63CB6">
        <w:rPr>
          <w:rFonts w:ascii="Bookman Old Style" w:hAnsi="Bookman Old Style"/>
          <w:iCs/>
        </w:rPr>
        <w:t>reposición.</w:t>
      </w:r>
    </w:p>
    <w:p w:rsidR="00141329" w:rsidRPr="00A63CB6" w:rsidRDefault="00141329" w:rsidP="00C31EC7">
      <w:pPr>
        <w:ind w:left="0"/>
        <w:jc w:val="both"/>
        <w:rPr>
          <w:rFonts w:ascii="Bookman Old Style" w:hAnsi="Bookman Old Style"/>
          <w:iCs/>
        </w:rPr>
      </w:pPr>
    </w:p>
    <w:p w:rsidR="00141329" w:rsidRPr="00A63CB6" w:rsidRDefault="00141329" w:rsidP="00C31EC7">
      <w:pPr>
        <w:ind w:left="0"/>
        <w:jc w:val="both"/>
        <w:rPr>
          <w:rFonts w:ascii="Bookman Old Style" w:hAnsi="Bookman Old Style"/>
          <w:iCs/>
        </w:rPr>
      </w:pPr>
      <w:r w:rsidRPr="00A63CB6">
        <w:rPr>
          <w:rFonts w:ascii="Bookman Old Style" w:hAnsi="Bookman Old Style"/>
          <w:iCs/>
        </w:rPr>
        <w:t xml:space="preserve">La Comisión consideró entonces </w:t>
      </w:r>
      <w:r w:rsidR="0046125D">
        <w:rPr>
          <w:rFonts w:ascii="Bookman Old Style" w:hAnsi="Bookman Old Style"/>
          <w:iCs/>
        </w:rPr>
        <w:t xml:space="preserve">la remuneración de </w:t>
      </w:r>
      <w:r w:rsidRPr="00A63CB6">
        <w:rPr>
          <w:rFonts w:ascii="Bookman Old Style" w:hAnsi="Bookman Old Style"/>
          <w:iCs/>
        </w:rPr>
        <w:t>unos gastos de AOM en relación con el costo de inversión, que involucr</w:t>
      </w:r>
      <w:r w:rsidR="0046125D">
        <w:rPr>
          <w:rFonts w:ascii="Bookman Old Style" w:hAnsi="Bookman Old Style"/>
          <w:iCs/>
        </w:rPr>
        <w:t>aron</w:t>
      </w:r>
      <w:r w:rsidRPr="00A63CB6">
        <w:rPr>
          <w:rFonts w:ascii="Bookman Old Style" w:hAnsi="Bookman Old Style"/>
          <w:iCs/>
        </w:rPr>
        <w:t xml:space="preserve"> las verificaciones de correlación, redundancia y pertinencia entre variables propias de la actividad de distribución de energía eléctrica</w:t>
      </w:r>
      <w:r w:rsidR="0046125D">
        <w:rPr>
          <w:rFonts w:ascii="Bookman Old Style" w:hAnsi="Bookman Old Style"/>
          <w:iCs/>
        </w:rPr>
        <w:t>,</w:t>
      </w:r>
      <w:r w:rsidRPr="00A63CB6">
        <w:rPr>
          <w:rFonts w:ascii="Bookman Old Style" w:hAnsi="Bookman Old Style"/>
          <w:iCs/>
        </w:rPr>
        <w:t xml:space="preserve"> tales como </w:t>
      </w:r>
      <w:r w:rsidR="00D1450C">
        <w:rPr>
          <w:rFonts w:ascii="Bookman Old Style" w:hAnsi="Bookman Old Style"/>
          <w:iCs/>
        </w:rPr>
        <w:t>e</w:t>
      </w:r>
      <w:r w:rsidRPr="00A63CB6">
        <w:rPr>
          <w:rFonts w:ascii="Bookman Old Style" w:hAnsi="Bookman Old Style"/>
          <w:iCs/>
        </w:rPr>
        <w:t xml:space="preserve">scala (longitud de red por nivel </w:t>
      </w:r>
      <w:r w:rsidRPr="00A63CB6">
        <w:rPr>
          <w:rFonts w:ascii="Bookman Old Style" w:hAnsi="Bookman Old Style"/>
          <w:iCs/>
        </w:rPr>
        <w:lastRenderedPageBreak/>
        <w:t xml:space="preserve">de tensión, capacidad, numero de transformadores, numero de usuarios);  </w:t>
      </w:r>
      <w:r w:rsidR="00D1450C">
        <w:rPr>
          <w:rFonts w:ascii="Bookman Old Style" w:hAnsi="Bookman Old Style"/>
          <w:iCs/>
        </w:rPr>
        <w:t>c</w:t>
      </w:r>
      <w:r w:rsidRPr="00A63CB6">
        <w:rPr>
          <w:rFonts w:ascii="Bookman Old Style" w:hAnsi="Bookman Old Style"/>
          <w:iCs/>
        </w:rPr>
        <w:t>obertura (longitud de red por nivel de tensión, usuarios por kilometro)</w:t>
      </w:r>
      <w:r w:rsidR="00D1450C">
        <w:rPr>
          <w:rFonts w:ascii="Bookman Old Style" w:hAnsi="Bookman Old Style"/>
          <w:iCs/>
        </w:rPr>
        <w:t>;</w:t>
      </w:r>
      <w:r w:rsidRPr="00A63CB6">
        <w:rPr>
          <w:rFonts w:ascii="Bookman Old Style" w:hAnsi="Bookman Old Style"/>
          <w:iCs/>
        </w:rPr>
        <w:t xml:space="preserve"> </w:t>
      </w:r>
      <w:r w:rsidR="00D1450C">
        <w:rPr>
          <w:rFonts w:ascii="Bookman Old Style" w:hAnsi="Bookman Old Style"/>
          <w:iCs/>
        </w:rPr>
        <w:t>c</w:t>
      </w:r>
      <w:r w:rsidRPr="00A63CB6">
        <w:rPr>
          <w:rFonts w:ascii="Bookman Old Style" w:hAnsi="Bookman Old Style"/>
          <w:iCs/>
        </w:rPr>
        <w:t>apital (</w:t>
      </w:r>
      <w:r w:rsidR="00D1450C">
        <w:rPr>
          <w:rFonts w:ascii="Bookman Old Style" w:hAnsi="Bookman Old Style"/>
          <w:iCs/>
        </w:rPr>
        <w:t>c</w:t>
      </w:r>
      <w:r w:rsidRPr="00A63CB6">
        <w:rPr>
          <w:rFonts w:ascii="Bookman Old Style" w:hAnsi="Bookman Old Style"/>
          <w:iCs/>
        </w:rPr>
        <w:t>ostos de activos, total gastos de AOM)</w:t>
      </w:r>
      <w:r w:rsidR="00D1450C">
        <w:rPr>
          <w:rFonts w:ascii="Bookman Old Style" w:hAnsi="Bookman Old Style"/>
          <w:iCs/>
        </w:rPr>
        <w:t>;</w:t>
      </w:r>
      <w:r w:rsidRPr="00A63CB6">
        <w:rPr>
          <w:rFonts w:ascii="Bookman Old Style" w:hAnsi="Bookman Old Style"/>
          <w:iCs/>
        </w:rPr>
        <w:t xml:space="preserve"> y </w:t>
      </w:r>
      <w:r w:rsidR="00D1450C">
        <w:rPr>
          <w:rFonts w:ascii="Bookman Old Style" w:hAnsi="Bookman Old Style"/>
          <w:iCs/>
        </w:rPr>
        <w:t>c</w:t>
      </w:r>
      <w:r w:rsidRPr="00A63CB6">
        <w:rPr>
          <w:rFonts w:ascii="Bookman Old Style" w:hAnsi="Bookman Old Style"/>
          <w:iCs/>
        </w:rPr>
        <w:t>alidad del servicio</w:t>
      </w:r>
      <w:r w:rsidR="0046125D">
        <w:rPr>
          <w:rFonts w:ascii="Bookman Old Style" w:hAnsi="Bookman Old Style"/>
          <w:iCs/>
        </w:rPr>
        <w:t xml:space="preserve">. Esto llevó </w:t>
      </w:r>
      <w:r w:rsidR="006D0A41" w:rsidRPr="00A63CB6">
        <w:rPr>
          <w:rFonts w:ascii="Bookman Old Style" w:hAnsi="Bookman Old Style"/>
          <w:iCs/>
        </w:rPr>
        <w:t>a establecer un factor del 4%</w:t>
      </w:r>
      <w:r w:rsidR="0046125D">
        <w:rPr>
          <w:rFonts w:ascii="Bookman Old Style" w:hAnsi="Bookman Old Style"/>
          <w:iCs/>
        </w:rPr>
        <w:t xml:space="preserve"> del costo de inversión. Se puede observar </w:t>
      </w:r>
      <w:r w:rsidR="006D0A41" w:rsidRPr="00A63CB6">
        <w:rPr>
          <w:rFonts w:ascii="Bookman Old Style" w:hAnsi="Bookman Old Style"/>
          <w:iCs/>
        </w:rPr>
        <w:t xml:space="preserve">que </w:t>
      </w:r>
      <w:r w:rsidR="0046125D">
        <w:rPr>
          <w:rFonts w:ascii="Bookman Old Style" w:hAnsi="Bookman Old Style"/>
          <w:iCs/>
        </w:rPr>
        <w:t xml:space="preserve">en este análisis </w:t>
      </w:r>
      <w:r w:rsidR="006D0A41" w:rsidRPr="00A63CB6">
        <w:rPr>
          <w:rFonts w:ascii="Bookman Old Style" w:hAnsi="Bookman Old Style"/>
          <w:iCs/>
        </w:rPr>
        <w:t>se incluyeron parámetros propios de la actividad de distribución que remuneran costos eficientes en la misma.</w:t>
      </w:r>
    </w:p>
    <w:p w:rsidR="0022461E" w:rsidRPr="00A63CB6" w:rsidRDefault="0022461E" w:rsidP="00C31EC7">
      <w:pPr>
        <w:ind w:left="0"/>
        <w:jc w:val="both"/>
        <w:rPr>
          <w:rFonts w:ascii="Bookman Old Style" w:hAnsi="Bookman Old Style"/>
          <w:iCs/>
        </w:rPr>
      </w:pPr>
    </w:p>
    <w:p w:rsidR="0022461E" w:rsidRPr="00A63CB6" w:rsidRDefault="0022461E" w:rsidP="00C31EC7">
      <w:pPr>
        <w:ind w:left="0"/>
        <w:jc w:val="both"/>
        <w:rPr>
          <w:rFonts w:ascii="Bookman Old Style" w:hAnsi="Bookman Old Style"/>
          <w:iCs/>
        </w:rPr>
      </w:pPr>
      <w:r w:rsidRPr="00A63CB6">
        <w:rPr>
          <w:rFonts w:ascii="Bookman Old Style" w:hAnsi="Bookman Old Style"/>
          <w:iCs/>
        </w:rPr>
        <w:t xml:space="preserve">Con respecto al </w:t>
      </w:r>
      <w:r w:rsidR="0046125D">
        <w:rPr>
          <w:rFonts w:ascii="Bookman Old Style" w:hAnsi="Bookman Old Style"/>
          <w:iCs/>
        </w:rPr>
        <w:t xml:space="preserve">supuesto </w:t>
      </w:r>
      <w:r w:rsidRPr="00A63CB6">
        <w:rPr>
          <w:rFonts w:ascii="Bookman Old Style" w:hAnsi="Bookman Old Style"/>
          <w:iCs/>
        </w:rPr>
        <w:t>tratamiento inequitativo frente a los gastos de AOM reconocidos en el Sistema Interconectado Nacional</w:t>
      </w:r>
      <w:r w:rsidR="0046125D">
        <w:rPr>
          <w:rFonts w:ascii="Bookman Old Style" w:hAnsi="Bookman Old Style"/>
          <w:iCs/>
        </w:rPr>
        <w:t>,</w:t>
      </w:r>
      <w:r w:rsidRPr="00A63CB6">
        <w:rPr>
          <w:rFonts w:ascii="Bookman Old Style" w:hAnsi="Bookman Old Style"/>
          <w:iCs/>
        </w:rPr>
        <w:t xml:space="preserve"> SIN</w:t>
      </w:r>
      <w:r w:rsidR="0046125D">
        <w:rPr>
          <w:rFonts w:ascii="Bookman Old Style" w:hAnsi="Bookman Old Style"/>
          <w:iCs/>
        </w:rPr>
        <w:t>,</w:t>
      </w:r>
      <w:r w:rsidRPr="00A63CB6">
        <w:rPr>
          <w:rFonts w:ascii="Bookman Old Style" w:hAnsi="Bookman Old Style"/>
          <w:iCs/>
        </w:rPr>
        <w:t xml:space="preserve"> </w:t>
      </w:r>
      <w:r w:rsidR="004741A0" w:rsidRPr="00A63CB6">
        <w:rPr>
          <w:rFonts w:ascii="Bookman Old Style" w:hAnsi="Bookman Old Style"/>
          <w:iCs/>
        </w:rPr>
        <w:t xml:space="preserve">conforme a cálculos </w:t>
      </w:r>
      <w:r w:rsidR="0046125D">
        <w:rPr>
          <w:rFonts w:ascii="Bookman Old Style" w:hAnsi="Bookman Old Style"/>
          <w:iCs/>
        </w:rPr>
        <w:t>realizados por</w:t>
      </w:r>
      <w:r w:rsidR="0046125D" w:rsidRPr="00A63CB6">
        <w:rPr>
          <w:rFonts w:ascii="Bookman Old Style" w:hAnsi="Bookman Old Style"/>
          <w:iCs/>
        </w:rPr>
        <w:t xml:space="preserve"> </w:t>
      </w:r>
      <w:r w:rsidR="004741A0" w:rsidRPr="00A63CB6">
        <w:rPr>
          <w:rFonts w:ascii="Bookman Old Style" w:hAnsi="Bookman Old Style"/>
          <w:iCs/>
        </w:rPr>
        <w:t xml:space="preserve">la Comisión, </w:t>
      </w:r>
      <w:r w:rsidR="00AE5A5F">
        <w:rPr>
          <w:rFonts w:ascii="Bookman Old Style" w:hAnsi="Bookman Old Style"/>
          <w:iCs/>
        </w:rPr>
        <w:t xml:space="preserve">el </w:t>
      </w:r>
      <w:r w:rsidR="00AE5A5F" w:rsidRPr="00A63CB6">
        <w:rPr>
          <w:rFonts w:ascii="Bookman Old Style" w:hAnsi="Bookman Old Style"/>
          <w:iCs/>
        </w:rPr>
        <w:t xml:space="preserve">promedio ponderado </w:t>
      </w:r>
      <w:r w:rsidR="00AE5A5F">
        <w:rPr>
          <w:rFonts w:ascii="Bookman Old Style" w:hAnsi="Bookman Old Style"/>
          <w:iCs/>
        </w:rPr>
        <w:t xml:space="preserve">de </w:t>
      </w:r>
      <w:r w:rsidRPr="00A63CB6">
        <w:rPr>
          <w:rFonts w:ascii="Bookman Old Style" w:hAnsi="Bookman Old Style"/>
          <w:iCs/>
        </w:rPr>
        <w:t>los gastos de AOM sobre el valor de infraestructura de las empresas del S</w:t>
      </w:r>
      <w:r w:rsidR="00F078F2">
        <w:rPr>
          <w:rFonts w:ascii="Bookman Old Style" w:hAnsi="Bookman Old Style"/>
          <w:iCs/>
        </w:rPr>
        <w:t xml:space="preserve">istema </w:t>
      </w:r>
      <w:r w:rsidRPr="00A63CB6">
        <w:rPr>
          <w:rFonts w:ascii="Bookman Old Style" w:hAnsi="Bookman Old Style"/>
          <w:iCs/>
        </w:rPr>
        <w:t>I</w:t>
      </w:r>
      <w:r w:rsidR="00F078F2">
        <w:rPr>
          <w:rFonts w:ascii="Bookman Old Style" w:hAnsi="Bookman Old Style"/>
          <w:iCs/>
        </w:rPr>
        <w:t xml:space="preserve">nterconectado </w:t>
      </w:r>
      <w:r w:rsidRPr="00A63CB6">
        <w:rPr>
          <w:rFonts w:ascii="Bookman Old Style" w:hAnsi="Bookman Old Style"/>
          <w:iCs/>
        </w:rPr>
        <w:t>N</w:t>
      </w:r>
      <w:r w:rsidR="00F078F2">
        <w:rPr>
          <w:rFonts w:ascii="Bookman Old Style" w:hAnsi="Bookman Old Style"/>
          <w:iCs/>
        </w:rPr>
        <w:t>acional</w:t>
      </w:r>
      <w:r w:rsidRPr="00A63CB6">
        <w:rPr>
          <w:rFonts w:ascii="Bookman Old Style" w:hAnsi="Bookman Old Style"/>
          <w:iCs/>
        </w:rPr>
        <w:t xml:space="preserve"> </w:t>
      </w:r>
      <w:r w:rsidR="00AE5A5F">
        <w:rPr>
          <w:rFonts w:ascii="Bookman Old Style" w:hAnsi="Bookman Old Style"/>
          <w:iCs/>
        </w:rPr>
        <w:t>es</w:t>
      </w:r>
      <w:r w:rsidRPr="00A63CB6">
        <w:rPr>
          <w:rFonts w:ascii="Bookman Old Style" w:hAnsi="Bookman Old Style"/>
          <w:iCs/>
        </w:rPr>
        <w:t xml:space="preserve"> menor al 4%</w:t>
      </w:r>
      <w:r w:rsidR="004741A0" w:rsidRPr="00A63CB6">
        <w:rPr>
          <w:rFonts w:ascii="Bookman Old Style" w:hAnsi="Bookman Old Style"/>
          <w:iCs/>
        </w:rPr>
        <w:t>, porcentaje</w:t>
      </w:r>
      <w:r w:rsidRPr="00A63CB6">
        <w:rPr>
          <w:rFonts w:ascii="Bookman Old Style" w:hAnsi="Bookman Old Style"/>
          <w:iCs/>
        </w:rPr>
        <w:t xml:space="preserve"> </w:t>
      </w:r>
      <w:r w:rsidR="004741A0" w:rsidRPr="00A63CB6">
        <w:rPr>
          <w:rFonts w:ascii="Bookman Old Style" w:hAnsi="Bookman Old Style"/>
          <w:iCs/>
        </w:rPr>
        <w:t xml:space="preserve">que es </w:t>
      </w:r>
      <w:r w:rsidRPr="00A63CB6">
        <w:rPr>
          <w:rFonts w:ascii="Bookman Old Style" w:hAnsi="Bookman Old Style"/>
          <w:iCs/>
        </w:rPr>
        <w:t xml:space="preserve">reconocido </w:t>
      </w:r>
      <w:r w:rsidR="004741A0" w:rsidRPr="00A63CB6">
        <w:rPr>
          <w:rFonts w:ascii="Bookman Old Style" w:hAnsi="Bookman Old Style"/>
          <w:iCs/>
        </w:rPr>
        <w:t>para las</w:t>
      </w:r>
      <w:r w:rsidRPr="00A63CB6">
        <w:rPr>
          <w:rFonts w:ascii="Bookman Old Style" w:hAnsi="Bookman Old Style"/>
          <w:iCs/>
        </w:rPr>
        <w:t xml:space="preserve"> </w:t>
      </w:r>
      <w:r w:rsidR="00AE5A5F">
        <w:rPr>
          <w:rFonts w:ascii="Bookman Old Style" w:hAnsi="Bookman Old Style"/>
          <w:iCs/>
        </w:rPr>
        <w:t>Zonas No interconectadas</w:t>
      </w:r>
      <w:r w:rsidRPr="00A63CB6">
        <w:rPr>
          <w:rFonts w:ascii="Bookman Old Style" w:hAnsi="Bookman Old Style"/>
          <w:iCs/>
        </w:rPr>
        <w:t>.</w:t>
      </w:r>
    </w:p>
    <w:p w:rsidR="00141329" w:rsidRPr="00A63CB6" w:rsidRDefault="00141329" w:rsidP="00C31EC7">
      <w:pPr>
        <w:ind w:left="0"/>
        <w:jc w:val="both"/>
        <w:rPr>
          <w:rFonts w:ascii="Bookman Old Style" w:hAnsi="Bookman Old Style"/>
          <w:iCs/>
        </w:rPr>
      </w:pPr>
    </w:p>
    <w:p w:rsidR="00002927" w:rsidRPr="00A63CB6" w:rsidRDefault="00002927" w:rsidP="00C31EC7">
      <w:pPr>
        <w:ind w:left="0"/>
        <w:jc w:val="both"/>
        <w:rPr>
          <w:rFonts w:ascii="Bookman Old Style" w:hAnsi="Bookman Old Style"/>
          <w:iCs/>
        </w:rPr>
      </w:pPr>
      <w:r w:rsidRPr="00A63CB6">
        <w:rPr>
          <w:rFonts w:ascii="Bookman Old Style" w:hAnsi="Bookman Old Style"/>
          <w:iCs/>
        </w:rPr>
        <w:t xml:space="preserve">Con respecto a la valoración de la infraestructura eléctrica en las </w:t>
      </w:r>
      <w:r w:rsidR="00AE5A5F">
        <w:rPr>
          <w:rFonts w:ascii="Bookman Old Style" w:hAnsi="Bookman Old Style"/>
          <w:iCs/>
        </w:rPr>
        <w:t>Zonas No interconectadas</w:t>
      </w:r>
      <w:r w:rsidRPr="00A63CB6">
        <w:rPr>
          <w:rFonts w:ascii="Bookman Old Style" w:hAnsi="Bookman Old Style"/>
          <w:iCs/>
        </w:rPr>
        <w:t>, los costos de inversión reconoce</w:t>
      </w:r>
      <w:r w:rsidR="00AE5A5F">
        <w:rPr>
          <w:rFonts w:ascii="Bookman Old Style" w:hAnsi="Bookman Old Style"/>
          <w:iCs/>
        </w:rPr>
        <w:t>n</w:t>
      </w:r>
      <w:r w:rsidRPr="00A63CB6">
        <w:rPr>
          <w:rFonts w:ascii="Bookman Old Style" w:hAnsi="Bookman Old Style"/>
          <w:iCs/>
        </w:rPr>
        <w:t xml:space="preserve"> el valor de reposición a nuevo de los principales elementos </w:t>
      </w:r>
      <w:r w:rsidR="00B2379B">
        <w:rPr>
          <w:rFonts w:ascii="Bookman Old Style" w:hAnsi="Bookman Old Style"/>
          <w:iCs/>
        </w:rPr>
        <w:t>de</w:t>
      </w:r>
      <w:r w:rsidRPr="00A63CB6">
        <w:rPr>
          <w:rFonts w:ascii="Bookman Old Style" w:hAnsi="Bookman Old Style"/>
          <w:iCs/>
        </w:rPr>
        <w:t xml:space="preserve"> un sistema de distribución</w:t>
      </w:r>
      <w:r w:rsidR="00B2379B">
        <w:rPr>
          <w:rFonts w:ascii="Bookman Old Style" w:hAnsi="Bookman Old Style"/>
          <w:iCs/>
        </w:rPr>
        <w:t>,</w:t>
      </w:r>
      <w:r w:rsidRPr="00A63CB6">
        <w:rPr>
          <w:rFonts w:ascii="Bookman Old Style" w:hAnsi="Bookman Old Style"/>
          <w:iCs/>
        </w:rPr>
        <w:t xml:space="preserve"> como los son conductores, postes, estructuras y transformadores, cuyos precios fueron tomados de fuentes de información disponibles como el estudio de Consultoría Colombiana y de la Base de datos del Sistema de Información de Normas del IPSE</w:t>
      </w:r>
      <w:r w:rsidR="00B2379B">
        <w:rPr>
          <w:rFonts w:ascii="Bookman Old Style" w:hAnsi="Bookman Old Style"/>
          <w:iCs/>
        </w:rPr>
        <w:t xml:space="preserve">, </w:t>
      </w:r>
      <w:r w:rsidR="00B2379B" w:rsidRPr="00A63CB6">
        <w:rPr>
          <w:rFonts w:ascii="Bookman Old Style" w:hAnsi="Bookman Old Style"/>
          <w:iCs/>
        </w:rPr>
        <w:t>SINIP</w:t>
      </w:r>
      <w:r w:rsidRPr="00A63CB6">
        <w:rPr>
          <w:rFonts w:ascii="Bookman Old Style" w:hAnsi="Bookman Old Style"/>
          <w:iCs/>
        </w:rPr>
        <w:t>. Dichos costos consideraron un incremento por un factor correspondiente al transporte hacia las localidades de las</w:t>
      </w:r>
      <w:r w:rsidR="00B2379B">
        <w:rPr>
          <w:rFonts w:ascii="Bookman Old Style" w:hAnsi="Bookman Old Style"/>
          <w:iCs/>
        </w:rPr>
        <w:t xml:space="preserve"> Zonas No interconectadas</w:t>
      </w:r>
      <w:r w:rsidRPr="00A63CB6">
        <w:rPr>
          <w:rFonts w:ascii="Bookman Old Style" w:hAnsi="Bookman Old Style"/>
          <w:iCs/>
        </w:rPr>
        <w:t>.</w:t>
      </w:r>
    </w:p>
    <w:p w:rsidR="00002927" w:rsidRPr="00A63CB6" w:rsidRDefault="00002927" w:rsidP="00C31EC7">
      <w:pPr>
        <w:ind w:left="0"/>
        <w:jc w:val="both"/>
        <w:rPr>
          <w:rFonts w:ascii="Bookman Old Style" w:hAnsi="Bookman Old Style"/>
          <w:iCs/>
        </w:rPr>
      </w:pPr>
    </w:p>
    <w:p w:rsidR="00D331BC" w:rsidRPr="00A63CB6" w:rsidRDefault="00D331BC" w:rsidP="00C31EC7">
      <w:pPr>
        <w:ind w:left="0"/>
        <w:jc w:val="both"/>
        <w:rPr>
          <w:rFonts w:ascii="Bookman Old Style" w:hAnsi="Bookman Old Style"/>
          <w:iCs/>
        </w:rPr>
      </w:pPr>
      <w:r w:rsidRPr="00A63CB6">
        <w:rPr>
          <w:rFonts w:ascii="Bookman Old Style" w:hAnsi="Bookman Old Style"/>
          <w:iCs/>
        </w:rPr>
        <w:t>La metodología para remunerar la actividad de distribución en las Zona</w:t>
      </w:r>
      <w:r w:rsidR="00B2379B">
        <w:rPr>
          <w:rFonts w:ascii="Bookman Old Style" w:hAnsi="Bookman Old Style"/>
          <w:iCs/>
        </w:rPr>
        <w:t>s</w:t>
      </w:r>
      <w:r w:rsidRPr="00A63CB6">
        <w:rPr>
          <w:rFonts w:ascii="Bookman Old Style" w:hAnsi="Bookman Old Style"/>
          <w:iCs/>
        </w:rPr>
        <w:t xml:space="preserve"> No Interconectadas consideró un análisis de la</w:t>
      </w:r>
      <w:r w:rsidR="00B2379B">
        <w:rPr>
          <w:rFonts w:ascii="Bookman Old Style" w:hAnsi="Bookman Old Style"/>
          <w:iCs/>
        </w:rPr>
        <w:t>s</w:t>
      </w:r>
      <w:r w:rsidRPr="00A63CB6">
        <w:rPr>
          <w:rFonts w:ascii="Bookman Old Style" w:hAnsi="Bookman Old Style"/>
          <w:iCs/>
        </w:rPr>
        <w:t xml:space="preserve"> redes existentes en estas </w:t>
      </w:r>
      <w:r w:rsidR="00B2379B">
        <w:rPr>
          <w:rFonts w:ascii="Bookman Old Style" w:hAnsi="Bookman Old Style"/>
          <w:iCs/>
        </w:rPr>
        <w:t>regiones</w:t>
      </w:r>
      <w:r w:rsidRPr="00A63CB6">
        <w:rPr>
          <w:rFonts w:ascii="Bookman Old Style" w:hAnsi="Bookman Old Style"/>
          <w:iCs/>
        </w:rPr>
        <w:t>, identificando su topología y operación, haciendo un inventario de las redes de media y baja tensión</w:t>
      </w:r>
      <w:r w:rsidR="00B2379B">
        <w:rPr>
          <w:rFonts w:ascii="Bookman Old Style" w:hAnsi="Bookman Old Style"/>
          <w:iCs/>
        </w:rPr>
        <w:t>,</w:t>
      </w:r>
      <w:r w:rsidRPr="00A63CB6">
        <w:rPr>
          <w:rFonts w:ascii="Bookman Old Style" w:hAnsi="Bookman Old Style"/>
          <w:iCs/>
        </w:rPr>
        <w:t xml:space="preserve"> así como el diagnostico respectivo.</w:t>
      </w:r>
      <w:r w:rsidR="00315502" w:rsidRPr="00A63CB6">
        <w:rPr>
          <w:rFonts w:ascii="Bookman Old Style" w:hAnsi="Bookman Old Style"/>
          <w:iCs/>
        </w:rPr>
        <w:t xml:space="preserve"> Posteriormente</w:t>
      </w:r>
      <w:r w:rsidR="00B2379B">
        <w:rPr>
          <w:rFonts w:ascii="Bookman Old Style" w:hAnsi="Bookman Old Style"/>
          <w:iCs/>
        </w:rPr>
        <w:t>,</w:t>
      </w:r>
      <w:r w:rsidR="00315502" w:rsidRPr="00A63CB6">
        <w:rPr>
          <w:rFonts w:ascii="Bookman Old Style" w:hAnsi="Bookman Old Style"/>
          <w:iCs/>
        </w:rPr>
        <w:t xml:space="preserve"> </w:t>
      </w:r>
      <w:r w:rsidR="00B2379B" w:rsidRPr="00A63CB6">
        <w:rPr>
          <w:rFonts w:ascii="Bookman Old Style" w:hAnsi="Bookman Old Style"/>
          <w:iCs/>
        </w:rPr>
        <w:t>con base en la información disponible</w:t>
      </w:r>
      <w:r w:rsidR="00B2379B">
        <w:rPr>
          <w:rFonts w:ascii="Bookman Old Style" w:hAnsi="Bookman Old Style"/>
          <w:iCs/>
        </w:rPr>
        <w:t>,</w:t>
      </w:r>
      <w:r w:rsidR="00B2379B" w:rsidRPr="00A63CB6">
        <w:rPr>
          <w:rFonts w:ascii="Bookman Old Style" w:hAnsi="Bookman Old Style"/>
          <w:iCs/>
        </w:rPr>
        <w:t xml:space="preserve"> </w:t>
      </w:r>
      <w:r w:rsidR="00315502" w:rsidRPr="00A63CB6">
        <w:rPr>
          <w:rFonts w:ascii="Bookman Old Style" w:hAnsi="Bookman Old Style"/>
          <w:iCs/>
        </w:rPr>
        <w:t>se defini</w:t>
      </w:r>
      <w:r w:rsidR="00B2379B">
        <w:rPr>
          <w:rFonts w:ascii="Bookman Old Style" w:hAnsi="Bookman Old Style"/>
          <w:iCs/>
        </w:rPr>
        <w:t>eron</w:t>
      </w:r>
      <w:r w:rsidR="00315502" w:rsidRPr="00A63CB6">
        <w:rPr>
          <w:rFonts w:ascii="Bookman Old Style" w:hAnsi="Bookman Old Style"/>
          <w:iCs/>
        </w:rPr>
        <w:t xml:space="preserve"> circuitos típicos que representan las condiciones de estas zonas </w:t>
      </w:r>
      <w:r w:rsidR="00B2379B">
        <w:rPr>
          <w:rFonts w:ascii="Bookman Old Style" w:hAnsi="Bookman Old Style"/>
          <w:iCs/>
        </w:rPr>
        <w:t xml:space="preserve">y a partir de esto </w:t>
      </w:r>
      <w:r w:rsidR="00315502" w:rsidRPr="00A63CB6">
        <w:rPr>
          <w:rFonts w:ascii="Bookman Old Style" w:hAnsi="Bookman Old Style"/>
          <w:iCs/>
        </w:rPr>
        <w:t xml:space="preserve">se procedió a </w:t>
      </w:r>
      <w:r w:rsidR="00B2379B">
        <w:rPr>
          <w:rFonts w:ascii="Bookman Old Style" w:hAnsi="Bookman Old Style"/>
          <w:iCs/>
        </w:rPr>
        <w:t>determinar</w:t>
      </w:r>
      <w:r w:rsidR="00B2379B" w:rsidRPr="00A63CB6">
        <w:rPr>
          <w:rFonts w:ascii="Bookman Old Style" w:hAnsi="Bookman Old Style"/>
          <w:iCs/>
        </w:rPr>
        <w:t xml:space="preserve"> </w:t>
      </w:r>
      <w:r w:rsidR="00315502" w:rsidRPr="00A63CB6">
        <w:rPr>
          <w:rFonts w:ascii="Bookman Old Style" w:hAnsi="Bookman Old Style"/>
          <w:iCs/>
        </w:rPr>
        <w:t xml:space="preserve">los respectivos costos </w:t>
      </w:r>
      <w:r w:rsidR="00B2379B">
        <w:rPr>
          <w:rFonts w:ascii="Bookman Old Style" w:hAnsi="Bookman Old Style"/>
          <w:iCs/>
        </w:rPr>
        <w:t xml:space="preserve">eficientes </w:t>
      </w:r>
      <w:r w:rsidR="00315502" w:rsidRPr="00A63CB6">
        <w:rPr>
          <w:rFonts w:ascii="Bookman Old Style" w:hAnsi="Bookman Old Style"/>
          <w:iCs/>
        </w:rPr>
        <w:t>de inversión.</w:t>
      </w:r>
    </w:p>
    <w:p w:rsidR="001B1FB9" w:rsidRPr="00A63CB6" w:rsidRDefault="001B1FB9" w:rsidP="00C31EC7">
      <w:pPr>
        <w:ind w:left="0"/>
        <w:jc w:val="both"/>
        <w:rPr>
          <w:rFonts w:ascii="Bookman Old Style" w:hAnsi="Bookman Old Style"/>
          <w:iCs/>
        </w:rPr>
      </w:pPr>
    </w:p>
    <w:p w:rsidR="00A91467" w:rsidRPr="00A63CB6" w:rsidRDefault="00A91467" w:rsidP="00C31EC7">
      <w:pPr>
        <w:ind w:left="0"/>
        <w:jc w:val="both"/>
        <w:rPr>
          <w:rFonts w:ascii="Bookman Old Style" w:hAnsi="Bookman Old Style"/>
          <w:b/>
          <w:iCs/>
        </w:rPr>
      </w:pPr>
      <w:r w:rsidRPr="00A63CB6">
        <w:rPr>
          <w:rFonts w:ascii="Bookman Old Style" w:hAnsi="Bookman Old Style"/>
          <w:b/>
          <w:iCs/>
        </w:rPr>
        <w:t>4.3.2 Cargo de comercialización</w:t>
      </w:r>
    </w:p>
    <w:p w:rsidR="001B1FB9" w:rsidRPr="00A63CB6" w:rsidRDefault="001B1FB9" w:rsidP="00C31EC7">
      <w:pPr>
        <w:ind w:left="0"/>
        <w:jc w:val="both"/>
        <w:rPr>
          <w:rFonts w:ascii="Bookman Old Style" w:hAnsi="Bookman Old Style"/>
          <w:iCs/>
        </w:rPr>
      </w:pPr>
    </w:p>
    <w:p w:rsidR="00DF0B3D" w:rsidRPr="00A63CB6" w:rsidRDefault="001B1FB9" w:rsidP="00C31EC7">
      <w:pPr>
        <w:ind w:left="0"/>
        <w:jc w:val="both"/>
        <w:rPr>
          <w:rFonts w:ascii="Bookman Old Style" w:hAnsi="Bookman Old Style"/>
          <w:iCs/>
        </w:rPr>
      </w:pPr>
      <w:r w:rsidRPr="00A63CB6">
        <w:rPr>
          <w:rFonts w:ascii="Bookman Old Style" w:hAnsi="Bookman Old Style"/>
          <w:iCs/>
        </w:rPr>
        <w:t>De otro lado,</w:t>
      </w:r>
      <w:r w:rsidR="00C2555A" w:rsidRPr="00A63CB6">
        <w:rPr>
          <w:rFonts w:ascii="Bookman Old Style" w:hAnsi="Bookman Old Style"/>
          <w:iCs/>
        </w:rPr>
        <w:t xml:space="preserve"> con respecto a la remuneración de la actividad de comercialización, la metodología establecida en la Resolución CREG 091 de 2007 determinó</w:t>
      </w:r>
      <w:r w:rsidR="002340F4">
        <w:rPr>
          <w:rFonts w:ascii="Bookman Old Style" w:hAnsi="Bookman Old Style"/>
          <w:iCs/>
        </w:rPr>
        <w:t>,</w:t>
      </w:r>
      <w:r w:rsidR="00C2555A" w:rsidRPr="00A63CB6">
        <w:rPr>
          <w:rFonts w:ascii="Bookman Old Style" w:hAnsi="Bookman Old Style"/>
          <w:iCs/>
        </w:rPr>
        <w:t xml:space="preserve"> </w:t>
      </w:r>
      <w:r w:rsidR="004F4B7D" w:rsidRPr="00A63CB6">
        <w:rPr>
          <w:rFonts w:ascii="Bookman Old Style" w:hAnsi="Bookman Old Style"/>
          <w:iCs/>
        </w:rPr>
        <w:t xml:space="preserve">con base en un estudio de costos eficientes para la actividad de comercialización de energía eléctrica en Colombia, </w:t>
      </w:r>
      <w:r w:rsidR="00C2555A" w:rsidRPr="00A63CB6">
        <w:rPr>
          <w:rFonts w:ascii="Bookman Old Style" w:hAnsi="Bookman Old Style"/>
          <w:iCs/>
        </w:rPr>
        <w:t xml:space="preserve">costos de los procesos operativos y administrativos en las </w:t>
      </w:r>
      <w:r w:rsidR="002340F4">
        <w:rPr>
          <w:rFonts w:ascii="Bookman Old Style" w:hAnsi="Bookman Old Style"/>
          <w:iCs/>
        </w:rPr>
        <w:t xml:space="preserve">Zonas No Interconectadas. Esto contempló el cálculo de </w:t>
      </w:r>
      <w:r w:rsidR="00C2555A" w:rsidRPr="00A63CB6">
        <w:rPr>
          <w:rFonts w:ascii="Bookman Old Style" w:hAnsi="Bookman Old Style"/>
          <w:iCs/>
        </w:rPr>
        <w:t xml:space="preserve">los </w:t>
      </w:r>
      <w:r w:rsidR="002340F4" w:rsidRPr="00A63CB6">
        <w:rPr>
          <w:rFonts w:ascii="Bookman Old Style" w:hAnsi="Bookman Old Style"/>
          <w:iCs/>
        </w:rPr>
        <w:t xml:space="preserve">costos </w:t>
      </w:r>
      <w:r w:rsidR="00C2555A" w:rsidRPr="00A63CB6">
        <w:rPr>
          <w:rFonts w:ascii="Bookman Old Style" w:hAnsi="Bookman Old Style"/>
          <w:iCs/>
        </w:rPr>
        <w:t>respectivos, identificando los procesos y rendimientos típicos de cada uno de ellos</w:t>
      </w:r>
      <w:r w:rsidR="004F4B7D" w:rsidRPr="00A63CB6">
        <w:rPr>
          <w:rFonts w:ascii="Bookman Old Style" w:hAnsi="Bookman Old Style"/>
          <w:iCs/>
        </w:rPr>
        <w:t>,</w:t>
      </w:r>
      <w:r w:rsidR="00ED59BC" w:rsidRPr="00A63CB6">
        <w:rPr>
          <w:rFonts w:ascii="Bookman Old Style" w:hAnsi="Bookman Old Style"/>
          <w:iCs/>
        </w:rPr>
        <w:t xml:space="preserve"> considerando los rubros de la metodología de empresa eficiente</w:t>
      </w:r>
      <w:r w:rsidR="002340F4">
        <w:rPr>
          <w:rFonts w:ascii="Bookman Old Style" w:hAnsi="Bookman Old Style"/>
          <w:iCs/>
        </w:rPr>
        <w:t xml:space="preserve">. La metodología también </w:t>
      </w:r>
      <w:r w:rsidR="00DF0B3D" w:rsidRPr="00A63CB6">
        <w:rPr>
          <w:rFonts w:ascii="Bookman Old Style" w:hAnsi="Bookman Old Style"/>
          <w:iCs/>
        </w:rPr>
        <w:t>incluye incentivos a las empresas</w:t>
      </w:r>
      <w:r w:rsidR="002340F4">
        <w:rPr>
          <w:rFonts w:ascii="Bookman Old Style" w:hAnsi="Bookman Old Style"/>
          <w:iCs/>
        </w:rPr>
        <w:t>,</w:t>
      </w:r>
      <w:r w:rsidR="00DF0B3D" w:rsidRPr="00A63CB6">
        <w:rPr>
          <w:rFonts w:ascii="Bookman Old Style" w:hAnsi="Bookman Old Style"/>
          <w:iCs/>
        </w:rPr>
        <w:t xml:space="preserve"> </w:t>
      </w:r>
      <w:r w:rsidR="004F4B7D" w:rsidRPr="00A63CB6">
        <w:rPr>
          <w:rFonts w:ascii="Bookman Old Style" w:hAnsi="Bookman Old Style"/>
          <w:iCs/>
        </w:rPr>
        <w:t xml:space="preserve">tal </w:t>
      </w:r>
      <w:r w:rsidR="00DF0B3D" w:rsidRPr="00A63CB6">
        <w:rPr>
          <w:rFonts w:ascii="Bookman Old Style" w:hAnsi="Bookman Old Style"/>
          <w:iCs/>
        </w:rPr>
        <w:t>como el reconocimiento de un cargo mensual adicional por instalación de medidores cuando no exista medición individual de los consumos.</w:t>
      </w:r>
    </w:p>
    <w:p w:rsidR="00DF0B3D" w:rsidRPr="00A63CB6" w:rsidRDefault="00DF0B3D" w:rsidP="00C31EC7">
      <w:pPr>
        <w:ind w:left="0"/>
        <w:jc w:val="both"/>
        <w:rPr>
          <w:rFonts w:ascii="Bookman Old Style" w:hAnsi="Bookman Old Style"/>
          <w:iCs/>
        </w:rPr>
      </w:pPr>
    </w:p>
    <w:p w:rsidR="00DF0B3D" w:rsidRPr="00A63CB6" w:rsidRDefault="00DF0B3D" w:rsidP="00C31EC7">
      <w:pPr>
        <w:ind w:left="0"/>
        <w:jc w:val="both"/>
        <w:rPr>
          <w:rFonts w:ascii="Bookman Old Style" w:hAnsi="Bookman Old Style"/>
          <w:iCs/>
        </w:rPr>
      </w:pPr>
      <w:r w:rsidRPr="00A63CB6">
        <w:rPr>
          <w:rFonts w:ascii="Bookman Old Style" w:hAnsi="Bookman Old Style"/>
          <w:iCs/>
        </w:rPr>
        <w:t xml:space="preserve">De esta manera, la metodología </w:t>
      </w:r>
      <w:r w:rsidR="00F078F2">
        <w:rPr>
          <w:rFonts w:ascii="Bookman Old Style" w:hAnsi="Bookman Old Style"/>
          <w:iCs/>
        </w:rPr>
        <w:t>reconoce los costos eficientes</w:t>
      </w:r>
      <w:r w:rsidR="00F078F2" w:rsidRPr="00A63CB6">
        <w:rPr>
          <w:rFonts w:ascii="Bookman Old Style" w:hAnsi="Bookman Old Style"/>
          <w:iCs/>
        </w:rPr>
        <w:t xml:space="preserve"> </w:t>
      </w:r>
      <w:r w:rsidR="00F078F2">
        <w:rPr>
          <w:rFonts w:ascii="Bookman Old Style" w:hAnsi="Bookman Old Style"/>
          <w:iCs/>
        </w:rPr>
        <w:t xml:space="preserve">en que incurren </w:t>
      </w:r>
      <w:r w:rsidRPr="00A63CB6">
        <w:rPr>
          <w:rFonts w:ascii="Bookman Old Style" w:hAnsi="Bookman Old Style"/>
          <w:iCs/>
        </w:rPr>
        <w:t xml:space="preserve">los prestadores del servicio en las </w:t>
      </w:r>
      <w:r w:rsidR="002340F4">
        <w:rPr>
          <w:rFonts w:ascii="Bookman Old Style" w:hAnsi="Bookman Old Style"/>
          <w:iCs/>
        </w:rPr>
        <w:t xml:space="preserve">Zonas No Interconectadas </w:t>
      </w:r>
      <w:r w:rsidR="00F078F2">
        <w:rPr>
          <w:rFonts w:ascii="Bookman Old Style" w:hAnsi="Bookman Old Style"/>
          <w:iCs/>
        </w:rPr>
        <w:t>por la comercialización de energía eléctrica</w:t>
      </w:r>
      <w:r w:rsidRPr="00A63CB6">
        <w:rPr>
          <w:rFonts w:ascii="Bookman Old Style" w:hAnsi="Bookman Old Style"/>
          <w:iCs/>
        </w:rPr>
        <w:t>.</w:t>
      </w:r>
    </w:p>
    <w:p w:rsidR="00B92C75" w:rsidRPr="00A63CB6" w:rsidRDefault="00B92C75" w:rsidP="00C31EC7">
      <w:pPr>
        <w:ind w:left="0"/>
        <w:jc w:val="both"/>
        <w:rPr>
          <w:rFonts w:ascii="Bookman Old Style" w:hAnsi="Bookman Old Style"/>
          <w:iCs/>
        </w:rPr>
      </w:pPr>
    </w:p>
    <w:p w:rsidR="00B92C75" w:rsidRPr="00A63CB6" w:rsidRDefault="00B92C75" w:rsidP="00C31EC7">
      <w:pPr>
        <w:ind w:left="0"/>
        <w:jc w:val="both"/>
        <w:rPr>
          <w:rFonts w:ascii="Bookman Old Style" w:hAnsi="Bookman Old Style"/>
          <w:iCs/>
        </w:rPr>
      </w:pPr>
      <w:r w:rsidRPr="00A63CB6">
        <w:rPr>
          <w:rFonts w:ascii="Bookman Old Style" w:hAnsi="Bookman Old Style"/>
          <w:iCs/>
        </w:rPr>
        <w:t>Respecto a l</w:t>
      </w:r>
      <w:r w:rsidR="002A7C27" w:rsidRPr="00A63CB6">
        <w:rPr>
          <w:rFonts w:ascii="Bookman Old Style" w:hAnsi="Bookman Old Style"/>
          <w:iCs/>
        </w:rPr>
        <w:t>a</w:t>
      </w:r>
      <w:r w:rsidRPr="00A63CB6">
        <w:rPr>
          <w:rFonts w:ascii="Bookman Old Style" w:hAnsi="Bookman Old Style"/>
          <w:iCs/>
        </w:rPr>
        <w:t xml:space="preserve"> </w:t>
      </w:r>
      <w:r w:rsidR="002A7C27" w:rsidRPr="00A63CB6">
        <w:rPr>
          <w:rFonts w:ascii="Bookman Old Style" w:hAnsi="Bookman Old Style"/>
          <w:iCs/>
        </w:rPr>
        <w:t>información</w:t>
      </w:r>
      <w:r w:rsidR="00753252" w:rsidRPr="00A63CB6">
        <w:rPr>
          <w:rFonts w:ascii="Bookman Old Style" w:hAnsi="Bookman Old Style"/>
          <w:iCs/>
        </w:rPr>
        <w:t xml:space="preserve"> </w:t>
      </w:r>
      <w:r w:rsidRPr="00A63CB6">
        <w:rPr>
          <w:rFonts w:ascii="Bookman Old Style" w:hAnsi="Bookman Old Style"/>
          <w:iCs/>
        </w:rPr>
        <w:t>presentad</w:t>
      </w:r>
      <w:r w:rsidR="002A7C27" w:rsidRPr="00A63CB6">
        <w:rPr>
          <w:rFonts w:ascii="Bookman Old Style" w:hAnsi="Bookman Old Style"/>
          <w:iCs/>
        </w:rPr>
        <w:t>a</w:t>
      </w:r>
      <w:r w:rsidRPr="00A63CB6">
        <w:rPr>
          <w:rFonts w:ascii="Bookman Old Style" w:hAnsi="Bookman Old Style"/>
          <w:iCs/>
        </w:rPr>
        <w:t xml:space="preserve"> por la empresa</w:t>
      </w:r>
      <w:r w:rsidR="00753252" w:rsidRPr="00A63CB6">
        <w:rPr>
          <w:rFonts w:ascii="Bookman Old Style" w:hAnsi="Bookman Old Style"/>
          <w:iCs/>
        </w:rPr>
        <w:t xml:space="preserve"> </w:t>
      </w:r>
      <w:r w:rsidR="00F078F2">
        <w:rPr>
          <w:rFonts w:ascii="Bookman Old Style" w:hAnsi="Bookman Old Style"/>
          <w:iCs/>
        </w:rPr>
        <w:t xml:space="preserve">para soportar </w:t>
      </w:r>
      <w:r w:rsidR="00753252" w:rsidRPr="00A63CB6">
        <w:rPr>
          <w:rFonts w:ascii="Bookman Old Style" w:hAnsi="Bookman Old Style"/>
          <w:iCs/>
        </w:rPr>
        <w:t>los gastos de comercialización y</w:t>
      </w:r>
      <w:r w:rsidR="002A7C27" w:rsidRPr="00A63CB6">
        <w:rPr>
          <w:rFonts w:ascii="Bookman Old Style" w:hAnsi="Bookman Old Style"/>
          <w:iCs/>
        </w:rPr>
        <w:t xml:space="preserve"> </w:t>
      </w:r>
      <w:r w:rsidR="00F078F2">
        <w:rPr>
          <w:rFonts w:ascii="Bookman Old Style" w:hAnsi="Bookman Old Style"/>
          <w:iCs/>
        </w:rPr>
        <w:t xml:space="preserve">en relación con </w:t>
      </w:r>
      <w:r w:rsidR="002A7C27" w:rsidRPr="00A63CB6">
        <w:rPr>
          <w:rFonts w:ascii="Bookman Old Style" w:hAnsi="Bookman Old Style"/>
          <w:iCs/>
        </w:rPr>
        <w:t xml:space="preserve">los argumentos presentados por la </w:t>
      </w:r>
      <w:r w:rsidR="002A7C27" w:rsidRPr="00A63CB6">
        <w:rPr>
          <w:rFonts w:ascii="Bookman Old Style" w:hAnsi="Bookman Old Style"/>
          <w:iCs/>
        </w:rPr>
        <w:lastRenderedPageBreak/>
        <w:t>empresa en su recurso</w:t>
      </w:r>
      <w:r w:rsidR="00753252" w:rsidRPr="00A63CB6">
        <w:rPr>
          <w:rFonts w:ascii="Bookman Old Style" w:hAnsi="Bookman Old Style"/>
          <w:iCs/>
        </w:rPr>
        <w:t xml:space="preserve">, la Comisión reitera  </w:t>
      </w:r>
      <w:r w:rsidR="002A7C27" w:rsidRPr="00A63CB6">
        <w:rPr>
          <w:rFonts w:ascii="Bookman Old Style" w:hAnsi="Bookman Old Style"/>
          <w:iCs/>
        </w:rPr>
        <w:t xml:space="preserve">que </w:t>
      </w:r>
      <w:r w:rsidR="00753252" w:rsidRPr="00A63CB6">
        <w:rPr>
          <w:rFonts w:ascii="Bookman Old Style" w:hAnsi="Bookman Old Style"/>
          <w:iCs/>
        </w:rPr>
        <w:t>el valor indicado en el cuadro No. 19 de la Resolución CREG 025 de 2012</w:t>
      </w:r>
      <w:r w:rsidR="002A7C27" w:rsidRPr="00A63CB6">
        <w:rPr>
          <w:rFonts w:ascii="Bookman Old Style" w:hAnsi="Bookman Old Style"/>
          <w:iCs/>
        </w:rPr>
        <w:t xml:space="preserve"> ($262.708.420) no es explicado por la empresa</w:t>
      </w:r>
      <w:r w:rsidR="00F078F2">
        <w:rPr>
          <w:rFonts w:ascii="Bookman Old Style" w:hAnsi="Bookman Old Style"/>
          <w:iCs/>
        </w:rPr>
        <w:t xml:space="preserve"> a la luz</w:t>
      </w:r>
      <w:r w:rsidR="00F078F2" w:rsidRPr="00A63CB6">
        <w:rPr>
          <w:rFonts w:ascii="Bookman Old Style" w:hAnsi="Bookman Old Style"/>
          <w:iCs/>
        </w:rPr>
        <w:t xml:space="preserve"> del modelo de empresa eficiente </w:t>
      </w:r>
      <w:r w:rsidR="00F078F2">
        <w:rPr>
          <w:rFonts w:ascii="Bookman Old Style" w:hAnsi="Bookman Old Style"/>
          <w:iCs/>
        </w:rPr>
        <w:t>utilizado</w:t>
      </w:r>
      <w:r w:rsidR="00F078F2" w:rsidRPr="00A63CB6">
        <w:rPr>
          <w:rFonts w:ascii="Bookman Old Style" w:hAnsi="Bookman Old Style"/>
          <w:iCs/>
        </w:rPr>
        <w:t xml:space="preserve"> en la metodología de la Resolución CREG 091 de 2007</w:t>
      </w:r>
      <w:r w:rsidR="002A7C27" w:rsidRPr="00A63CB6">
        <w:rPr>
          <w:rFonts w:ascii="Bookman Old Style" w:hAnsi="Bookman Old Style"/>
          <w:iCs/>
        </w:rPr>
        <w:t>, por lo que la Comisión no tiene los elementos suficientes para evaluar la eficiencia de dichos costos.</w:t>
      </w:r>
    </w:p>
    <w:p w:rsidR="00DF0B3D" w:rsidRDefault="00DF0B3D" w:rsidP="00C31EC7">
      <w:pPr>
        <w:ind w:left="0"/>
        <w:jc w:val="both"/>
        <w:rPr>
          <w:rFonts w:ascii="Bookman Old Style" w:hAnsi="Bookman Old Style"/>
          <w:iCs/>
        </w:rPr>
      </w:pPr>
    </w:p>
    <w:p w:rsidR="00943216" w:rsidRDefault="00943216" w:rsidP="00C31EC7">
      <w:pPr>
        <w:ind w:left="0"/>
        <w:jc w:val="both"/>
        <w:rPr>
          <w:rFonts w:ascii="Bookman Old Style" w:hAnsi="Bookman Old Style"/>
          <w:iCs/>
        </w:rPr>
      </w:pPr>
      <w:r w:rsidRPr="00A63CB6">
        <w:rPr>
          <w:rFonts w:ascii="Bookman Old Style" w:hAnsi="Bookman Old Style"/>
          <w:iCs/>
        </w:rPr>
        <w:t>Además, respecto a los gastos e</w:t>
      </w:r>
      <w:r>
        <w:rPr>
          <w:rFonts w:ascii="Bookman Old Style" w:hAnsi="Bookman Old Style"/>
          <w:iCs/>
        </w:rPr>
        <w:t>n</w:t>
      </w:r>
      <w:r w:rsidRPr="00A63CB6">
        <w:rPr>
          <w:rFonts w:ascii="Bookman Old Style" w:hAnsi="Bookman Old Style"/>
          <w:iCs/>
        </w:rPr>
        <w:t xml:space="preserve"> </w:t>
      </w:r>
      <w:proofErr w:type="spellStart"/>
      <w:r w:rsidRPr="00A63CB6">
        <w:rPr>
          <w:rFonts w:ascii="Bookman Old Style" w:hAnsi="Bookman Old Style"/>
          <w:iCs/>
        </w:rPr>
        <w:t>preimpresos</w:t>
      </w:r>
      <w:proofErr w:type="spellEnd"/>
      <w:r>
        <w:rPr>
          <w:rFonts w:ascii="Bookman Old Style" w:hAnsi="Bookman Old Style"/>
          <w:iCs/>
        </w:rPr>
        <w:t>,</w:t>
      </w:r>
      <w:r w:rsidRPr="00A63CB6">
        <w:rPr>
          <w:rFonts w:ascii="Bookman Old Style" w:hAnsi="Bookman Old Style"/>
          <w:iCs/>
        </w:rPr>
        <w:t xml:space="preserve"> facturas, cintas de impresión y papelería </w:t>
      </w:r>
      <w:r w:rsidR="008D40C7">
        <w:rPr>
          <w:rFonts w:ascii="Bookman Old Style" w:hAnsi="Bookman Old Style"/>
          <w:iCs/>
        </w:rPr>
        <w:t xml:space="preserve">indicadas en el </w:t>
      </w:r>
      <w:r w:rsidR="008D40C7" w:rsidRPr="00A63CB6">
        <w:rPr>
          <w:rFonts w:ascii="Bookman Old Style" w:hAnsi="Bookman Old Style"/>
          <w:iCs/>
        </w:rPr>
        <w:t>cuadro 16 de la Resolución CREG 025 de 2012</w:t>
      </w:r>
      <w:r w:rsidR="008D40C7">
        <w:rPr>
          <w:rFonts w:ascii="Bookman Old Style" w:hAnsi="Bookman Old Style"/>
          <w:iCs/>
        </w:rPr>
        <w:t xml:space="preserve">, </w:t>
      </w:r>
      <w:r w:rsidRPr="00A63CB6">
        <w:rPr>
          <w:rFonts w:ascii="Bookman Old Style" w:hAnsi="Bookman Old Style"/>
          <w:iCs/>
        </w:rPr>
        <w:t xml:space="preserve">la </w:t>
      </w:r>
      <w:r>
        <w:rPr>
          <w:rFonts w:ascii="Bookman Old Style" w:hAnsi="Bookman Old Style"/>
          <w:iCs/>
        </w:rPr>
        <w:t>Comisión reconoció para cada uno de estos rubros costos eficientes dados en pesos por factura</w:t>
      </w:r>
      <w:r w:rsidR="008D40C7">
        <w:rPr>
          <w:rFonts w:ascii="Bookman Old Style" w:hAnsi="Bookman Old Style"/>
          <w:iCs/>
        </w:rPr>
        <w:t xml:space="preserve">, </w:t>
      </w:r>
      <w:r>
        <w:rPr>
          <w:rFonts w:ascii="Bookman Old Style" w:hAnsi="Bookman Old Style"/>
          <w:iCs/>
        </w:rPr>
        <w:t xml:space="preserve">con </w:t>
      </w:r>
      <w:r w:rsidRPr="00A63CB6">
        <w:rPr>
          <w:rFonts w:ascii="Bookman Old Style" w:hAnsi="Bookman Old Style"/>
          <w:iCs/>
        </w:rPr>
        <w:t>base en la información suministrada por la empresa</w:t>
      </w:r>
      <w:r w:rsidR="008D40C7">
        <w:rPr>
          <w:rFonts w:ascii="Bookman Old Style" w:hAnsi="Bookman Old Style"/>
          <w:iCs/>
        </w:rPr>
        <w:t>.</w:t>
      </w:r>
    </w:p>
    <w:p w:rsidR="00943216" w:rsidRDefault="00943216" w:rsidP="00C31EC7">
      <w:pPr>
        <w:ind w:left="0"/>
        <w:jc w:val="both"/>
        <w:rPr>
          <w:rFonts w:ascii="Bookman Old Style" w:hAnsi="Bookman Old Style"/>
          <w:iCs/>
        </w:rPr>
      </w:pPr>
    </w:p>
    <w:p w:rsidR="00DA7D4A" w:rsidRPr="00A63CB6" w:rsidRDefault="00DA7D4A" w:rsidP="00C31EC7">
      <w:pPr>
        <w:ind w:left="0"/>
        <w:jc w:val="both"/>
        <w:rPr>
          <w:rFonts w:ascii="Bookman Old Style" w:hAnsi="Bookman Old Style"/>
          <w:iCs/>
        </w:rPr>
      </w:pPr>
      <w:r w:rsidRPr="00A63CB6">
        <w:rPr>
          <w:rFonts w:ascii="Bookman Old Style" w:hAnsi="Bookman Old Style"/>
          <w:iCs/>
        </w:rPr>
        <w:t xml:space="preserve">Finalmente, con respecto al </w:t>
      </w:r>
      <w:r w:rsidR="00F078F2">
        <w:rPr>
          <w:rFonts w:ascii="Bookman Old Style" w:hAnsi="Bookman Old Style"/>
          <w:iCs/>
        </w:rPr>
        <w:t xml:space="preserve">supuesto </w:t>
      </w:r>
      <w:r w:rsidRPr="00A63CB6">
        <w:rPr>
          <w:rFonts w:ascii="Bookman Old Style" w:hAnsi="Bookman Old Style"/>
          <w:iCs/>
        </w:rPr>
        <w:t xml:space="preserve">trato inequitativo frente a los cargos de comercialización reconocidos en el Sistema Interconectado Nacional, es importante tener en cuenta que </w:t>
      </w:r>
      <w:r w:rsidR="00F078F2">
        <w:rPr>
          <w:rFonts w:ascii="Bookman Old Style" w:hAnsi="Bookman Old Style"/>
          <w:iCs/>
        </w:rPr>
        <w:t xml:space="preserve">la CREG ha establecido </w:t>
      </w:r>
      <w:r w:rsidR="00F078F2" w:rsidRPr="00A63CB6">
        <w:rPr>
          <w:rFonts w:ascii="Bookman Old Style" w:hAnsi="Bookman Old Style"/>
          <w:iCs/>
        </w:rPr>
        <w:t xml:space="preserve">metodologías de remuneración </w:t>
      </w:r>
      <w:r w:rsidR="00F078F2">
        <w:rPr>
          <w:rFonts w:ascii="Bookman Old Style" w:hAnsi="Bookman Old Style"/>
          <w:iCs/>
        </w:rPr>
        <w:t xml:space="preserve">para </w:t>
      </w:r>
      <w:r w:rsidRPr="00A63CB6">
        <w:rPr>
          <w:rFonts w:ascii="Bookman Old Style" w:hAnsi="Bookman Old Style"/>
          <w:iCs/>
        </w:rPr>
        <w:t>cada sistema</w:t>
      </w:r>
      <w:r w:rsidR="00F078F2">
        <w:rPr>
          <w:rFonts w:ascii="Bookman Old Style" w:hAnsi="Bookman Old Style"/>
          <w:iCs/>
        </w:rPr>
        <w:t xml:space="preserve">, teniendo en cuenta </w:t>
      </w:r>
      <w:r w:rsidRPr="00A63CB6">
        <w:rPr>
          <w:rFonts w:ascii="Bookman Old Style" w:hAnsi="Bookman Old Style"/>
          <w:iCs/>
        </w:rPr>
        <w:t>las características de cada un</w:t>
      </w:r>
      <w:r w:rsidR="00F078F2">
        <w:rPr>
          <w:rFonts w:ascii="Bookman Old Style" w:hAnsi="Bookman Old Style"/>
          <w:iCs/>
        </w:rPr>
        <w:t>o</w:t>
      </w:r>
      <w:r w:rsidRPr="00A63CB6">
        <w:rPr>
          <w:rFonts w:ascii="Bookman Old Style" w:hAnsi="Bookman Old Style"/>
          <w:iCs/>
        </w:rPr>
        <w:t xml:space="preserve"> de ell</w:t>
      </w:r>
      <w:r w:rsidR="00F078F2">
        <w:rPr>
          <w:rFonts w:ascii="Bookman Old Style" w:hAnsi="Bookman Old Style"/>
          <w:iCs/>
        </w:rPr>
        <w:t>o</w:t>
      </w:r>
      <w:r w:rsidRPr="00A63CB6">
        <w:rPr>
          <w:rFonts w:ascii="Bookman Old Style" w:hAnsi="Bookman Old Style"/>
          <w:iCs/>
        </w:rPr>
        <w:t>s</w:t>
      </w:r>
      <w:r w:rsidR="000641EA" w:rsidRPr="00A63CB6">
        <w:rPr>
          <w:rFonts w:ascii="Bookman Old Style" w:hAnsi="Bookman Old Style"/>
          <w:iCs/>
        </w:rPr>
        <w:t xml:space="preserve">, por lo que </w:t>
      </w:r>
      <w:r w:rsidR="00F078F2">
        <w:rPr>
          <w:rFonts w:ascii="Bookman Old Style" w:hAnsi="Bookman Old Style"/>
          <w:iCs/>
        </w:rPr>
        <w:t>no hay lugar a la comparación planteada por la empresa</w:t>
      </w:r>
      <w:r w:rsidR="000641EA" w:rsidRPr="00A63CB6">
        <w:rPr>
          <w:rFonts w:ascii="Bookman Old Style" w:hAnsi="Bookman Old Style"/>
          <w:iCs/>
        </w:rPr>
        <w:t>.</w:t>
      </w:r>
    </w:p>
    <w:p w:rsidR="00DF0B3D" w:rsidRPr="00AB5FF7" w:rsidRDefault="00DF0B3D" w:rsidP="00C31EC7">
      <w:pPr>
        <w:ind w:left="0"/>
        <w:jc w:val="both"/>
        <w:rPr>
          <w:rFonts w:ascii="Bookman Old Style" w:hAnsi="Bookman Old Style" w:cs="Arial"/>
          <w:color w:val="666666"/>
          <w:sz w:val="20"/>
        </w:rPr>
      </w:pPr>
    </w:p>
    <w:p w:rsidR="000625AC" w:rsidRPr="00A63CB6" w:rsidRDefault="005651DA" w:rsidP="00C31EC7">
      <w:pPr>
        <w:ind w:left="0"/>
        <w:jc w:val="both"/>
        <w:rPr>
          <w:rFonts w:ascii="Bookman Old Style" w:hAnsi="Bookman Old Style"/>
          <w:b/>
          <w:iCs/>
        </w:rPr>
      </w:pPr>
      <w:r w:rsidRPr="00A63CB6">
        <w:rPr>
          <w:rFonts w:ascii="Bookman Old Style" w:hAnsi="Bookman Old Style"/>
          <w:b/>
          <w:iCs/>
        </w:rPr>
        <w:t xml:space="preserve">4.4 </w:t>
      </w:r>
      <w:r w:rsidR="000625AC" w:rsidRPr="00A63CB6">
        <w:rPr>
          <w:rFonts w:ascii="Bookman Old Style" w:hAnsi="Bookman Old Style"/>
          <w:b/>
          <w:iCs/>
        </w:rPr>
        <w:t>SOLICITUD PROBATORIA</w:t>
      </w:r>
    </w:p>
    <w:p w:rsidR="000625AC" w:rsidRPr="00AB5FF7" w:rsidRDefault="000625AC" w:rsidP="00C31EC7">
      <w:pPr>
        <w:ind w:left="0"/>
        <w:jc w:val="both"/>
        <w:rPr>
          <w:rFonts w:ascii="Bookman Old Style" w:hAnsi="Bookman Old Style"/>
          <w:b/>
          <w:iCs/>
          <w:sz w:val="22"/>
        </w:rPr>
      </w:pPr>
    </w:p>
    <w:p w:rsidR="003946CF" w:rsidRPr="00A63CB6" w:rsidRDefault="003946CF" w:rsidP="00C31EC7">
      <w:pPr>
        <w:widowControl w:val="0"/>
        <w:autoSpaceDE w:val="0"/>
        <w:autoSpaceDN w:val="0"/>
        <w:adjustRightInd w:val="0"/>
        <w:ind w:left="0"/>
        <w:jc w:val="both"/>
        <w:rPr>
          <w:rFonts w:ascii="Bookman Old Style" w:hAnsi="Bookman Old Style"/>
          <w:iCs/>
        </w:rPr>
      </w:pPr>
      <w:r w:rsidRPr="00A63CB6">
        <w:rPr>
          <w:rFonts w:ascii="Bookman Old Style" w:hAnsi="Bookman Old Style"/>
          <w:iCs/>
        </w:rPr>
        <w:t>En el recurso de reposición la empresa solicit</w:t>
      </w:r>
      <w:r w:rsidR="00C903DC">
        <w:rPr>
          <w:rFonts w:ascii="Bookman Old Style" w:hAnsi="Bookman Old Style"/>
          <w:iCs/>
        </w:rPr>
        <w:t>ó</w:t>
      </w:r>
      <w:r w:rsidRPr="00A63CB6">
        <w:rPr>
          <w:rFonts w:ascii="Bookman Old Style" w:hAnsi="Bookman Old Style"/>
          <w:iCs/>
        </w:rPr>
        <w:t xml:space="preserve"> las siguientes pruebas:</w:t>
      </w:r>
    </w:p>
    <w:p w:rsidR="003946CF" w:rsidRPr="00AB5FF7" w:rsidRDefault="003946CF" w:rsidP="00C31EC7">
      <w:pPr>
        <w:widowControl w:val="0"/>
        <w:autoSpaceDE w:val="0"/>
        <w:autoSpaceDN w:val="0"/>
        <w:adjustRightInd w:val="0"/>
        <w:ind w:left="0"/>
        <w:jc w:val="both"/>
        <w:rPr>
          <w:rFonts w:ascii="Bookman Old Style" w:hAnsi="Bookman Old Style"/>
          <w:iCs/>
          <w:sz w:val="20"/>
        </w:rPr>
      </w:pPr>
    </w:p>
    <w:p w:rsidR="003946CF" w:rsidRPr="00A63CB6" w:rsidRDefault="003946CF" w:rsidP="00C31EC7">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w:t>
      </w:r>
    </w:p>
    <w:p w:rsidR="003946CF" w:rsidRPr="00AB5FF7" w:rsidRDefault="003946CF" w:rsidP="00C31EC7">
      <w:pPr>
        <w:widowControl w:val="0"/>
        <w:autoSpaceDE w:val="0"/>
        <w:autoSpaceDN w:val="0"/>
        <w:adjustRightInd w:val="0"/>
        <w:jc w:val="both"/>
        <w:rPr>
          <w:rFonts w:ascii="Bookman Old Style" w:hAnsi="Bookman Old Style" w:cs="Arial"/>
          <w:i/>
          <w:sz w:val="22"/>
        </w:rPr>
      </w:pPr>
    </w:p>
    <w:p w:rsidR="003946CF" w:rsidRPr="00A63CB6" w:rsidRDefault="003946CF" w:rsidP="00C31EC7">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Solicito que se realice visita ocular a la empresa a efecto de corroborar in situ, las condiciones en que se trabajo y se establezca si efectivamente los gastos en que se incurre pueden considerarse ineficientes.</w:t>
      </w:r>
    </w:p>
    <w:p w:rsidR="003946CF" w:rsidRPr="00AB5FF7" w:rsidRDefault="003946CF" w:rsidP="00C31EC7">
      <w:pPr>
        <w:widowControl w:val="0"/>
        <w:autoSpaceDE w:val="0"/>
        <w:autoSpaceDN w:val="0"/>
        <w:adjustRightInd w:val="0"/>
        <w:jc w:val="both"/>
        <w:rPr>
          <w:rFonts w:ascii="Bookman Old Style" w:hAnsi="Bookman Old Style" w:cs="Arial"/>
          <w:i/>
          <w:sz w:val="18"/>
        </w:rPr>
      </w:pPr>
    </w:p>
    <w:p w:rsidR="003946CF" w:rsidRPr="00A63CB6" w:rsidRDefault="003946CF" w:rsidP="00C31EC7">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Solicito que a través de una mesa de trabajo que se desarrolle ya sea en la ciudad de Inírida o en la ciudad de Bogotá se pueda explicar fehacientemente los costos reales en que incurre la empresa y así pueda determinarse costos diferentes a los establecidos en la regulación</w:t>
      </w:r>
    </w:p>
    <w:p w:rsidR="003946CF" w:rsidRPr="00AB5FF7" w:rsidRDefault="003946CF" w:rsidP="00C31EC7">
      <w:pPr>
        <w:widowControl w:val="0"/>
        <w:autoSpaceDE w:val="0"/>
        <w:autoSpaceDN w:val="0"/>
        <w:adjustRightInd w:val="0"/>
        <w:jc w:val="both"/>
        <w:rPr>
          <w:rFonts w:ascii="Bookman Old Style" w:hAnsi="Bookman Old Style" w:cs="Arial"/>
          <w:i/>
          <w:sz w:val="20"/>
        </w:rPr>
      </w:pPr>
    </w:p>
    <w:p w:rsidR="003946CF" w:rsidRPr="00A63CB6" w:rsidRDefault="003946CF" w:rsidP="00C31EC7">
      <w:pPr>
        <w:widowControl w:val="0"/>
        <w:autoSpaceDE w:val="0"/>
        <w:autoSpaceDN w:val="0"/>
        <w:adjustRightInd w:val="0"/>
        <w:jc w:val="both"/>
        <w:rPr>
          <w:rFonts w:ascii="Bookman Old Style" w:hAnsi="Bookman Old Style" w:cs="Arial"/>
          <w:i/>
        </w:rPr>
      </w:pPr>
      <w:r w:rsidRPr="00A63CB6">
        <w:rPr>
          <w:rFonts w:ascii="Bookman Old Style" w:hAnsi="Bookman Old Style" w:cs="Arial"/>
          <w:i/>
        </w:rPr>
        <w:t>(…)”.</w:t>
      </w:r>
    </w:p>
    <w:p w:rsidR="003946CF" w:rsidRPr="00AB5FF7" w:rsidRDefault="003946CF" w:rsidP="00C31EC7">
      <w:pPr>
        <w:ind w:left="0"/>
        <w:jc w:val="both"/>
        <w:rPr>
          <w:rFonts w:ascii="Bookman Old Style" w:hAnsi="Bookman Old Style"/>
          <w:b/>
          <w:iCs/>
          <w:sz w:val="22"/>
        </w:rPr>
      </w:pPr>
    </w:p>
    <w:p w:rsidR="00FB26C8" w:rsidRPr="00A63CB6" w:rsidRDefault="005353E9" w:rsidP="00C31EC7">
      <w:pPr>
        <w:ind w:left="0"/>
        <w:jc w:val="both"/>
        <w:rPr>
          <w:rFonts w:ascii="Bookman Old Style" w:hAnsi="Bookman Old Style"/>
          <w:iCs/>
        </w:rPr>
      </w:pPr>
      <w:r w:rsidRPr="00A63CB6">
        <w:rPr>
          <w:rFonts w:ascii="Bookman Old Style" w:hAnsi="Bookman Old Style"/>
          <w:iCs/>
        </w:rPr>
        <w:t xml:space="preserve">Mediante auto del 25 de abril de 2012, la </w:t>
      </w:r>
      <w:r w:rsidR="00C903DC">
        <w:rPr>
          <w:rFonts w:ascii="Bookman Old Style" w:hAnsi="Bookman Old Style"/>
          <w:iCs/>
        </w:rPr>
        <w:t>D</w:t>
      </w:r>
      <w:r w:rsidRPr="00A63CB6">
        <w:rPr>
          <w:rFonts w:ascii="Bookman Old Style" w:hAnsi="Bookman Old Style"/>
          <w:iCs/>
        </w:rPr>
        <w:t xml:space="preserve">irección </w:t>
      </w:r>
      <w:r w:rsidR="00C903DC">
        <w:rPr>
          <w:rFonts w:ascii="Bookman Old Style" w:hAnsi="Bookman Old Style"/>
          <w:iCs/>
        </w:rPr>
        <w:t>E</w:t>
      </w:r>
      <w:r w:rsidRPr="00A63CB6">
        <w:rPr>
          <w:rFonts w:ascii="Bookman Old Style" w:hAnsi="Bookman Old Style"/>
          <w:iCs/>
        </w:rPr>
        <w:t xml:space="preserve">jecutiva de la CREG decidió rechazar las pruebas solicitadas </w:t>
      </w:r>
      <w:r w:rsidR="003946CF" w:rsidRPr="00A63CB6">
        <w:rPr>
          <w:rFonts w:ascii="Bookman Old Style" w:hAnsi="Bookman Old Style"/>
          <w:iCs/>
        </w:rPr>
        <w:t xml:space="preserve">por los argumentos considerados en la parte </w:t>
      </w:r>
      <w:r w:rsidRPr="00A63CB6">
        <w:rPr>
          <w:rFonts w:ascii="Bookman Old Style" w:hAnsi="Bookman Old Style"/>
          <w:iCs/>
        </w:rPr>
        <w:t>motiva de dicho auto</w:t>
      </w:r>
      <w:r w:rsidR="003946CF" w:rsidRPr="00A63CB6">
        <w:rPr>
          <w:rFonts w:ascii="Bookman Old Style" w:hAnsi="Bookman Old Style"/>
          <w:iCs/>
        </w:rPr>
        <w:t xml:space="preserve">, planteando </w:t>
      </w:r>
      <w:r w:rsidR="00FB26C8" w:rsidRPr="00A63CB6">
        <w:rPr>
          <w:rFonts w:ascii="Bookman Old Style" w:hAnsi="Bookman Old Style"/>
          <w:iCs/>
        </w:rPr>
        <w:t>lo siguiente:</w:t>
      </w:r>
    </w:p>
    <w:p w:rsidR="00FB26C8" w:rsidRPr="00A63CB6" w:rsidRDefault="00FB26C8" w:rsidP="00C31EC7">
      <w:pPr>
        <w:ind w:left="0"/>
        <w:jc w:val="both"/>
        <w:rPr>
          <w:rFonts w:ascii="Bookman Old Style" w:hAnsi="Bookman Old Style"/>
          <w:iCs/>
        </w:rPr>
      </w:pPr>
    </w:p>
    <w:p w:rsidR="00FB26C8" w:rsidRPr="00A63CB6" w:rsidRDefault="00FB26C8" w:rsidP="00C903DC">
      <w:pPr>
        <w:jc w:val="both"/>
        <w:rPr>
          <w:rFonts w:ascii="Bookman Old Style" w:hAnsi="Bookman Old Style" w:cs="Arial"/>
          <w:i/>
        </w:rPr>
      </w:pPr>
      <w:r w:rsidRPr="00A63CB6">
        <w:rPr>
          <w:rFonts w:ascii="Bookman Old Style" w:hAnsi="Bookman Old Style" w:cs="Arial"/>
          <w:i/>
        </w:rPr>
        <w:t>“(…)</w:t>
      </w:r>
    </w:p>
    <w:p w:rsidR="00FB26C8" w:rsidRPr="00A63CB6" w:rsidRDefault="00FB26C8" w:rsidP="00C903DC">
      <w:pPr>
        <w:jc w:val="both"/>
        <w:rPr>
          <w:rFonts w:ascii="Bookman Old Style" w:hAnsi="Bookman Old Style" w:cs="Arial"/>
          <w:i/>
        </w:rPr>
      </w:pPr>
    </w:p>
    <w:p w:rsidR="00147F8B" w:rsidRPr="00147F8B" w:rsidRDefault="00147F8B" w:rsidP="00147F8B">
      <w:pPr>
        <w:jc w:val="both"/>
        <w:rPr>
          <w:rFonts w:ascii="Bookman Old Style" w:hAnsi="Bookman Old Style" w:cs="Arial"/>
          <w:i/>
        </w:rPr>
      </w:pPr>
      <w:r w:rsidRPr="00147F8B">
        <w:rPr>
          <w:rFonts w:ascii="Bookman Old Style" w:hAnsi="Bookman Old Style" w:cs="Arial"/>
          <w:i/>
        </w:rPr>
        <w:t>Toda práctica de prueba debe satisfacer dos necesidades básicas para justificar la realización de las mismas, esto es denominado como la conducencia y la pertinencia de la prueba.</w:t>
      </w:r>
    </w:p>
    <w:p w:rsidR="00147F8B" w:rsidRPr="00147F8B" w:rsidRDefault="00147F8B" w:rsidP="00147F8B">
      <w:pPr>
        <w:jc w:val="both"/>
        <w:rPr>
          <w:rFonts w:ascii="Bookman Old Style" w:hAnsi="Bookman Old Style" w:cs="Arial"/>
          <w:i/>
        </w:rPr>
      </w:pPr>
    </w:p>
    <w:p w:rsidR="00147F8B" w:rsidRPr="00147F8B" w:rsidRDefault="00147F8B" w:rsidP="00147F8B">
      <w:pPr>
        <w:jc w:val="both"/>
        <w:rPr>
          <w:rFonts w:ascii="Bookman Old Style" w:hAnsi="Bookman Old Style" w:cs="Arial"/>
          <w:i/>
        </w:rPr>
      </w:pPr>
      <w:r w:rsidRPr="00147F8B">
        <w:rPr>
          <w:rFonts w:ascii="Bookman Old Style" w:hAnsi="Bookman Old Style" w:cs="Arial"/>
          <w:i/>
        </w:rPr>
        <w:t xml:space="preserve">La conducencia de la prueba hace referencia a la eficacia de la prueba, esto es que el medio sea apto para demostrarle al fallador un hecho determinado, de tal manera que si el objeto de la prueba es la demostración de hechos, el medio probatorio debe ser el idóneo para tal fin, determinado como tal por la legislación procesal aplicable, de tal manera que se adopte el medio más apto para la práctica de dicha prueba.  </w:t>
      </w:r>
    </w:p>
    <w:p w:rsidR="00147F8B" w:rsidRPr="00147F8B" w:rsidRDefault="00147F8B" w:rsidP="00147F8B">
      <w:pPr>
        <w:jc w:val="both"/>
        <w:rPr>
          <w:rFonts w:ascii="Bookman Old Style" w:hAnsi="Bookman Old Style" w:cs="Arial"/>
          <w:i/>
        </w:rPr>
      </w:pPr>
    </w:p>
    <w:p w:rsidR="00147F8B" w:rsidRPr="00147F8B" w:rsidRDefault="00147F8B" w:rsidP="00147F8B">
      <w:pPr>
        <w:jc w:val="both"/>
        <w:rPr>
          <w:rFonts w:ascii="Bookman Old Style" w:hAnsi="Bookman Old Style" w:cs="Arial"/>
          <w:i/>
        </w:rPr>
      </w:pPr>
      <w:r w:rsidRPr="00147F8B">
        <w:rPr>
          <w:rFonts w:ascii="Bookman Old Style" w:hAnsi="Bookman Old Style" w:cs="Arial"/>
          <w:i/>
        </w:rPr>
        <w:lastRenderedPageBreak/>
        <w:t>La pertinencia de la prueba hace referencia a que la solicitud probatoria se refiera al objeto del proceso, versando sobre hechos que conciernen a interés del debate, por lo cual la impertinencia de la prueba nada aporta al objeto de la Litis</w:t>
      </w:r>
      <w:r>
        <w:rPr>
          <w:rStyle w:val="Refdenotaalpie"/>
          <w:rFonts w:ascii="Bookman Old Style" w:hAnsi="Bookman Old Style" w:cs="Arial"/>
          <w:i/>
        </w:rPr>
        <w:footnoteReference w:id="1"/>
      </w:r>
      <w:r w:rsidRPr="00147F8B">
        <w:rPr>
          <w:rFonts w:ascii="Bookman Old Style" w:hAnsi="Bookman Old Style" w:cs="Arial"/>
          <w:i/>
        </w:rPr>
        <w:t>.</w:t>
      </w:r>
    </w:p>
    <w:p w:rsidR="00147F8B" w:rsidRPr="00147F8B" w:rsidRDefault="00147F8B" w:rsidP="00147F8B">
      <w:pPr>
        <w:jc w:val="both"/>
        <w:rPr>
          <w:rFonts w:ascii="Bookman Old Style" w:hAnsi="Bookman Old Style" w:cs="Arial"/>
          <w:i/>
        </w:rPr>
      </w:pPr>
    </w:p>
    <w:p w:rsidR="00147F8B" w:rsidRPr="00147F8B" w:rsidRDefault="00147F8B" w:rsidP="00147F8B">
      <w:pPr>
        <w:jc w:val="both"/>
        <w:rPr>
          <w:rFonts w:ascii="Bookman Old Style" w:hAnsi="Bookman Old Style" w:cs="Arial"/>
          <w:i/>
        </w:rPr>
      </w:pPr>
      <w:r w:rsidRPr="00147F8B">
        <w:rPr>
          <w:rFonts w:ascii="Bookman Old Style" w:hAnsi="Bookman Old Style" w:cs="Arial"/>
          <w:i/>
        </w:rPr>
        <w:t>Recogiendo lo anterior, el artículo 178 del Código de Procedimiento Civil señala:</w:t>
      </w:r>
    </w:p>
    <w:p w:rsidR="00147F8B" w:rsidRPr="00147F8B" w:rsidRDefault="00147F8B" w:rsidP="00147F8B">
      <w:pPr>
        <w:jc w:val="both"/>
        <w:rPr>
          <w:rFonts w:ascii="Bookman Old Style" w:hAnsi="Bookman Old Style" w:cs="Arial"/>
          <w:i/>
        </w:rPr>
      </w:pPr>
    </w:p>
    <w:p w:rsidR="00147F8B" w:rsidRPr="00147F8B" w:rsidRDefault="00147F8B" w:rsidP="00147F8B">
      <w:pPr>
        <w:jc w:val="both"/>
        <w:rPr>
          <w:rFonts w:ascii="Bookman Old Style" w:hAnsi="Bookman Old Style" w:cs="Arial"/>
          <w:i/>
        </w:rPr>
      </w:pPr>
      <w:r w:rsidRPr="00147F8B">
        <w:rPr>
          <w:rFonts w:ascii="Bookman Old Style" w:hAnsi="Bookman Old Style" w:cs="Arial"/>
          <w:i/>
        </w:rPr>
        <w:t xml:space="preserve">“Las pruebas deben ceñirse al asunto materia del proceso y el juez rechazará in </w:t>
      </w:r>
      <w:proofErr w:type="spellStart"/>
      <w:r w:rsidRPr="00147F8B">
        <w:rPr>
          <w:rFonts w:ascii="Bookman Old Style" w:hAnsi="Bookman Old Style" w:cs="Arial"/>
          <w:i/>
        </w:rPr>
        <w:t>limine</w:t>
      </w:r>
      <w:proofErr w:type="spellEnd"/>
      <w:r w:rsidRPr="00147F8B">
        <w:rPr>
          <w:rFonts w:ascii="Bookman Old Style" w:hAnsi="Bookman Old Style" w:cs="Arial"/>
          <w:i/>
        </w:rPr>
        <w:t xml:space="preserve"> las legalmente prohibidas o ineficaces, las que versen sobre hechos notoriamente impertinentes y las manifestaciones superfluas.”</w:t>
      </w:r>
    </w:p>
    <w:p w:rsidR="00147F8B" w:rsidRPr="00147F8B" w:rsidRDefault="00147F8B" w:rsidP="00147F8B">
      <w:pPr>
        <w:jc w:val="both"/>
        <w:rPr>
          <w:rFonts w:ascii="Bookman Old Style" w:hAnsi="Bookman Old Style" w:cs="Arial"/>
          <w:i/>
        </w:rPr>
      </w:pPr>
    </w:p>
    <w:p w:rsidR="00147F8B" w:rsidRPr="00147F8B" w:rsidRDefault="00147F8B" w:rsidP="00147F8B">
      <w:pPr>
        <w:jc w:val="both"/>
        <w:rPr>
          <w:rFonts w:ascii="Bookman Old Style" w:hAnsi="Bookman Old Style" w:cs="Arial"/>
          <w:i/>
        </w:rPr>
      </w:pPr>
      <w:r w:rsidRPr="00147F8B">
        <w:rPr>
          <w:rFonts w:ascii="Bookman Old Style" w:hAnsi="Bookman Old Style" w:cs="Arial"/>
          <w:i/>
        </w:rPr>
        <w:t>Sobre la primera prueba solicitada, esto es la visita “ocular a la empresa a efecto de corroborar in situ, las condiciones en que se trabajo y se establezca si efectivamente los gastos en que se incurre pueden considerarse ineficientes”, debe decirse que la forma en que se demuestran los costos de la empresa, es a través de sus estados financieros y con visitas de la autoridad administrativa a su sitio.</w:t>
      </w:r>
    </w:p>
    <w:p w:rsidR="00147F8B" w:rsidRPr="00147F8B" w:rsidRDefault="00147F8B" w:rsidP="00147F8B">
      <w:pPr>
        <w:jc w:val="both"/>
        <w:rPr>
          <w:rFonts w:ascii="Bookman Old Style" w:hAnsi="Bookman Old Style" w:cs="Arial"/>
          <w:i/>
        </w:rPr>
      </w:pPr>
    </w:p>
    <w:p w:rsidR="00147F8B" w:rsidRPr="00147F8B" w:rsidRDefault="00147F8B" w:rsidP="00147F8B">
      <w:pPr>
        <w:jc w:val="both"/>
        <w:rPr>
          <w:rFonts w:ascii="Bookman Old Style" w:hAnsi="Bookman Old Style" w:cs="Arial"/>
          <w:i/>
        </w:rPr>
      </w:pPr>
      <w:r w:rsidRPr="00147F8B">
        <w:rPr>
          <w:rFonts w:ascii="Bookman Old Style" w:hAnsi="Bookman Old Style" w:cs="Arial"/>
          <w:i/>
        </w:rPr>
        <w:t>La eficiencia de los costos se demuestra mediante la justificación de los mismos, mediante los documentos soportes de los gastos y costos registrados en los balances y estados financieros de la empresa, y no mediante una visita de la autoridad administrativa al sitio de funcionamiento de la empresa.</w:t>
      </w:r>
    </w:p>
    <w:p w:rsidR="00147F8B" w:rsidRPr="00147F8B" w:rsidRDefault="00147F8B" w:rsidP="00147F8B">
      <w:pPr>
        <w:jc w:val="both"/>
        <w:rPr>
          <w:rFonts w:ascii="Bookman Old Style" w:hAnsi="Bookman Old Style" w:cs="Arial"/>
          <w:i/>
        </w:rPr>
      </w:pPr>
    </w:p>
    <w:p w:rsidR="00147F8B" w:rsidRPr="00147F8B" w:rsidRDefault="00147F8B" w:rsidP="00147F8B">
      <w:pPr>
        <w:jc w:val="both"/>
        <w:rPr>
          <w:rFonts w:ascii="Bookman Old Style" w:hAnsi="Bookman Old Style" w:cs="Arial"/>
          <w:i/>
        </w:rPr>
      </w:pPr>
      <w:r w:rsidRPr="00147F8B">
        <w:rPr>
          <w:rFonts w:ascii="Bookman Old Style" w:hAnsi="Bookman Old Style" w:cs="Arial"/>
          <w:i/>
        </w:rPr>
        <w:t>Sobre la segunda prueba solicitada, esto es: “que a través de una mesa de trabajo que se desarrolle ya sea en la ciudad de Inírida o en la ciudad de Bogotá se pueda explicar fehacientemente los costos reales en que incurre la empresa y así pueda determinarse costos diferentes a los establecidos en la regulación”, se trata de una prueba que no aporta información relevante a la actuación administrativa. La CREG debe actuar según lo considerado en los estados y balances financieros reportados por la empresa, y no por las explicaciones que de los mismos realice la empresa.</w:t>
      </w:r>
    </w:p>
    <w:p w:rsidR="00147F8B" w:rsidRPr="00147F8B" w:rsidRDefault="00147F8B" w:rsidP="00147F8B">
      <w:pPr>
        <w:jc w:val="both"/>
        <w:rPr>
          <w:rFonts w:ascii="Bookman Old Style" w:hAnsi="Bookman Old Style" w:cs="Arial"/>
          <w:i/>
        </w:rPr>
      </w:pPr>
    </w:p>
    <w:p w:rsidR="00147F8B" w:rsidRPr="00147F8B" w:rsidRDefault="00147F8B" w:rsidP="00147F8B">
      <w:pPr>
        <w:jc w:val="both"/>
        <w:rPr>
          <w:rFonts w:ascii="Bookman Old Style" w:hAnsi="Bookman Old Style" w:cs="Arial"/>
          <w:i/>
        </w:rPr>
      </w:pPr>
      <w:r w:rsidRPr="00147F8B">
        <w:rPr>
          <w:rFonts w:ascii="Bookman Old Style" w:hAnsi="Bookman Old Style" w:cs="Arial"/>
          <w:i/>
        </w:rPr>
        <w:t>La prueba denominada como “mesa de trabajo” no se encuentra como un medio idóneo y conducente, esto considerado dentro del ordenamiento jurídico como un medio probatorio.</w:t>
      </w:r>
    </w:p>
    <w:p w:rsidR="00147F8B" w:rsidRPr="00206532" w:rsidRDefault="00147F8B" w:rsidP="00147F8B">
      <w:pPr>
        <w:pStyle w:val="Prrafodelista"/>
      </w:pPr>
    </w:p>
    <w:p w:rsidR="005353E9" w:rsidRPr="00A63CB6" w:rsidRDefault="00147F8B">
      <w:pPr>
        <w:pStyle w:val="Prrafodelista"/>
        <w:ind w:left="567"/>
        <w:jc w:val="both"/>
        <w:rPr>
          <w:rFonts w:ascii="Bookman Old Style" w:hAnsi="Bookman Old Style" w:cs="Arial"/>
          <w:i/>
          <w:sz w:val="24"/>
          <w:szCs w:val="24"/>
          <w:lang w:val="es-ES"/>
        </w:rPr>
      </w:pPr>
      <w:r w:rsidRPr="00A63CB6" w:rsidDel="00147F8B">
        <w:rPr>
          <w:rFonts w:ascii="Bookman Old Style" w:hAnsi="Bookman Old Style" w:cs="Arial"/>
          <w:i/>
        </w:rPr>
        <w:t xml:space="preserve"> </w:t>
      </w:r>
      <w:r w:rsidR="00FB26C8" w:rsidRPr="00A63CB6">
        <w:rPr>
          <w:rFonts w:ascii="Bookman Old Style" w:hAnsi="Bookman Old Style" w:cs="Arial"/>
          <w:i/>
          <w:sz w:val="24"/>
          <w:szCs w:val="24"/>
        </w:rPr>
        <w:t xml:space="preserve">(…)” </w:t>
      </w:r>
    </w:p>
    <w:p w:rsidR="004E5571" w:rsidRDefault="004E5571" w:rsidP="00C31EC7">
      <w:pPr>
        <w:ind w:left="0"/>
        <w:jc w:val="both"/>
        <w:rPr>
          <w:rFonts w:ascii="Bookman Old Style" w:hAnsi="Bookman Old Style"/>
          <w:b/>
          <w:iCs/>
        </w:rPr>
      </w:pPr>
    </w:p>
    <w:p w:rsidR="009D2AB0" w:rsidRPr="009D2AB0" w:rsidRDefault="009D2AB0" w:rsidP="00C31EC7">
      <w:pPr>
        <w:ind w:left="0"/>
        <w:jc w:val="both"/>
        <w:rPr>
          <w:rFonts w:ascii="Bookman Old Style" w:hAnsi="Bookman Old Style"/>
          <w:iCs/>
        </w:rPr>
      </w:pPr>
      <w:r w:rsidRPr="009D2AB0">
        <w:rPr>
          <w:rFonts w:ascii="Bookman Old Style" w:hAnsi="Bookman Old Style"/>
          <w:iCs/>
        </w:rPr>
        <w:t>La anterior decisión no fue recurrida por la empresa, cobrando firmeza el día 9 de mayo del 2012.</w:t>
      </w:r>
    </w:p>
    <w:p w:rsidR="002C2FF1" w:rsidRPr="00A63CB6" w:rsidRDefault="002C2FF1" w:rsidP="00C31EC7">
      <w:pPr>
        <w:ind w:left="0"/>
        <w:jc w:val="both"/>
        <w:rPr>
          <w:rFonts w:ascii="Bookman Old Style" w:hAnsi="Bookman Old Style"/>
          <w:b/>
          <w:iCs/>
        </w:rPr>
      </w:pPr>
    </w:p>
    <w:p w:rsidR="005651DA" w:rsidRPr="00A63CB6" w:rsidRDefault="000625AC" w:rsidP="00C31EC7">
      <w:pPr>
        <w:ind w:left="0"/>
        <w:jc w:val="both"/>
        <w:rPr>
          <w:rFonts w:ascii="Bookman Old Style" w:hAnsi="Bookman Old Style"/>
          <w:b/>
          <w:iCs/>
        </w:rPr>
      </w:pPr>
      <w:r w:rsidRPr="00A63CB6">
        <w:rPr>
          <w:rFonts w:ascii="Bookman Old Style" w:hAnsi="Bookman Old Style"/>
          <w:b/>
          <w:iCs/>
        </w:rPr>
        <w:t xml:space="preserve">4.5 </w:t>
      </w:r>
      <w:r w:rsidR="005651DA" w:rsidRPr="00A63CB6">
        <w:rPr>
          <w:rFonts w:ascii="Bookman Old Style" w:hAnsi="Bookman Old Style"/>
          <w:b/>
          <w:iCs/>
        </w:rPr>
        <w:t>SOLUCION A LOS INTERROGANTES DEL RECURSO</w:t>
      </w:r>
    </w:p>
    <w:p w:rsidR="005651DA" w:rsidRPr="00A63CB6" w:rsidRDefault="005651DA" w:rsidP="00C31EC7">
      <w:pPr>
        <w:ind w:left="0"/>
        <w:jc w:val="both"/>
        <w:rPr>
          <w:rFonts w:ascii="Bookman Old Style" w:hAnsi="Bookman Old Style"/>
          <w:iCs/>
        </w:rPr>
      </w:pPr>
    </w:p>
    <w:p w:rsidR="005651DA" w:rsidRPr="00A63CB6" w:rsidRDefault="005651DA" w:rsidP="00C31EC7">
      <w:pPr>
        <w:ind w:left="0"/>
        <w:jc w:val="both"/>
        <w:rPr>
          <w:rFonts w:ascii="Bookman Old Style" w:hAnsi="Bookman Old Style"/>
          <w:iCs/>
        </w:rPr>
      </w:pPr>
      <w:r w:rsidRPr="00A63CB6">
        <w:rPr>
          <w:rFonts w:ascii="Bookman Old Style" w:hAnsi="Bookman Old Style"/>
          <w:b/>
          <w:iCs/>
        </w:rPr>
        <w:t>Primer interrogante</w:t>
      </w:r>
      <w:r w:rsidRPr="00520F96">
        <w:rPr>
          <w:rFonts w:ascii="Bookman Old Style" w:hAnsi="Bookman Old Style"/>
          <w:b/>
          <w:iCs/>
        </w:rPr>
        <w:t>:</w:t>
      </w:r>
      <w:r w:rsidRPr="00A63CB6">
        <w:rPr>
          <w:rFonts w:ascii="Bookman Old Style" w:hAnsi="Bookman Old Style"/>
          <w:iCs/>
        </w:rPr>
        <w:t xml:space="preserve"> Para la CREG resulta </w:t>
      </w:r>
      <w:r w:rsidR="000625AC" w:rsidRPr="00A63CB6">
        <w:rPr>
          <w:rFonts w:ascii="Bookman Old Style" w:hAnsi="Bookman Old Style"/>
          <w:iCs/>
        </w:rPr>
        <w:t>claro el enunciado de las L</w:t>
      </w:r>
      <w:r w:rsidRPr="00A63CB6">
        <w:rPr>
          <w:rFonts w:ascii="Bookman Old Style" w:hAnsi="Bookman Old Style"/>
          <w:iCs/>
        </w:rPr>
        <w:t>eyes 142 y 143 de 1994,</w:t>
      </w:r>
      <w:r w:rsidR="000625AC" w:rsidRPr="00A63CB6">
        <w:rPr>
          <w:rFonts w:ascii="Bookman Old Style" w:hAnsi="Bookman Old Style"/>
          <w:iCs/>
        </w:rPr>
        <w:t xml:space="preserve"> en el cual se ordena </w:t>
      </w:r>
      <w:r w:rsidRPr="00A63CB6">
        <w:rPr>
          <w:rFonts w:ascii="Bookman Old Style" w:hAnsi="Bookman Old Style"/>
          <w:iCs/>
        </w:rPr>
        <w:t>que únicamente podrán ser reconocidos en las f</w:t>
      </w:r>
      <w:r w:rsidR="00C903DC">
        <w:rPr>
          <w:rFonts w:ascii="Bookman Old Style" w:hAnsi="Bookman Old Style"/>
          <w:iCs/>
        </w:rPr>
        <w:t>ó</w:t>
      </w:r>
      <w:r w:rsidRPr="00A63CB6">
        <w:rPr>
          <w:rFonts w:ascii="Bookman Old Style" w:hAnsi="Bookman Old Style"/>
          <w:iCs/>
        </w:rPr>
        <w:t>rmulas tarifarias los costos eficientes</w:t>
      </w:r>
      <w:r w:rsidR="008D7694" w:rsidRPr="00A63CB6">
        <w:rPr>
          <w:rFonts w:ascii="Bookman Old Style" w:hAnsi="Bookman Old Style"/>
          <w:iCs/>
        </w:rPr>
        <w:t xml:space="preserve"> y n</w:t>
      </w:r>
      <w:r w:rsidR="000625AC" w:rsidRPr="00A63CB6">
        <w:rPr>
          <w:rFonts w:ascii="Bookman Old Style" w:hAnsi="Bookman Old Style"/>
          <w:iCs/>
        </w:rPr>
        <w:t>o</w:t>
      </w:r>
      <w:r w:rsidR="008D7694" w:rsidRPr="00A63CB6">
        <w:rPr>
          <w:rFonts w:ascii="Bookman Old Style" w:hAnsi="Bookman Old Style"/>
          <w:iCs/>
        </w:rPr>
        <w:t xml:space="preserve"> los costos</w:t>
      </w:r>
      <w:r w:rsidR="000625AC" w:rsidRPr="00A63CB6">
        <w:rPr>
          <w:rFonts w:ascii="Bookman Old Style" w:hAnsi="Bookman Old Style"/>
          <w:iCs/>
        </w:rPr>
        <w:t xml:space="preserve"> reales</w:t>
      </w:r>
      <w:r w:rsidRPr="00A63CB6">
        <w:rPr>
          <w:rFonts w:ascii="Bookman Old Style" w:hAnsi="Bookman Old Style"/>
          <w:iCs/>
        </w:rPr>
        <w:t xml:space="preserve"> </w:t>
      </w:r>
      <w:r w:rsidR="006275A1">
        <w:rPr>
          <w:rFonts w:ascii="Bookman Old Style" w:hAnsi="Bookman Old Style"/>
          <w:iCs/>
        </w:rPr>
        <w:t>de</w:t>
      </w:r>
      <w:r w:rsidR="006275A1" w:rsidRPr="00A63CB6">
        <w:rPr>
          <w:rFonts w:ascii="Bookman Old Style" w:hAnsi="Bookman Old Style"/>
          <w:iCs/>
        </w:rPr>
        <w:t xml:space="preserve"> </w:t>
      </w:r>
      <w:r w:rsidRPr="00A63CB6">
        <w:rPr>
          <w:rFonts w:ascii="Bookman Old Style" w:hAnsi="Bookman Old Style"/>
          <w:iCs/>
        </w:rPr>
        <w:t>la gestión de las empresas.</w:t>
      </w:r>
    </w:p>
    <w:p w:rsidR="008D7694" w:rsidRPr="00A63CB6" w:rsidRDefault="000625AC" w:rsidP="00C31EC7">
      <w:pPr>
        <w:ind w:left="0"/>
        <w:jc w:val="both"/>
        <w:rPr>
          <w:rFonts w:ascii="Bookman Old Style" w:hAnsi="Bookman Old Style"/>
          <w:iCs/>
        </w:rPr>
      </w:pPr>
      <w:r w:rsidRPr="00A63CB6">
        <w:rPr>
          <w:rFonts w:ascii="Bookman Old Style" w:hAnsi="Bookman Old Style"/>
          <w:b/>
          <w:iCs/>
        </w:rPr>
        <w:lastRenderedPageBreak/>
        <w:t>Segundo interrogante</w:t>
      </w:r>
      <w:r w:rsidR="008D7694" w:rsidRPr="00520F96">
        <w:rPr>
          <w:rFonts w:ascii="Bookman Old Style" w:hAnsi="Bookman Old Style"/>
          <w:b/>
          <w:iCs/>
        </w:rPr>
        <w:t>:</w:t>
      </w:r>
      <w:r w:rsidR="008D7694" w:rsidRPr="00A63CB6">
        <w:rPr>
          <w:rFonts w:ascii="Bookman Old Style" w:hAnsi="Bookman Old Style"/>
          <w:iCs/>
        </w:rPr>
        <w:t xml:space="preserve"> Conocido el modelo de empresa eficiente </w:t>
      </w:r>
      <w:r w:rsidR="00D26DC0" w:rsidRPr="00A63CB6">
        <w:rPr>
          <w:rFonts w:ascii="Bookman Old Style" w:hAnsi="Bookman Old Style"/>
          <w:iCs/>
        </w:rPr>
        <w:t xml:space="preserve">desde el año 2007 </w:t>
      </w:r>
      <w:r w:rsidR="008D7694" w:rsidRPr="00A63CB6">
        <w:rPr>
          <w:rFonts w:ascii="Bookman Old Style" w:hAnsi="Bookman Old Style"/>
          <w:iCs/>
        </w:rPr>
        <w:t xml:space="preserve">y </w:t>
      </w:r>
      <w:r w:rsidR="00D26DC0" w:rsidRPr="00A63CB6">
        <w:rPr>
          <w:rFonts w:ascii="Bookman Old Style" w:hAnsi="Bookman Old Style"/>
          <w:iCs/>
        </w:rPr>
        <w:t>adaptado</w:t>
      </w:r>
      <w:r w:rsidR="008D7694" w:rsidRPr="00A63CB6">
        <w:rPr>
          <w:rFonts w:ascii="Bookman Old Style" w:hAnsi="Bookman Old Style"/>
          <w:iCs/>
        </w:rPr>
        <w:t xml:space="preserve"> el </w:t>
      </w:r>
      <w:r w:rsidR="00D26DC0" w:rsidRPr="00A63CB6">
        <w:rPr>
          <w:rFonts w:ascii="Bookman Old Style" w:hAnsi="Bookman Old Style"/>
          <w:iCs/>
        </w:rPr>
        <w:t>mismo según los canales jurídicos permitidos por la ley y la regulación</w:t>
      </w:r>
      <w:r w:rsidR="006275A1">
        <w:rPr>
          <w:rFonts w:ascii="Bookman Old Style" w:hAnsi="Bookman Old Style"/>
          <w:iCs/>
        </w:rPr>
        <w:t xml:space="preserve">, </w:t>
      </w:r>
      <w:r w:rsidR="00D26DC0" w:rsidRPr="00A63CB6">
        <w:rPr>
          <w:rFonts w:ascii="Bookman Old Style" w:hAnsi="Bookman Old Style"/>
          <w:iCs/>
        </w:rPr>
        <w:t xml:space="preserve">de acuerdo </w:t>
      </w:r>
      <w:r w:rsidR="006275A1">
        <w:rPr>
          <w:rFonts w:ascii="Bookman Old Style" w:hAnsi="Bookman Old Style"/>
          <w:iCs/>
        </w:rPr>
        <w:t>con</w:t>
      </w:r>
      <w:r w:rsidR="006275A1" w:rsidRPr="00A63CB6">
        <w:rPr>
          <w:rFonts w:ascii="Bookman Old Style" w:hAnsi="Bookman Old Style"/>
          <w:iCs/>
        </w:rPr>
        <w:t xml:space="preserve"> </w:t>
      </w:r>
      <w:r w:rsidR="00D26DC0" w:rsidRPr="00A63CB6">
        <w:rPr>
          <w:rFonts w:ascii="Bookman Old Style" w:hAnsi="Bookman Old Style"/>
          <w:iCs/>
        </w:rPr>
        <w:t>los costos determinado</w:t>
      </w:r>
      <w:r w:rsidR="003946CF" w:rsidRPr="00A63CB6">
        <w:rPr>
          <w:rFonts w:ascii="Bookman Old Style" w:hAnsi="Bookman Old Style"/>
          <w:iCs/>
        </w:rPr>
        <w:t>s</w:t>
      </w:r>
      <w:r w:rsidR="00D26DC0" w:rsidRPr="00A63CB6">
        <w:rPr>
          <w:rFonts w:ascii="Bookman Old Style" w:hAnsi="Bookman Old Style"/>
          <w:iCs/>
        </w:rPr>
        <w:t xml:space="preserve"> como eficientes e</w:t>
      </w:r>
      <w:r w:rsidR="003946CF" w:rsidRPr="00A63CB6">
        <w:rPr>
          <w:rFonts w:ascii="Bookman Old Style" w:hAnsi="Bookman Old Style"/>
          <w:iCs/>
        </w:rPr>
        <w:t>n la actuación administrativa, é</w:t>
      </w:r>
      <w:r w:rsidR="00D26DC0" w:rsidRPr="00A63CB6">
        <w:rPr>
          <w:rFonts w:ascii="Bookman Old Style" w:hAnsi="Bookman Old Style"/>
          <w:iCs/>
        </w:rPr>
        <w:t>ste no puede transformarse</w:t>
      </w:r>
      <w:r w:rsidR="00FB26C8" w:rsidRPr="00A63CB6">
        <w:rPr>
          <w:rFonts w:ascii="Bookman Old Style" w:hAnsi="Bookman Old Style"/>
          <w:iCs/>
        </w:rPr>
        <w:t xml:space="preserve"> mas allá de lo permitido por el ordenamiento jurídico para reconocer un </w:t>
      </w:r>
      <w:r w:rsidR="00D26DC0" w:rsidRPr="00A63CB6">
        <w:rPr>
          <w:rFonts w:ascii="Bookman Old Style" w:hAnsi="Bookman Old Style"/>
          <w:iCs/>
        </w:rPr>
        <w:t>sistema de costo</w:t>
      </w:r>
      <w:r w:rsidR="00FB26C8" w:rsidRPr="00A63CB6">
        <w:rPr>
          <w:rFonts w:ascii="Bookman Old Style" w:hAnsi="Bookman Old Style"/>
          <w:iCs/>
        </w:rPr>
        <w:t>s</w:t>
      </w:r>
      <w:r w:rsidR="00D26DC0" w:rsidRPr="00A63CB6">
        <w:rPr>
          <w:rFonts w:ascii="Bookman Old Style" w:hAnsi="Bookman Old Style"/>
          <w:iCs/>
        </w:rPr>
        <w:t xml:space="preserve"> real</w:t>
      </w:r>
      <w:r w:rsidR="00FB26C8" w:rsidRPr="00A63CB6">
        <w:rPr>
          <w:rFonts w:ascii="Bookman Old Style" w:hAnsi="Bookman Old Style"/>
          <w:iCs/>
        </w:rPr>
        <w:t>es</w:t>
      </w:r>
      <w:r w:rsidR="00D26DC0" w:rsidRPr="00A63CB6">
        <w:rPr>
          <w:rFonts w:ascii="Bookman Old Style" w:hAnsi="Bookman Old Style"/>
          <w:iCs/>
        </w:rPr>
        <w:t>, ya que dicho cambio implicaría desconocer las Leyes 142 y 143 de 1994.</w:t>
      </w:r>
    </w:p>
    <w:p w:rsidR="008D7694" w:rsidRPr="00A63CB6" w:rsidRDefault="008D7694" w:rsidP="00C31EC7">
      <w:pPr>
        <w:ind w:left="0"/>
        <w:jc w:val="both"/>
        <w:rPr>
          <w:rFonts w:ascii="Bookman Old Style" w:hAnsi="Bookman Old Style"/>
          <w:iCs/>
        </w:rPr>
      </w:pPr>
    </w:p>
    <w:p w:rsidR="008D7694" w:rsidRPr="00A63CB6" w:rsidRDefault="00DD0A10" w:rsidP="00C31EC7">
      <w:pPr>
        <w:ind w:left="0"/>
        <w:jc w:val="both"/>
        <w:rPr>
          <w:rFonts w:ascii="Bookman Old Style" w:hAnsi="Bookman Old Style"/>
          <w:iCs/>
        </w:rPr>
      </w:pPr>
      <w:r w:rsidRPr="00A63CB6">
        <w:rPr>
          <w:rFonts w:ascii="Bookman Old Style" w:hAnsi="Bookman Old Style"/>
          <w:iCs/>
        </w:rPr>
        <w:t>En consideración de lo anterior, los reparos pronunciados por la empresa en el recurso de reposición no son aceptados por la CREG.</w:t>
      </w:r>
    </w:p>
    <w:p w:rsidR="008D7694" w:rsidRPr="00A63CB6" w:rsidRDefault="008D7694" w:rsidP="00C31EC7">
      <w:pPr>
        <w:ind w:left="0"/>
        <w:jc w:val="both"/>
        <w:rPr>
          <w:rFonts w:ascii="Bookman Old Style" w:hAnsi="Bookman Old Style"/>
          <w:iCs/>
        </w:rPr>
      </w:pPr>
    </w:p>
    <w:p w:rsidR="0072061A" w:rsidRPr="00A63CB6" w:rsidRDefault="0072061A" w:rsidP="00C31EC7">
      <w:pPr>
        <w:ind w:left="0"/>
        <w:jc w:val="both"/>
        <w:rPr>
          <w:rFonts w:ascii="Bookman Old Style" w:hAnsi="Bookman Old Style"/>
          <w:iCs/>
        </w:rPr>
      </w:pPr>
      <w:r w:rsidRPr="00A63CB6">
        <w:rPr>
          <w:rFonts w:ascii="Bookman Old Style" w:hAnsi="Bookman Old Style" w:cs="Arial"/>
        </w:rPr>
        <w:t xml:space="preserve">En </w:t>
      </w:r>
      <w:r w:rsidR="006275A1">
        <w:rPr>
          <w:rFonts w:ascii="Bookman Old Style" w:hAnsi="Bookman Old Style" w:cs="Arial"/>
        </w:rPr>
        <w:t>s</w:t>
      </w:r>
      <w:r w:rsidRPr="00A63CB6">
        <w:rPr>
          <w:rFonts w:ascii="Bookman Old Style" w:hAnsi="Bookman Old Style" w:cs="Arial"/>
        </w:rPr>
        <w:t xml:space="preserve">esión No. </w:t>
      </w:r>
      <w:r w:rsidR="00AB5FF7">
        <w:rPr>
          <w:rFonts w:ascii="Bookman Old Style" w:hAnsi="Bookman Old Style" w:cs="Arial"/>
        </w:rPr>
        <w:t>519</w:t>
      </w:r>
      <w:r w:rsidRPr="00A63CB6">
        <w:rPr>
          <w:rFonts w:ascii="Bookman Old Style" w:hAnsi="Bookman Old Style" w:cs="Arial"/>
        </w:rPr>
        <w:t xml:space="preserve"> del  </w:t>
      </w:r>
      <w:r w:rsidR="00AB5FF7">
        <w:rPr>
          <w:rFonts w:ascii="Bookman Old Style" w:hAnsi="Bookman Old Style" w:cs="Arial"/>
        </w:rPr>
        <w:t>10</w:t>
      </w:r>
      <w:r w:rsidRPr="00A63CB6">
        <w:rPr>
          <w:rFonts w:ascii="Bookman Old Style" w:hAnsi="Bookman Old Style" w:cs="Arial"/>
        </w:rPr>
        <w:t xml:space="preserve"> de </w:t>
      </w:r>
      <w:r w:rsidR="00DD0A10" w:rsidRPr="00A63CB6">
        <w:rPr>
          <w:rFonts w:ascii="Bookman Old Style" w:hAnsi="Bookman Old Style" w:cs="Arial"/>
        </w:rPr>
        <w:t>mayo</w:t>
      </w:r>
      <w:r w:rsidRPr="00A63CB6">
        <w:rPr>
          <w:rFonts w:ascii="Bookman Old Style" w:hAnsi="Bookman Old Style" w:cs="Arial"/>
        </w:rPr>
        <w:t xml:space="preserve"> de</w:t>
      </w:r>
      <w:r w:rsidR="00DD0A10" w:rsidRPr="00A63CB6">
        <w:rPr>
          <w:rFonts w:ascii="Bookman Old Style" w:hAnsi="Bookman Old Style" w:cs="Arial"/>
        </w:rPr>
        <w:t>l</w:t>
      </w:r>
      <w:r w:rsidRPr="00A63CB6">
        <w:rPr>
          <w:rFonts w:ascii="Bookman Old Style" w:hAnsi="Bookman Old Style" w:cs="Arial"/>
        </w:rPr>
        <w:t xml:space="preserve"> 201</w:t>
      </w:r>
      <w:r w:rsidR="00DD0A10" w:rsidRPr="00A63CB6">
        <w:rPr>
          <w:rFonts w:ascii="Bookman Old Style" w:hAnsi="Bookman Old Style" w:cs="Arial"/>
        </w:rPr>
        <w:t>2</w:t>
      </w:r>
      <w:r w:rsidRPr="00A63CB6">
        <w:rPr>
          <w:rFonts w:ascii="Bookman Old Style" w:hAnsi="Bookman Old Style" w:cs="Arial"/>
        </w:rPr>
        <w:t>, la Comisión de Regulación de Energía y Gas analizó el recurso de reposición interpuesto por</w:t>
      </w:r>
      <w:r w:rsidR="00DD0A10" w:rsidRPr="00A63CB6">
        <w:rPr>
          <w:rFonts w:ascii="Bookman Old Style" w:hAnsi="Bookman Old Style" w:cs="Arial"/>
        </w:rPr>
        <w:t xml:space="preserve"> la</w:t>
      </w:r>
      <w:r w:rsidRPr="00A63CB6">
        <w:rPr>
          <w:rFonts w:ascii="Bookman Old Style" w:hAnsi="Bookman Old Style" w:cs="Arial"/>
        </w:rPr>
        <w:t xml:space="preserve"> </w:t>
      </w:r>
      <w:r w:rsidR="00DD0A10" w:rsidRPr="00A63CB6">
        <w:rPr>
          <w:rFonts w:ascii="Bookman Old Style" w:hAnsi="Bookman Old Style"/>
          <w:color w:val="000000" w:themeColor="text1"/>
          <w:lang w:eastAsia="es-CO"/>
        </w:rPr>
        <w:t>Empresa de Energía del Guainía La Ceiba S.A E.S.P</w:t>
      </w:r>
      <w:r w:rsidRPr="00A63CB6">
        <w:rPr>
          <w:rFonts w:ascii="Bookman Old Style" w:hAnsi="Bookman Old Style"/>
          <w:lang w:eastAsia="es-CO"/>
        </w:rPr>
        <w:t>, en</w:t>
      </w:r>
      <w:r w:rsidR="00DD0A10" w:rsidRPr="00A63CB6">
        <w:rPr>
          <w:rFonts w:ascii="Bookman Old Style" w:hAnsi="Bookman Old Style"/>
          <w:lang w:eastAsia="es-CO"/>
        </w:rPr>
        <w:t xml:space="preserve"> contra de la Resolución CREG 025</w:t>
      </w:r>
      <w:r w:rsidRPr="00A63CB6">
        <w:rPr>
          <w:rFonts w:ascii="Bookman Old Style" w:hAnsi="Bookman Old Style"/>
          <w:lang w:eastAsia="es-CO"/>
        </w:rPr>
        <w:t xml:space="preserve"> del 201</w:t>
      </w:r>
      <w:r w:rsidR="00DD0A10" w:rsidRPr="00A63CB6">
        <w:rPr>
          <w:rFonts w:ascii="Bookman Old Style" w:hAnsi="Bookman Old Style"/>
          <w:lang w:eastAsia="es-CO"/>
        </w:rPr>
        <w:t>2</w:t>
      </w:r>
      <w:r w:rsidRPr="00A63CB6">
        <w:rPr>
          <w:rFonts w:ascii="Bookman Old Style" w:hAnsi="Bookman Old Style"/>
          <w:lang w:eastAsia="es-CO"/>
        </w:rPr>
        <w:t>.</w:t>
      </w:r>
    </w:p>
    <w:p w:rsidR="0072061A" w:rsidRPr="00A63CB6" w:rsidRDefault="0072061A" w:rsidP="00C31EC7">
      <w:pPr>
        <w:ind w:left="0"/>
        <w:jc w:val="both"/>
        <w:rPr>
          <w:rFonts w:ascii="Bookman Old Style" w:hAnsi="Bookman Old Style" w:cs="Arial"/>
        </w:rPr>
      </w:pPr>
    </w:p>
    <w:p w:rsidR="0072061A" w:rsidRPr="00A63CB6" w:rsidRDefault="0072061A" w:rsidP="00C31EC7">
      <w:pPr>
        <w:ind w:left="0"/>
        <w:jc w:val="center"/>
        <w:rPr>
          <w:rFonts w:ascii="Bookman Old Style" w:hAnsi="Bookman Old Style" w:cs="Arial"/>
          <w:b/>
        </w:rPr>
      </w:pPr>
      <w:r w:rsidRPr="00A63CB6">
        <w:rPr>
          <w:rFonts w:ascii="Bookman Old Style" w:hAnsi="Bookman Old Style" w:cs="Arial"/>
          <w:b/>
        </w:rPr>
        <w:t>R E S U E L V E:</w:t>
      </w:r>
    </w:p>
    <w:p w:rsidR="0072061A" w:rsidRPr="00A63CB6" w:rsidRDefault="0072061A" w:rsidP="00C31EC7">
      <w:pPr>
        <w:ind w:left="0"/>
        <w:jc w:val="center"/>
        <w:rPr>
          <w:rFonts w:ascii="Bookman Old Style" w:hAnsi="Bookman Old Style" w:cs="Arial"/>
          <w:b/>
        </w:rPr>
      </w:pPr>
    </w:p>
    <w:p w:rsidR="0072061A" w:rsidRPr="00A63CB6" w:rsidRDefault="0072061A" w:rsidP="00C31EC7">
      <w:pPr>
        <w:ind w:left="0"/>
        <w:jc w:val="center"/>
        <w:rPr>
          <w:rFonts w:ascii="Bookman Old Style" w:hAnsi="Bookman Old Style" w:cs="Arial"/>
          <w:b/>
        </w:rPr>
      </w:pPr>
    </w:p>
    <w:p w:rsidR="0072061A" w:rsidRPr="00A63CB6" w:rsidRDefault="0072061A" w:rsidP="00C31EC7">
      <w:pPr>
        <w:numPr>
          <w:ilvl w:val="0"/>
          <w:numId w:val="4"/>
        </w:numPr>
        <w:ind w:left="0" w:firstLine="1276"/>
        <w:jc w:val="both"/>
        <w:outlineLvl w:val="0"/>
        <w:rPr>
          <w:rFonts w:ascii="Bookman Old Style" w:hAnsi="Bookman Old Style" w:cs="Arial"/>
        </w:rPr>
      </w:pPr>
      <w:r w:rsidRPr="00A63CB6">
        <w:rPr>
          <w:rFonts w:ascii="Bookman Old Style" w:hAnsi="Bookman Old Style" w:cs="Arial"/>
        </w:rPr>
        <w:t xml:space="preserve">No </w:t>
      </w:r>
      <w:r w:rsidRPr="00A63CB6">
        <w:rPr>
          <w:rFonts w:ascii="Bookman Old Style" w:hAnsi="Bookman Old Style"/>
        </w:rPr>
        <w:t>acceder a la pretensión de</w:t>
      </w:r>
      <w:r w:rsidR="00844D94">
        <w:rPr>
          <w:rFonts w:ascii="Bookman Old Style" w:hAnsi="Bookman Old Style"/>
        </w:rPr>
        <w:t xml:space="preserve"> reponer</w:t>
      </w:r>
      <w:r w:rsidRPr="00A63CB6">
        <w:rPr>
          <w:rFonts w:ascii="Bookman Old Style" w:hAnsi="Bookman Old Style"/>
        </w:rPr>
        <w:t xml:space="preserve"> la Resolución CREG 0</w:t>
      </w:r>
      <w:r w:rsidR="00363C52" w:rsidRPr="00A63CB6">
        <w:rPr>
          <w:rFonts w:ascii="Bookman Old Style" w:hAnsi="Bookman Old Style"/>
        </w:rPr>
        <w:t>25</w:t>
      </w:r>
      <w:r w:rsidRPr="00A63CB6">
        <w:rPr>
          <w:rFonts w:ascii="Bookman Old Style" w:hAnsi="Bookman Old Style"/>
        </w:rPr>
        <w:t xml:space="preserve"> del </w:t>
      </w:r>
      <w:r w:rsidR="00363C52" w:rsidRPr="00A63CB6">
        <w:rPr>
          <w:rFonts w:ascii="Bookman Old Style" w:hAnsi="Bookman Old Style"/>
        </w:rPr>
        <w:t>8</w:t>
      </w:r>
      <w:r w:rsidRPr="00A63CB6">
        <w:rPr>
          <w:rFonts w:ascii="Bookman Old Style" w:hAnsi="Bookman Old Style"/>
        </w:rPr>
        <w:t xml:space="preserve"> de </w:t>
      </w:r>
      <w:r w:rsidR="00363C52" w:rsidRPr="00A63CB6">
        <w:rPr>
          <w:rFonts w:ascii="Bookman Old Style" w:hAnsi="Bookman Old Style"/>
        </w:rPr>
        <w:t>marzo</w:t>
      </w:r>
      <w:r w:rsidRPr="00A63CB6">
        <w:rPr>
          <w:rFonts w:ascii="Bookman Old Style" w:hAnsi="Bookman Old Style"/>
        </w:rPr>
        <w:t xml:space="preserve"> de 201</w:t>
      </w:r>
      <w:r w:rsidR="00363C52" w:rsidRPr="00A63CB6">
        <w:rPr>
          <w:rFonts w:ascii="Bookman Old Style" w:hAnsi="Bookman Old Style"/>
        </w:rPr>
        <w:t>2</w:t>
      </w:r>
      <w:r w:rsidRPr="00A63CB6">
        <w:rPr>
          <w:rFonts w:ascii="Bookman Old Style" w:hAnsi="Bookman Old Style"/>
        </w:rPr>
        <w:t>, por las razones expuestas en la parte motiva de la presente Resolución</w:t>
      </w:r>
      <w:r w:rsidRPr="00A63CB6">
        <w:rPr>
          <w:rFonts w:ascii="Bookman Old Style" w:hAnsi="Bookman Old Style"/>
          <w:iCs/>
        </w:rPr>
        <w:t>.</w:t>
      </w:r>
    </w:p>
    <w:p w:rsidR="0072061A" w:rsidRPr="00AB5FF7" w:rsidRDefault="0072061A" w:rsidP="00C31EC7">
      <w:pPr>
        <w:ind w:left="1276"/>
        <w:jc w:val="both"/>
        <w:outlineLvl w:val="0"/>
        <w:rPr>
          <w:rFonts w:ascii="Bookman Old Style" w:hAnsi="Bookman Old Style" w:cs="Arial"/>
          <w:sz w:val="32"/>
        </w:rPr>
      </w:pPr>
    </w:p>
    <w:p w:rsidR="0072061A" w:rsidRPr="00A63CB6" w:rsidRDefault="0072061A" w:rsidP="00C31EC7">
      <w:pPr>
        <w:numPr>
          <w:ilvl w:val="0"/>
          <w:numId w:val="4"/>
        </w:numPr>
        <w:ind w:left="0" w:firstLine="1276"/>
        <w:jc w:val="both"/>
        <w:outlineLvl w:val="0"/>
        <w:rPr>
          <w:rFonts w:ascii="Bookman Old Style" w:hAnsi="Bookman Old Style"/>
        </w:rPr>
      </w:pPr>
      <w:r w:rsidRPr="00A63CB6">
        <w:rPr>
          <w:rFonts w:ascii="Bookman Old Style" w:hAnsi="Bookman Old Style"/>
        </w:rPr>
        <w:t xml:space="preserve">Notificar personalmente al representante legal de </w:t>
      </w:r>
      <w:r w:rsidR="00DD0A10" w:rsidRPr="00A63CB6">
        <w:rPr>
          <w:rFonts w:ascii="Bookman Old Style" w:hAnsi="Bookman Old Style"/>
        </w:rPr>
        <w:t xml:space="preserve">la </w:t>
      </w:r>
      <w:r w:rsidR="00DD0A10" w:rsidRPr="00A63CB6">
        <w:rPr>
          <w:rFonts w:ascii="Bookman Old Style" w:hAnsi="Bookman Old Style"/>
          <w:color w:val="000000" w:themeColor="text1"/>
          <w:lang w:eastAsia="es-CO"/>
        </w:rPr>
        <w:t>Empresa de Energía del Guainía La Ceiba S.A E.S.P</w:t>
      </w:r>
      <w:r w:rsidR="00C903DC">
        <w:rPr>
          <w:rFonts w:ascii="Bookman Old Style" w:hAnsi="Bookman Old Style"/>
          <w:color w:val="000000" w:themeColor="text1"/>
          <w:lang w:eastAsia="es-CO"/>
        </w:rPr>
        <w:t>.</w:t>
      </w:r>
      <w:r w:rsidRPr="00A63CB6">
        <w:rPr>
          <w:rFonts w:ascii="Bookman Old Style" w:hAnsi="Bookman Old Style"/>
        </w:rPr>
        <w:t xml:space="preserve"> el contenido de esta Resolución, y hacerle saber que contra el presente acto no procede recurso alguno por agotamiento de la  vía gubernativa.</w:t>
      </w:r>
    </w:p>
    <w:p w:rsidR="0072061A" w:rsidRPr="00A63CB6" w:rsidRDefault="0072061A" w:rsidP="00C31EC7">
      <w:pPr>
        <w:ind w:left="0"/>
        <w:rPr>
          <w:rFonts w:ascii="Bookman Old Style" w:hAnsi="Bookman Old Style" w:cs="Arial"/>
        </w:rPr>
      </w:pPr>
    </w:p>
    <w:p w:rsidR="0072061A" w:rsidRPr="00A63CB6" w:rsidRDefault="0072061A" w:rsidP="00C31EC7">
      <w:pPr>
        <w:ind w:left="0"/>
        <w:jc w:val="center"/>
        <w:rPr>
          <w:rFonts w:ascii="Bookman Old Style" w:hAnsi="Bookman Old Style" w:cs="Arial"/>
          <w:b/>
        </w:rPr>
      </w:pPr>
    </w:p>
    <w:p w:rsidR="0072061A" w:rsidRPr="00A63CB6" w:rsidRDefault="0072061A" w:rsidP="00C31EC7">
      <w:pPr>
        <w:ind w:left="0"/>
        <w:jc w:val="center"/>
        <w:rPr>
          <w:rFonts w:ascii="Bookman Old Style" w:hAnsi="Bookman Old Style" w:cs="Arial"/>
          <w:b/>
        </w:rPr>
      </w:pPr>
      <w:r w:rsidRPr="00A63CB6">
        <w:rPr>
          <w:rFonts w:ascii="Bookman Old Style" w:hAnsi="Bookman Old Style" w:cs="Arial"/>
          <w:b/>
        </w:rPr>
        <w:t>NOTIFÍQUESE, PUBLÍQUESE Y CÚMPLASE</w:t>
      </w:r>
    </w:p>
    <w:p w:rsidR="0072061A" w:rsidRDefault="0072061A" w:rsidP="00C31EC7">
      <w:pPr>
        <w:ind w:left="0"/>
        <w:rPr>
          <w:rFonts w:ascii="Bookman Old Style" w:hAnsi="Bookman Old Style" w:cs="Arial"/>
        </w:rPr>
      </w:pPr>
    </w:p>
    <w:p w:rsidR="00AB5FF7" w:rsidRPr="00A63CB6" w:rsidRDefault="00AB5FF7" w:rsidP="00C31EC7">
      <w:pPr>
        <w:ind w:left="0"/>
        <w:rPr>
          <w:rFonts w:ascii="Bookman Old Style" w:hAnsi="Bookman Old Style" w:cs="Arial"/>
        </w:rPr>
      </w:pPr>
    </w:p>
    <w:p w:rsidR="0072061A" w:rsidRPr="00A63CB6" w:rsidRDefault="0072061A" w:rsidP="00C31EC7">
      <w:pPr>
        <w:ind w:left="0"/>
        <w:rPr>
          <w:rFonts w:ascii="Bookman Old Style" w:hAnsi="Bookman Old Style" w:cs="Arial"/>
        </w:rPr>
      </w:pPr>
      <w:r w:rsidRPr="00A63CB6">
        <w:rPr>
          <w:rFonts w:ascii="Bookman Old Style" w:hAnsi="Bookman Old Style" w:cs="Arial"/>
        </w:rPr>
        <w:t>Dada en Bogotá a los</w:t>
      </w:r>
    </w:p>
    <w:p w:rsidR="0072061A" w:rsidRPr="00A63CB6" w:rsidRDefault="0072061A" w:rsidP="00C31EC7">
      <w:pPr>
        <w:ind w:left="0"/>
        <w:rPr>
          <w:rFonts w:ascii="Bookman Old Style" w:hAnsi="Bookman Old Style" w:cs="Arial"/>
        </w:rPr>
      </w:pPr>
    </w:p>
    <w:p w:rsidR="0072061A" w:rsidRDefault="0072061A" w:rsidP="00C31EC7">
      <w:pPr>
        <w:ind w:left="0"/>
        <w:rPr>
          <w:rFonts w:ascii="Bookman Old Style" w:hAnsi="Bookman Old Style" w:cs="Arial"/>
          <w:lang w:val="es-ES_tradnl"/>
        </w:rPr>
      </w:pPr>
    </w:p>
    <w:p w:rsidR="00AB5FF7" w:rsidRDefault="00AB5FF7" w:rsidP="00C31EC7">
      <w:pPr>
        <w:ind w:left="0"/>
        <w:rPr>
          <w:rFonts w:ascii="Bookman Old Style" w:hAnsi="Bookman Old Style" w:cs="Arial"/>
          <w:lang w:val="es-ES_tradnl"/>
        </w:rPr>
      </w:pPr>
    </w:p>
    <w:p w:rsidR="00AB5FF7" w:rsidRPr="00A63CB6" w:rsidRDefault="00AB5FF7" w:rsidP="00C31EC7">
      <w:pPr>
        <w:ind w:left="0"/>
        <w:rPr>
          <w:rFonts w:ascii="Bookman Old Style" w:hAnsi="Bookman Old Style" w:cs="Arial"/>
          <w:lang w:val="es-ES_tradnl"/>
        </w:rPr>
      </w:pPr>
    </w:p>
    <w:p w:rsidR="0072061A" w:rsidRPr="00A63CB6" w:rsidRDefault="0072061A" w:rsidP="00C31EC7">
      <w:pPr>
        <w:ind w:left="0"/>
        <w:rPr>
          <w:rFonts w:ascii="Bookman Old Style" w:hAnsi="Bookman Old Style" w:cs="Arial"/>
          <w:lang w:val="es-ES_tradnl"/>
        </w:rPr>
      </w:pPr>
    </w:p>
    <w:p w:rsidR="0072061A" w:rsidRPr="00A63CB6" w:rsidRDefault="0072061A" w:rsidP="00C31EC7">
      <w:pPr>
        <w:ind w:left="0"/>
        <w:rPr>
          <w:rFonts w:ascii="Bookman Old Style" w:hAnsi="Bookman Old Style" w:cs="Arial"/>
          <w:lang w:val="es-ES_tradnl"/>
        </w:rPr>
      </w:pPr>
    </w:p>
    <w:tbl>
      <w:tblPr>
        <w:tblW w:w="8985" w:type="dxa"/>
        <w:jc w:val="center"/>
        <w:tblLayout w:type="fixed"/>
        <w:tblCellMar>
          <w:left w:w="70" w:type="dxa"/>
          <w:right w:w="70" w:type="dxa"/>
        </w:tblCellMar>
        <w:tblLook w:val="04A0" w:firstRow="1" w:lastRow="0" w:firstColumn="1" w:lastColumn="0" w:noHBand="0" w:noVBand="1"/>
      </w:tblPr>
      <w:tblGrid>
        <w:gridCol w:w="4492"/>
        <w:gridCol w:w="4493"/>
      </w:tblGrid>
      <w:tr w:rsidR="0072061A" w:rsidRPr="00A63CB6" w:rsidTr="0072061A">
        <w:trPr>
          <w:trHeight w:val="329"/>
          <w:jc w:val="center"/>
        </w:trPr>
        <w:tc>
          <w:tcPr>
            <w:tcW w:w="4491" w:type="dxa"/>
            <w:vAlign w:val="center"/>
            <w:hideMark/>
          </w:tcPr>
          <w:p w:rsidR="0072061A" w:rsidRPr="00A63CB6" w:rsidRDefault="0072061A" w:rsidP="00C903DC">
            <w:pPr>
              <w:tabs>
                <w:tab w:val="left" w:pos="-720"/>
              </w:tabs>
              <w:suppressAutoHyphens/>
              <w:ind w:left="0"/>
              <w:jc w:val="center"/>
              <w:rPr>
                <w:rFonts w:ascii="Bookman Old Style" w:hAnsi="Bookman Old Style" w:cs="Arial"/>
                <w:b/>
                <w:spacing w:val="-3"/>
                <w:lang w:eastAsia="en-US"/>
              </w:rPr>
            </w:pPr>
            <w:r w:rsidRPr="00A63CB6">
              <w:rPr>
                <w:rFonts w:ascii="Bookman Old Style" w:hAnsi="Bookman Old Style" w:cs="Arial"/>
                <w:b/>
                <w:spacing w:val="-3"/>
                <w:lang w:eastAsia="en-US"/>
              </w:rPr>
              <w:t>TOM</w:t>
            </w:r>
            <w:r w:rsidR="00DD0E35">
              <w:rPr>
                <w:rFonts w:ascii="Bookman Old Style" w:hAnsi="Bookman Old Style" w:cs="Arial"/>
                <w:b/>
                <w:spacing w:val="-3"/>
                <w:lang w:eastAsia="en-US"/>
              </w:rPr>
              <w:t>Á</w:t>
            </w:r>
            <w:r w:rsidRPr="00A63CB6">
              <w:rPr>
                <w:rFonts w:ascii="Bookman Old Style" w:hAnsi="Bookman Old Style" w:cs="Arial"/>
                <w:b/>
                <w:spacing w:val="-3"/>
                <w:lang w:eastAsia="en-US"/>
              </w:rPr>
              <w:t>S GONZ</w:t>
            </w:r>
            <w:r w:rsidR="00C903DC">
              <w:rPr>
                <w:rFonts w:ascii="Bookman Old Style" w:hAnsi="Bookman Old Style" w:cs="Arial"/>
                <w:b/>
                <w:spacing w:val="-3"/>
                <w:lang w:eastAsia="en-US"/>
              </w:rPr>
              <w:t>Á</w:t>
            </w:r>
            <w:r w:rsidRPr="00A63CB6">
              <w:rPr>
                <w:rFonts w:ascii="Bookman Old Style" w:hAnsi="Bookman Old Style" w:cs="Arial"/>
                <w:b/>
                <w:spacing w:val="-3"/>
                <w:lang w:eastAsia="en-US"/>
              </w:rPr>
              <w:t>LEZ ESTRADA</w:t>
            </w:r>
          </w:p>
        </w:tc>
        <w:tc>
          <w:tcPr>
            <w:tcW w:w="4491" w:type="dxa"/>
            <w:vAlign w:val="center"/>
            <w:hideMark/>
          </w:tcPr>
          <w:p w:rsidR="0072061A" w:rsidRPr="00A63CB6" w:rsidRDefault="00363C52" w:rsidP="00C31EC7">
            <w:pPr>
              <w:tabs>
                <w:tab w:val="left" w:pos="-720"/>
              </w:tabs>
              <w:suppressAutoHyphens/>
              <w:ind w:left="0"/>
              <w:jc w:val="center"/>
              <w:rPr>
                <w:rFonts w:ascii="Bookman Old Style" w:hAnsi="Bookman Old Style" w:cs="Arial"/>
                <w:b/>
                <w:spacing w:val="-3"/>
                <w:lang w:eastAsia="en-US"/>
              </w:rPr>
            </w:pPr>
            <w:r w:rsidRPr="00A63CB6">
              <w:rPr>
                <w:rFonts w:ascii="Bookman Old Style" w:hAnsi="Bookman Old Style" w:cs="Arial"/>
                <w:b/>
                <w:spacing w:val="-3"/>
                <w:lang w:eastAsia="en-US"/>
              </w:rPr>
              <w:t>GERM</w:t>
            </w:r>
            <w:r w:rsidR="00C903DC">
              <w:rPr>
                <w:rFonts w:ascii="Bookman Old Style" w:hAnsi="Bookman Old Style" w:cs="Arial"/>
                <w:b/>
                <w:spacing w:val="-3"/>
                <w:lang w:eastAsia="en-US"/>
              </w:rPr>
              <w:t>Á</w:t>
            </w:r>
            <w:r w:rsidRPr="00A63CB6">
              <w:rPr>
                <w:rFonts w:ascii="Bookman Old Style" w:hAnsi="Bookman Old Style" w:cs="Arial"/>
                <w:b/>
                <w:spacing w:val="-3"/>
                <w:lang w:eastAsia="en-US"/>
              </w:rPr>
              <w:t>N CASTRO FERREIRA</w:t>
            </w:r>
          </w:p>
        </w:tc>
      </w:tr>
      <w:tr w:rsidR="0072061A" w:rsidRPr="00A63CB6" w:rsidTr="0072061A">
        <w:trPr>
          <w:jc w:val="center"/>
        </w:trPr>
        <w:tc>
          <w:tcPr>
            <w:tcW w:w="4491" w:type="dxa"/>
            <w:vAlign w:val="center"/>
            <w:hideMark/>
          </w:tcPr>
          <w:p w:rsidR="0072061A" w:rsidRPr="00A63CB6" w:rsidRDefault="0072061A" w:rsidP="00AB5FF7">
            <w:pPr>
              <w:tabs>
                <w:tab w:val="left" w:pos="-720"/>
              </w:tabs>
              <w:suppressAutoHyphens/>
              <w:ind w:left="0"/>
              <w:jc w:val="center"/>
              <w:rPr>
                <w:rFonts w:ascii="Bookman Old Style" w:hAnsi="Bookman Old Style" w:cs="Arial"/>
                <w:spacing w:val="-3"/>
                <w:lang w:eastAsia="en-US"/>
              </w:rPr>
            </w:pPr>
            <w:r w:rsidRPr="00A63CB6">
              <w:rPr>
                <w:rFonts w:ascii="Bookman Old Style" w:hAnsi="Bookman Old Style" w:cs="Arial"/>
                <w:spacing w:val="-3"/>
                <w:lang w:eastAsia="en-US"/>
              </w:rPr>
              <w:t>Viceministro de Energía</w:t>
            </w:r>
          </w:p>
        </w:tc>
        <w:tc>
          <w:tcPr>
            <w:tcW w:w="4491" w:type="dxa"/>
            <w:vAlign w:val="center"/>
            <w:hideMark/>
          </w:tcPr>
          <w:p w:rsidR="0072061A" w:rsidRPr="00A63CB6" w:rsidRDefault="0072061A" w:rsidP="00C31EC7">
            <w:pPr>
              <w:tabs>
                <w:tab w:val="left" w:pos="-720"/>
              </w:tabs>
              <w:suppressAutoHyphens/>
              <w:ind w:left="0"/>
              <w:jc w:val="center"/>
              <w:rPr>
                <w:rFonts w:ascii="Bookman Old Style" w:hAnsi="Bookman Old Style" w:cs="Arial"/>
                <w:spacing w:val="-3"/>
                <w:lang w:eastAsia="en-US"/>
              </w:rPr>
            </w:pPr>
            <w:r w:rsidRPr="00A63CB6">
              <w:rPr>
                <w:rFonts w:ascii="Bookman Old Style" w:hAnsi="Bookman Old Style" w:cs="Arial"/>
                <w:spacing w:val="-3"/>
                <w:lang w:eastAsia="en-US"/>
              </w:rPr>
              <w:t>Director Ejecutivo</w:t>
            </w:r>
          </w:p>
        </w:tc>
      </w:tr>
      <w:tr w:rsidR="0072061A" w:rsidRPr="00A63CB6" w:rsidTr="002C2FF1">
        <w:trPr>
          <w:trHeight w:val="668"/>
          <w:jc w:val="center"/>
        </w:trPr>
        <w:tc>
          <w:tcPr>
            <w:tcW w:w="4491" w:type="dxa"/>
            <w:vAlign w:val="center"/>
            <w:hideMark/>
          </w:tcPr>
          <w:p w:rsidR="0072061A" w:rsidRPr="00A63CB6" w:rsidRDefault="0072061A" w:rsidP="00C31EC7">
            <w:pPr>
              <w:tabs>
                <w:tab w:val="left" w:pos="-720"/>
              </w:tabs>
              <w:suppressAutoHyphens/>
              <w:ind w:left="0"/>
              <w:jc w:val="center"/>
              <w:rPr>
                <w:rFonts w:ascii="Bookman Old Style" w:hAnsi="Bookman Old Style" w:cs="Arial"/>
                <w:spacing w:val="-3"/>
                <w:lang w:eastAsia="en-US"/>
              </w:rPr>
            </w:pPr>
            <w:r w:rsidRPr="00A63CB6">
              <w:rPr>
                <w:rFonts w:ascii="Bookman Old Style" w:hAnsi="Bookman Old Style" w:cs="Arial"/>
                <w:spacing w:val="-3"/>
                <w:lang w:eastAsia="en-US"/>
              </w:rPr>
              <w:t>Delegado del Ministro de Minas y Energía</w:t>
            </w:r>
          </w:p>
          <w:p w:rsidR="0072061A" w:rsidRPr="00A63CB6" w:rsidRDefault="0072061A" w:rsidP="00C31EC7">
            <w:pPr>
              <w:tabs>
                <w:tab w:val="left" w:pos="-720"/>
              </w:tabs>
              <w:suppressAutoHyphens/>
              <w:ind w:left="0"/>
              <w:jc w:val="center"/>
              <w:rPr>
                <w:rFonts w:ascii="Bookman Old Style" w:hAnsi="Bookman Old Style" w:cs="Arial"/>
                <w:spacing w:val="-3"/>
                <w:lang w:eastAsia="en-US"/>
              </w:rPr>
            </w:pPr>
            <w:r w:rsidRPr="00A63CB6">
              <w:rPr>
                <w:rFonts w:ascii="Bookman Old Style" w:hAnsi="Bookman Old Style" w:cs="Arial"/>
                <w:spacing w:val="-3"/>
                <w:lang w:eastAsia="en-US"/>
              </w:rPr>
              <w:t>Presidente</w:t>
            </w:r>
          </w:p>
        </w:tc>
        <w:tc>
          <w:tcPr>
            <w:tcW w:w="4491" w:type="dxa"/>
            <w:vAlign w:val="center"/>
          </w:tcPr>
          <w:p w:rsidR="0072061A" w:rsidRPr="00A63CB6" w:rsidRDefault="0072061A" w:rsidP="00C31EC7">
            <w:pPr>
              <w:tabs>
                <w:tab w:val="left" w:pos="-720"/>
              </w:tabs>
              <w:suppressAutoHyphens/>
              <w:ind w:left="0"/>
              <w:jc w:val="center"/>
              <w:rPr>
                <w:rFonts w:ascii="Bookman Old Style" w:hAnsi="Bookman Old Style" w:cs="Arial"/>
                <w:spacing w:val="-3"/>
                <w:lang w:eastAsia="en-US"/>
              </w:rPr>
            </w:pPr>
          </w:p>
        </w:tc>
      </w:tr>
    </w:tbl>
    <w:p w:rsidR="00154405" w:rsidRPr="00A63CB6" w:rsidRDefault="00154405" w:rsidP="002C2FF1">
      <w:pPr>
        <w:ind w:left="0"/>
        <w:rPr>
          <w:rFonts w:ascii="Bookman Old Style" w:hAnsi="Bookman Old Style"/>
        </w:rPr>
      </w:pPr>
    </w:p>
    <w:sectPr w:rsidR="00154405" w:rsidRPr="00A63CB6" w:rsidSect="000210E1">
      <w:headerReference w:type="default" r:id="rId11"/>
      <w:headerReference w:type="first" r:id="rId12"/>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F96" w:rsidRDefault="00520F96" w:rsidP="00C0506C">
      <w:r>
        <w:separator/>
      </w:r>
    </w:p>
  </w:endnote>
  <w:endnote w:type="continuationSeparator" w:id="0">
    <w:p w:rsidR="00520F96" w:rsidRDefault="00520F96" w:rsidP="00C0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F96" w:rsidRDefault="00520F96" w:rsidP="00C0506C">
      <w:r>
        <w:separator/>
      </w:r>
    </w:p>
  </w:footnote>
  <w:footnote w:type="continuationSeparator" w:id="0">
    <w:p w:rsidR="00520F96" w:rsidRDefault="00520F96" w:rsidP="00C0506C">
      <w:r>
        <w:continuationSeparator/>
      </w:r>
    </w:p>
  </w:footnote>
  <w:footnote w:id="1">
    <w:p w:rsidR="00520F96" w:rsidRDefault="00520F96">
      <w:pPr>
        <w:pStyle w:val="Textonotapie"/>
      </w:pPr>
      <w:r>
        <w:rPr>
          <w:rStyle w:val="Refdenotaalpie"/>
        </w:rPr>
        <w:footnoteRef/>
      </w:r>
      <w:r>
        <w:t xml:space="preserve"> Hernán Fabio López Blanco. </w:t>
      </w:r>
      <w:r w:rsidRPr="009618A2">
        <w:rPr>
          <w:i/>
        </w:rPr>
        <w:t>Instituciones de derecho procesal civil</w:t>
      </w:r>
      <w:r>
        <w:t xml:space="preserve">. </w:t>
      </w:r>
      <w:proofErr w:type="spellStart"/>
      <w:r>
        <w:t>Dupre</w:t>
      </w:r>
      <w:proofErr w:type="spellEnd"/>
      <w:r>
        <w:t xml:space="preserve"> editores. Tomo III. Pág.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96" w:rsidRDefault="00520F96" w:rsidP="00154405">
    <w:pPr>
      <w:pStyle w:val="Ttulo1"/>
      <w:ind w:right="6"/>
      <w:jc w:val="left"/>
      <w:rPr>
        <w:rFonts w:ascii="Bookman Old Style" w:hAnsi="Bookman Old Style" w:cs="Arial"/>
        <w:b w:val="0"/>
        <w:sz w:val="22"/>
        <w:szCs w:val="22"/>
      </w:rPr>
    </w:pPr>
  </w:p>
  <w:p w:rsidR="00520F96" w:rsidRPr="00951F79" w:rsidRDefault="00520F96" w:rsidP="00154405">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Pr>
        <w:rFonts w:ascii="Bookman Old Style" w:hAnsi="Bookman Old Style" w:cs="Arial"/>
        <w:b w:val="0"/>
        <w:sz w:val="22"/>
        <w:szCs w:val="22"/>
      </w:rPr>
      <w:t>DE ________________</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173035">
      <w:rPr>
        <w:rFonts w:ascii="Bookman Old Style" w:hAnsi="Bookman Old Style" w:cs="Arial"/>
        <w:b w:val="0"/>
        <w:noProof/>
        <w:sz w:val="22"/>
        <w:szCs w:val="22"/>
      </w:rPr>
      <w:t>12</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173035">
      <w:fldChar w:fldCharType="begin"/>
    </w:r>
    <w:r w:rsidR="00173035">
      <w:instrText xml:space="preserve"> NUMPAGES  \* MERGEFORMAT </w:instrText>
    </w:r>
    <w:r w:rsidR="00173035">
      <w:fldChar w:fldCharType="separate"/>
    </w:r>
    <w:r w:rsidR="00173035" w:rsidRPr="00173035">
      <w:rPr>
        <w:rFonts w:ascii="Bookman Old Style" w:hAnsi="Bookman Old Style" w:cs="Arial"/>
        <w:b w:val="0"/>
        <w:noProof/>
        <w:sz w:val="22"/>
        <w:szCs w:val="22"/>
      </w:rPr>
      <w:t>12</w:t>
    </w:r>
    <w:r w:rsidR="00173035">
      <w:rPr>
        <w:rFonts w:ascii="Bookman Old Style" w:hAnsi="Bookman Old Style" w:cs="Arial"/>
        <w:b w:val="0"/>
        <w:noProof/>
        <w:sz w:val="22"/>
        <w:szCs w:val="22"/>
      </w:rPr>
      <w:fldChar w:fldCharType="end"/>
    </w:r>
  </w:p>
  <w:p w:rsidR="00520F96" w:rsidRDefault="00520F96" w:rsidP="00154405">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60288" behindDoc="0" locked="0" layoutInCell="1" allowOverlap="1" wp14:anchorId="0D67F9B7" wp14:editId="68E39ACC">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rsidR="00520F96" w:rsidRPr="00D14538" w:rsidRDefault="007B7837" w:rsidP="00D14538">
    <w:pPr>
      <w:pBdr>
        <w:bottom w:val="single" w:sz="4" w:space="1" w:color="auto"/>
      </w:pBdr>
      <w:ind w:left="142" w:right="148"/>
      <w:rPr>
        <w:rFonts w:ascii="Bookman Old Style" w:hAnsi="Bookman Old Style"/>
        <w:color w:val="000000" w:themeColor="text1"/>
        <w:sz w:val="22"/>
        <w:szCs w:val="22"/>
        <w:lang w:eastAsia="es-CO"/>
      </w:rPr>
    </w:pPr>
    <w:r w:rsidRPr="007B7837">
      <w:rPr>
        <w:rFonts w:ascii="Bookman Old Style" w:hAnsi="Bookman Old Style" w:cs="Arial"/>
        <w:sz w:val="22"/>
        <w:szCs w:val="22"/>
        <w:lang w:eastAsia="es-CO"/>
      </w:rPr>
      <w:t>Por la cual se decide el recurso de reposición interpuesto por la Empresa de Energía del Guainía La Ceiba S.A. E.S.P. contra la Resolución CREG 025 de 2012.</w:t>
    </w:r>
  </w:p>
  <w:p w:rsidR="00520F96" w:rsidRPr="00D14538" w:rsidRDefault="00520F96" w:rsidP="00D14538">
    <w:pPr>
      <w:pBdr>
        <w:bottom w:val="single" w:sz="4" w:space="1" w:color="auto"/>
      </w:pBdr>
      <w:ind w:left="142" w:right="148"/>
      <w:rPr>
        <w:rFonts w:ascii="Bookman Old Style" w:hAnsi="Bookman Old Style"/>
        <w:color w:val="000000" w:themeColor="text1"/>
        <w:sz w:val="22"/>
        <w:szCs w:val="22"/>
        <w:lang w:eastAsia="es-CO"/>
      </w:rPr>
    </w:pPr>
  </w:p>
  <w:p w:rsidR="00520F96" w:rsidRPr="00D14538" w:rsidRDefault="00520F96" w:rsidP="00D14538">
    <w:pPr>
      <w:ind w:left="0"/>
      <w:jc w:val="both"/>
      <w:rPr>
        <w:b/>
        <w:sz w:val="22"/>
        <w:szCs w:val="22"/>
      </w:rPr>
    </w:pPr>
    <w:r w:rsidRPr="00387FCC" w:rsidDel="00387FCC">
      <w:rPr>
        <w:rFonts w:ascii="Bookman Old Style" w:hAnsi="Bookman Old Style" w:cs="Arial"/>
        <w:sz w:val="22"/>
        <w:szCs w:val="22"/>
        <w:lang w:eastAsia="es-CO"/>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96" w:rsidRDefault="00520F96" w:rsidP="00154405">
    <w:pPr>
      <w:pStyle w:val="Encabezado"/>
      <w:jc w:val="both"/>
      <w:rPr>
        <w:rFonts w:ascii="Arial" w:hAnsi="Arial" w:cs="Arial"/>
        <w:spacing w:val="20"/>
        <w:sz w:val="20"/>
      </w:rPr>
    </w:pPr>
    <w:r>
      <w:rPr>
        <w:rFonts w:ascii="Arial" w:hAnsi="Arial" w:cs="Arial"/>
        <w:spacing w:val="20"/>
        <w:sz w:val="20"/>
      </w:rPr>
      <w:t xml:space="preserve">                                   República de Colombia</w:t>
    </w:r>
  </w:p>
  <w:p w:rsidR="00520F96" w:rsidRDefault="00520F96">
    <w:pPr>
      <w:pStyle w:val="Encabezado"/>
      <w:jc w:val="center"/>
      <w:rPr>
        <w:rFonts w:ascii="Arial" w:hAnsi="Arial" w:cs="Arial"/>
        <w:spacing w:val="20"/>
        <w:sz w:val="20"/>
      </w:rPr>
    </w:pPr>
  </w:p>
  <w:p w:rsidR="00520F96" w:rsidRDefault="00520F96" w:rsidP="00154405">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61312" behindDoc="0" locked="0" layoutInCell="1" allowOverlap="1">
              <wp:simplePos x="0" y="0"/>
              <wp:positionH relativeFrom="column">
                <wp:posOffset>-213360</wp:posOffset>
              </wp:positionH>
              <wp:positionV relativeFrom="paragraph">
                <wp:posOffset>377190</wp:posOffset>
              </wp:positionV>
              <wp:extent cx="6343650" cy="9839325"/>
              <wp:effectExtent l="15240" t="15240" r="1333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2C7"/>
    <w:multiLevelType w:val="hybridMultilevel"/>
    <w:tmpl w:val="26F61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D8419B"/>
    <w:multiLevelType w:val="multilevel"/>
    <w:tmpl w:val="F42CDCEA"/>
    <w:lvl w:ilvl="0">
      <w:start w:val="1"/>
      <w:numFmt w:val="decimal"/>
      <w:lvlText w:val="Artículo %1."/>
      <w:lvlJc w:val="right"/>
      <w:pPr>
        <w:tabs>
          <w:tab w:val="num" w:pos="247"/>
        </w:tabs>
        <w:ind w:left="-1474" w:firstLine="1474"/>
      </w:pPr>
      <w:rPr>
        <w:rFonts w:ascii="Bookman Old Style" w:hAnsi="Bookman Old Style" w:cs="Arial" w:hint="default"/>
        <w:b/>
        <w:i w:val="0"/>
        <w:color w:val="auto"/>
        <w:sz w:val="24"/>
        <w:szCs w:val="24"/>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2">
    <w:nsid w:val="166303EB"/>
    <w:multiLevelType w:val="hybridMultilevel"/>
    <w:tmpl w:val="1D6AE330"/>
    <w:lvl w:ilvl="0" w:tplc="A888F1D8">
      <w:start w:val="1"/>
      <w:numFmt w:val="decimal"/>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nsid w:val="18732773"/>
    <w:multiLevelType w:val="hybridMultilevel"/>
    <w:tmpl w:val="4D9E0C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0F335E5"/>
    <w:multiLevelType w:val="hybridMultilevel"/>
    <w:tmpl w:val="7BFA853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nsid w:val="21975DB4"/>
    <w:multiLevelType w:val="hybridMultilevel"/>
    <w:tmpl w:val="3B2A4BF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29FC5783"/>
    <w:multiLevelType w:val="hybridMultilevel"/>
    <w:tmpl w:val="8B1C2644"/>
    <w:lvl w:ilvl="0" w:tplc="C4CC4D3C">
      <w:start w:val="1"/>
      <w:numFmt w:val="lowerRoman"/>
      <w:lvlText w:val="%1)"/>
      <w:lvlJc w:val="left"/>
      <w:pPr>
        <w:ind w:left="1004" w:hanging="7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7">
    <w:nsid w:val="30642EA8"/>
    <w:multiLevelType w:val="hybridMultilevel"/>
    <w:tmpl w:val="F628F54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nsid w:val="35CE553A"/>
    <w:multiLevelType w:val="hybridMultilevel"/>
    <w:tmpl w:val="F628F544"/>
    <w:lvl w:ilvl="0" w:tplc="0C0A0017">
      <w:start w:val="1"/>
      <w:numFmt w:val="lowerLetter"/>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9">
    <w:nsid w:val="377417A2"/>
    <w:multiLevelType w:val="hybridMultilevel"/>
    <w:tmpl w:val="8C8073C4"/>
    <w:lvl w:ilvl="0" w:tplc="2E62EF28">
      <w:start w:val="1"/>
      <w:numFmt w:val="decimal"/>
      <w:lvlText w:val="(%1)"/>
      <w:lvlJc w:val="left"/>
      <w:pPr>
        <w:ind w:left="795" w:hanging="43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AAC0FD1"/>
    <w:multiLevelType w:val="multilevel"/>
    <w:tmpl w:val="B3AEB4E4"/>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1">
    <w:nsid w:val="465455E5"/>
    <w:multiLevelType w:val="hybridMultilevel"/>
    <w:tmpl w:val="DE9CA174"/>
    <w:lvl w:ilvl="0" w:tplc="0C0A000F">
      <w:start w:val="1"/>
      <w:numFmt w:val="decimal"/>
      <w:lvlText w:val="%1."/>
      <w:lvlJc w:val="left"/>
      <w:pPr>
        <w:ind w:left="1434" w:hanging="360"/>
      </w:pPr>
    </w:lvl>
    <w:lvl w:ilvl="1" w:tplc="0C0A0019" w:tentative="1">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12">
    <w:nsid w:val="56A416AD"/>
    <w:multiLevelType w:val="hybridMultilevel"/>
    <w:tmpl w:val="B728F65C"/>
    <w:lvl w:ilvl="0" w:tplc="340A0001">
      <w:start w:val="1"/>
      <w:numFmt w:val="bullet"/>
      <w:lvlText w:val=""/>
      <w:lvlJc w:val="left"/>
      <w:pPr>
        <w:ind w:left="2062" w:hanging="360"/>
      </w:pPr>
      <w:rPr>
        <w:rFonts w:ascii="Symbol" w:hAnsi="Symbol" w:hint="default"/>
      </w:rPr>
    </w:lvl>
    <w:lvl w:ilvl="1" w:tplc="340A0003" w:tentative="1">
      <w:start w:val="1"/>
      <w:numFmt w:val="bullet"/>
      <w:lvlText w:val="o"/>
      <w:lvlJc w:val="left"/>
      <w:pPr>
        <w:ind w:left="2782" w:hanging="360"/>
      </w:pPr>
      <w:rPr>
        <w:rFonts w:ascii="Courier New" w:hAnsi="Courier New" w:cs="Courier New" w:hint="default"/>
      </w:rPr>
    </w:lvl>
    <w:lvl w:ilvl="2" w:tplc="340A0005" w:tentative="1">
      <w:start w:val="1"/>
      <w:numFmt w:val="bullet"/>
      <w:lvlText w:val=""/>
      <w:lvlJc w:val="left"/>
      <w:pPr>
        <w:ind w:left="3502" w:hanging="360"/>
      </w:pPr>
      <w:rPr>
        <w:rFonts w:ascii="Wingdings" w:hAnsi="Wingdings" w:hint="default"/>
      </w:rPr>
    </w:lvl>
    <w:lvl w:ilvl="3" w:tplc="340A0001" w:tentative="1">
      <w:start w:val="1"/>
      <w:numFmt w:val="bullet"/>
      <w:lvlText w:val=""/>
      <w:lvlJc w:val="left"/>
      <w:pPr>
        <w:ind w:left="4222" w:hanging="360"/>
      </w:pPr>
      <w:rPr>
        <w:rFonts w:ascii="Symbol" w:hAnsi="Symbol" w:hint="default"/>
      </w:rPr>
    </w:lvl>
    <w:lvl w:ilvl="4" w:tplc="340A0003" w:tentative="1">
      <w:start w:val="1"/>
      <w:numFmt w:val="bullet"/>
      <w:lvlText w:val="o"/>
      <w:lvlJc w:val="left"/>
      <w:pPr>
        <w:ind w:left="4942" w:hanging="360"/>
      </w:pPr>
      <w:rPr>
        <w:rFonts w:ascii="Courier New" w:hAnsi="Courier New" w:cs="Courier New" w:hint="default"/>
      </w:rPr>
    </w:lvl>
    <w:lvl w:ilvl="5" w:tplc="340A0005" w:tentative="1">
      <w:start w:val="1"/>
      <w:numFmt w:val="bullet"/>
      <w:lvlText w:val=""/>
      <w:lvlJc w:val="left"/>
      <w:pPr>
        <w:ind w:left="5662" w:hanging="360"/>
      </w:pPr>
      <w:rPr>
        <w:rFonts w:ascii="Wingdings" w:hAnsi="Wingdings" w:hint="default"/>
      </w:rPr>
    </w:lvl>
    <w:lvl w:ilvl="6" w:tplc="340A0001" w:tentative="1">
      <w:start w:val="1"/>
      <w:numFmt w:val="bullet"/>
      <w:lvlText w:val=""/>
      <w:lvlJc w:val="left"/>
      <w:pPr>
        <w:ind w:left="6382" w:hanging="360"/>
      </w:pPr>
      <w:rPr>
        <w:rFonts w:ascii="Symbol" w:hAnsi="Symbol" w:hint="default"/>
      </w:rPr>
    </w:lvl>
    <w:lvl w:ilvl="7" w:tplc="340A0003" w:tentative="1">
      <w:start w:val="1"/>
      <w:numFmt w:val="bullet"/>
      <w:lvlText w:val="o"/>
      <w:lvlJc w:val="left"/>
      <w:pPr>
        <w:ind w:left="7102" w:hanging="360"/>
      </w:pPr>
      <w:rPr>
        <w:rFonts w:ascii="Courier New" w:hAnsi="Courier New" w:cs="Courier New" w:hint="default"/>
      </w:rPr>
    </w:lvl>
    <w:lvl w:ilvl="8" w:tplc="340A0005" w:tentative="1">
      <w:start w:val="1"/>
      <w:numFmt w:val="bullet"/>
      <w:lvlText w:val=""/>
      <w:lvlJc w:val="left"/>
      <w:pPr>
        <w:ind w:left="7822" w:hanging="360"/>
      </w:pPr>
      <w:rPr>
        <w:rFonts w:ascii="Wingdings" w:hAnsi="Wingdings" w:hint="default"/>
      </w:rPr>
    </w:lvl>
  </w:abstractNum>
  <w:abstractNum w:abstractNumId="13">
    <w:nsid w:val="6268017F"/>
    <w:multiLevelType w:val="hybridMultilevel"/>
    <w:tmpl w:val="59D0DD58"/>
    <w:lvl w:ilvl="0" w:tplc="644AD9F6">
      <w:start w:val="1"/>
      <w:numFmt w:val="lowerLetter"/>
      <w:lvlText w:val="%1)"/>
      <w:lvlJc w:val="left"/>
      <w:pPr>
        <w:ind w:left="2490" w:hanging="360"/>
      </w:pPr>
      <w:rPr>
        <w:rFonts w:hint="default"/>
      </w:rPr>
    </w:lvl>
    <w:lvl w:ilvl="1" w:tplc="340A0019" w:tentative="1">
      <w:start w:val="1"/>
      <w:numFmt w:val="lowerLetter"/>
      <w:lvlText w:val="%2."/>
      <w:lvlJc w:val="left"/>
      <w:pPr>
        <w:ind w:left="3210" w:hanging="360"/>
      </w:pPr>
    </w:lvl>
    <w:lvl w:ilvl="2" w:tplc="340A001B">
      <w:start w:val="1"/>
      <w:numFmt w:val="lowerRoman"/>
      <w:lvlText w:val="%3."/>
      <w:lvlJc w:val="right"/>
      <w:pPr>
        <w:ind w:left="3930" w:hanging="180"/>
      </w:pPr>
    </w:lvl>
    <w:lvl w:ilvl="3" w:tplc="340A000F" w:tentative="1">
      <w:start w:val="1"/>
      <w:numFmt w:val="decimal"/>
      <w:lvlText w:val="%4."/>
      <w:lvlJc w:val="left"/>
      <w:pPr>
        <w:ind w:left="4650" w:hanging="360"/>
      </w:pPr>
    </w:lvl>
    <w:lvl w:ilvl="4" w:tplc="340A0019" w:tentative="1">
      <w:start w:val="1"/>
      <w:numFmt w:val="lowerLetter"/>
      <w:lvlText w:val="%5."/>
      <w:lvlJc w:val="left"/>
      <w:pPr>
        <w:ind w:left="5370" w:hanging="360"/>
      </w:pPr>
    </w:lvl>
    <w:lvl w:ilvl="5" w:tplc="340A001B" w:tentative="1">
      <w:start w:val="1"/>
      <w:numFmt w:val="lowerRoman"/>
      <w:lvlText w:val="%6."/>
      <w:lvlJc w:val="right"/>
      <w:pPr>
        <w:ind w:left="6090" w:hanging="180"/>
      </w:pPr>
    </w:lvl>
    <w:lvl w:ilvl="6" w:tplc="340A000F" w:tentative="1">
      <w:start w:val="1"/>
      <w:numFmt w:val="decimal"/>
      <w:lvlText w:val="%7."/>
      <w:lvlJc w:val="left"/>
      <w:pPr>
        <w:ind w:left="6810" w:hanging="360"/>
      </w:pPr>
    </w:lvl>
    <w:lvl w:ilvl="7" w:tplc="340A0019" w:tentative="1">
      <w:start w:val="1"/>
      <w:numFmt w:val="lowerLetter"/>
      <w:lvlText w:val="%8."/>
      <w:lvlJc w:val="left"/>
      <w:pPr>
        <w:ind w:left="7530" w:hanging="360"/>
      </w:pPr>
    </w:lvl>
    <w:lvl w:ilvl="8" w:tplc="340A001B" w:tentative="1">
      <w:start w:val="1"/>
      <w:numFmt w:val="lowerRoman"/>
      <w:lvlText w:val="%9."/>
      <w:lvlJc w:val="right"/>
      <w:pPr>
        <w:ind w:left="8250" w:hanging="180"/>
      </w:pPr>
    </w:lvl>
  </w:abstractNum>
  <w:abstractNum w:abstractNumId="14">
    <w:nsid w:val="638E1608"/>
    <w:multiLevelType w:val="hybridMultilevel"/>
    <w:tmpl w:val="A5EA7632"/>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5">
    <w:nsid w:val="6AC14721"/>
    <w:multiLevelType w:val="hybridMultilevel"/>
    <w:tmpl w:val="ED56B09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6">
    <w:nsid w:val="72AB554C"/>
    <w:multiLevelType w:val="hybridMultilevel"/>
    <w:tmpl w:val="ECCE5FE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73FF3DCB"/>
    <w:multiLevelType w:val="hybridMultilevel"/>
    <w:tmpl w:val="6FAA701E"/>
    <w:lvl w:ilvl="0" w:tplc="EB0CD94A">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8">
    <w:nsid w:val="7AE90809"/>
    <w:multiLevelType w:val="hybridMultilevel"/>
    <w:tmpl w:val="F5FEA0D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9">
    <w:nsid w:val="7DFC7A0E"/>
    <w:multiLevelType w:val="hybridMultilevel"/>
    <w:tmpl w:val="79366C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F02357F"/>
    <w:multiLevelType w:val="hybridMultilevel"/>
    <w:tmpl w:val="8C8073C4"/>
    <w:lvl w:ilvl="0" w:tplc="2E62EF28">
      <w:start w:val="1"/>
      <w:numFmt w:val="decimal"/>
      <w:lvlText w:val="(%1)"/>
      <w:lvlJc w:val="left"/>
      <w:pPr>
        <w:ind w:left="795" w:hanging="43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0"/>
  </w:num>
  <w:num w:numId="10">
    <w:abstractNumId w:val="11"/>
  </w:num>
  <w:num w:numId="11">
    <w:abstractNumId w:val="9"/>
  </w:num>
  <w:num w:numId="12">
    <w:abstractNumId w:val="2"/>
  </w:num>
  <w:num w:numId="13">
    <w:abstractNumId w:val="3"/>
  </w:num>
  <w:num w:numId="14">
    <w:abstractNumId w:val="20"/>
  </w:num>
  <w:num w:numId="15">
    <w:abstractNumId w:val="7"/>
  </w:num>
  <w:num w:numId="16">
    <w:abstractNumId w:val="4"/>
  </w:num>
  <w:num w:numId="17">
    <w:abstractNumId w:val="8"/>
  </w:num>
  <w:num w:numId="18">
    <w:abstractNumId w:val="18"/>
  </w:num>
  <w:num w:numId="19">
    <w:abstractNumId w:val="6"/>
  </w:num>
  <w:num w:numId="20">
    <w:abstractNumId w:val="14"/>
  </w:num>
  <w:num w:numId="21">
    <w:abstractNumId w:val="15"/>
  </w:num>
  <w:num w:numId="22">
    <w:abstractNumId w:val="10"/>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E1"/>
    <w:rsid w:val="00002927"/>
    <w:rsid w:val="000210E1"/>
    <w:rsid w:val="0002317C"/>
    <w:rsid w:val="00031543"/>
    <w:rsid w:val="00052EF2"/>
    <w:rsid w:val="000554C6"/>
    <w:rsid w:val="00055673"/>
    <w:rsid w:val="000611CC"/>
    <w:rsid w:val="000625AC"/>
    <w:rsid w:val="000635F8"/>
    <w:rsid w:val="000641EA"/>
    <w:rsid w:val="00070073"/>
    <w:rsid w:val="00073484"/>
    <w:rsid w:val="0007707F"/>
    <w:rsid w:val="000A04AD"/>
    <w:rsid w:val="000D71F7"/>
    <w:rsid w:val="000E6691"/>
    <w:rsid w:val="000F407A"/>
    <w:rsid w:val="000F48BA"/>
    <w:rsid w:val="00127BAC"/>
    <w:rsid w:val="00137296"/>
    <w:rsid w:val="00141329"/>
    <w:rsid w:val="00147F8B"/>
    <w:rsid w:val="00151E14"/>
    <w:rsid w:val="00154405"/>
    <w:rsid w:val="001621A0"/>
    <w:rsid w:val="00164A11"/>
    <w:rsid w:val="0016729C"/>
    <w:rsid w:val="0017159E"/>
    <w:rsid w:val="00171837"/>
    <w:rsid w:val="00173035"/>
    <w:rsid w:val="00184A6C"/>
    <w:rsid w:val="00193980"/>
    <w:rsid w:val="001A47C6"/>
    <w:rsid w:val="001A6A06"/>
    <w:rsid w:val="001B07C7"/>
    <w:rsid w:val="001B081A"/>
    <w:rsid w:val="001B1715"/>
    <w:rsid w:val="001B1FB9"/>
    <w:rsid w:val="001B503E"/>
    <w:rsid w:val="001C607D"/>
    <w:rsid w:val="001E0D38"/>
    <w:rsid w:val="001F25A7"/>
    <w:rsid w:val="002013F5"/>
    <w:rsid w:val="00206840"/>
    <w:rsid w:val="0022461E"/>
    <w:rsid w:val="002340F4"/>
    <w:rsid w:val="00237D29"/>
    <w:rsid w:val="00255963"/>
    <w:rsid w:val="002632DF"/>
    <w:rsid w:val="002728FD"/>
    <w:rsid w:val="00272BF6"/>
    <w:rsid w:val="00275399"/>
    <w:rsid w:val="00295A00"/>
    <w:rsid w:val="002A7C27"/>
    <w:rsid w:val="002C2FF1"/>
    <w:rsid w:val="002D4476"/>
    <w:rsid w:val="002D48DC"/>
    <w:rsid w:val="002E0FB9"/>
    <w:rsid w:val="003000D8"/>
    <w:rsid w:val="0030030B"/>
    <w:rsid w:val="00312B0C"/>
    <w:rsid w:val="00315502"/>
    <w:rsid w:val="003224A3"/>
    <w:rsid w:val="00332DFD"/>
    <w:rsid w:val="00337E11"/>
    <w:rsid w:val="00363C52"/>
    <w:rsid w:val="00366703"/>
    <w:rsid w:val="0037061D"/>
    <w:rsid w:val="00370969"/>
    <w:rsid w:val="00376ECB"/>
    <w:rsid w:val="00387FCC"/>
    <w:rsid w:val="00390748"/>
    <w:rsid w:val="00390D10"/>
    <w:rsid w:val="003946CF"/>
    <w:rsid w:val="003A27FF"/>
    <w:rsid w:val="003F06BE"/>
    <w:rsid w:val="00434CC9"/>
    <w:rsid w:val="00436492"/>
    <w:rsid w:val="004379FA"/>
    <w:rsid w:val="004524E7"/>
    <w:rsid w:val="0046125D"/>
    <w:rsid w:val="004741A0"/>
    <w:rsid w:val="00477F4D"/>
    <w:rsid w:val="004801E7"/>
    <w:rsid w:val="00494C49"/>
    <w:rsid w:val="004A6325"/>
    <w:rsid w:val="004A7D3F"/>
    <w:rsid w:val="004D3FCD"/>
    <w:rsid w:val="004D6CAB"/>
    <w:rsid w:val="004E5571"/>
    <w:rsid w:val="004F2EBB"/>
    <w:rsid w:val="004F4B7D"/>
    <w:rsid w:val="00500007"/>
    <w:rsid w:val="005176C6"/>
    <w:rsid w:val="00520F96"/>
    <w:rsid w:val="00532E69"/>
    <w:rsid w:val="005353E9"/>
    <w:rsid w:val="005375E9"/>
    <w:rsid w:val="005516A6"/>
    <w:rsid w:val="005537B4"/>
    <w:rsid w:val="00561410"/>
    <w:rsid w:val="005651DA"/>
    <w:rsid w:val="00573CE2"/>
    <w:rsid w:val="00586C22"/>
    <w:rsid w:val="00591E3C"/>
    <w:rsid w:val="00595D5D"/>
    <w:rsid w:val="005E2346"/>
    <w:rsid w:val="005E7345"/>
    <w:rsid w:val="00604470"/>
    <w:rsid w:val="00622120"/>
    <w:rsid w:val="006275A1"/>
    <w:rsid w:val="006350A5"/>
    <w:rsid w:val="006527A1"/>
    <w:rsid w:val="0065583A"/>
    <w:rsid w:val="00676A8D"/>
    <w:rsid w:val="00685354"/>
    <w:rsid w:val="00695AF8"/>
    <w:rsid w:val="006A0092"/>
    <w:rsid w:val="006A01CE"/>
    <w:rsid w:val="006A065A"/>
    <w:rsid w:val="006A689F"/>
    <w:rsid w:val="006B1466"/>
    <w:rsid w:val="006B72DA"/>
    <w:rsid w:val="006B7AD6"/>
    <w:rsid w:val="006D0A41"/>
    <w:rsid w:val="006D28FD"/>
    <w:rsid w:val="006D3789"/>
    <w:rsid w:val="0070612D"/>
    <w:rsid w:val="00713585"/>
    <w:rsid w:val="0072061A"/>
    <w:rsid w:val="00731137"/>
    <w:rsid w:val="00731794"/>
    <w:rsid w:val="00753252"/>
    <w:rsid w:val="00771ABC"/>
    <w:rsid w:val="0078055B"/>
    <w:rsid w:val="00780C43"/>
    <w:rsid w:val="0078110E"/>
    <w:rsid w:val="00786981"/>
    <w:rsid w:val="007918F1"/>
    <w:rsid w:val="007B4EA3"/>
    <w:rsid w:val="007B7837"/>
    <w:rsid w:val="007C3414"/>
    <w:rsid w:val="007C343F"/>
    <w:rsid w:val="007C613B"/>
    <w:rsid w:val="007E2AF4"/>
    <w:rsid w:val="00802AC9"/>
    <w:rsid w:val="00813D72"/>
    <w:rsid w:val="0081518D"/>
    <w:rsid w:val="008265A5"/>
    <w:rsid w:val="00836110"/>
    <w:rsid w:val="00844D94"/>
    <w:rsid w:val="0086636E"/>
    <w:rsid w:val="00870DAB"/>
    <w:rsid w:val="00881655"/>
    <w:rsid w:val="008A2861"/>
    <w:rsid w:val="008A36B9"/>
    <w:rsid w:val="008B0882"/>
    <w:rsid w:val="008C1858"/>
    <w:rsid w:val="008D3154"/>
    <w:rsid w:val="008D40C7"/>
    <w:rsid w:val="008D7694"/>
    <w:rsid w:val="008E1208"/>
    <w:rsid w:val="008F377B"/>
    <w:rsid w:val="008F5ED5"/>
    <w:rsid w:val="00916B35"/>
    <w:rsid w:val="00922034"/>
    <w:rsid w:val="00931AA0"/>
    <w:rsid w:val="00943216"/>
    <w:rsid w:val="0095262C"/>
    <w:rsid w:val="009618A2"/>
    <w:rsid w:val="00962F2F"/>
    <w:rsid w:val="0098055C"/>
    <w:rsid w:val="00992785"/>
    <w:rsid w:val="00993FD4"/>
    <w:rsid w:val="00995304"/>
    <w:rsid w:val="009A60DB"/>
    <w:rsid w:val="009C4A8E"/>
    <w:rsid w:val="009D2AB0"/>
    <w:rsid w:val="009F40EA"/>
    <w:rsid w:val="009F4850"/>
    <w:rsid w:val="009F6980"/>
    <w:rsid w:val="00A051A0"/>
    <w:rsid w:val="00A14AFE"/>
    <w:rsid w:val="00A21709"/>
    <w:rsid w:val="00A24540"/>
    <w:rsid w:val="00A32267"/>
    <w:rsid w:val="00A41F17"/>
    <w:rsid w:val="00A44BD8"/>
    <w:rsid w:val="00A63CB6"/>
    <w:rsid w:val="00A67FCD"/>
    <w:rsid w:val="00A91467"/>
    <w:rsid w:val="00A91EEC"/>
    <w:rsid w:val="00A973DA"/>
    <w:rsid w:val="00AA1302"/>
    <w:rsid w:val="00AA26A5"/>
    <w:rsid w:val="00AB5FF7"/>
    <w:rsid w:val="00AC3A1C"/>
    <w:rsid w:val="00AE2724"/>
    <w:rsid w:val="00AE5A5F"/>
    <w:rsid w:val="00AF7AD4"/>
    <w:rsid w:val="00B028FD"/>
    <w:rsid w:val="00B14000"/>
    <w:rsid w:val="00B1546B"/>
    <w:rsid w:val="00B2379B"/>
    <w:rsid w:val="00B254C9"/>
    <w:rsid w:val="00B26836"/>
    <w:rsid w:val="00B33AB9"/>
    <w:rsid w:val="00B4417B"/>
    <w:rsid w:val="00B57782"/>
    <w:rsid w:val="00B72C1A"/>
    <w:rsid w:val="00B740A1"/>
    <w:rsid w:val="00B92C75"/>
    <w:rsid w:val="00BB6CBF"/>
    <w:rsid w:val="00BD54C5"/>
    <w:rsid w:val="00BE6BA4"/>
    <w:rsid w:val="00C00848"/>
    <w:rsid w:val="00C0389E"/>
    <w:rsid w:val="00C0506C"/>
    <w:rsid w:val="00C0793C"/>
    <w:rsid w:val="00C2555A"/>
    <w:rsid w:val="00C31EC7"/>
    <w:rsid w:val="00C3468F"/>
    <w:rsid w:val="00C44377"/>
    <w:rsid w:val="00C451B0"/>
    <w:rsid w:val="00C51895"/>
    <w:rsid w:val="00C53D69"/>
    <w:rsid w:val="00C869E1"/>
    <w:rsid w:val="00C903DC"/>
    <w:rsid w:val="00CA06ED"/>
    <w:rsid w:val="00CA1548"/>
    <w:rsid w:val="00CA6D9C"/>
    <w:rsid w:val="00CB1EF2"/>
    <w:rsid w:val="00CB7462"/>
    <w:rsid w:val="00CD2DD3"/>
    <w:rsid w:val="00CE6E63"/>
    <w:rsid w:val="00CF601F"/>
    <w:rsid w:val="00D0795E"/>
    <w:rsid w:val="00D1450C"/>
    <w:rsid w:val="00D14538"/>
    <w:rsid w:val="00D26DC0"/>
    <w:rsid w:val="00D331BC"/>
    <w:rsid w:val="00D35A14"/>
    <w:rsid w:val="00D42332"/>
    <w:rsid w:val="00D44FD7"/>
    <w:rsid w:val="00D45FC8"/>
    <w:rsid w:val="00D5294D"/>
    <w:rsid w:val="00D70278"/>
    <w:rsid w:val="00D73423"/>
    <w:rsid w:val="00D842F6"/>
    <w:rsid w:val="00D86FA1"/>
    <w:rsid w:val="00D932B0"/>
    <w:rsid w:val="00DA6F13"/>
    <w:rsid w:val="00DA7D4A"/>
    <w:rsid w:val="00DC5D58"/>
    <w:rsid w:val="00DD0A10"/>
    <w:rsid w:val="00DD0E35"/>
    <w:rsid w:val="00DE101F"/>
    <w:rsid w:val="00DE7972"/>
    <w:rsid w:val="00DF0B3D"/>
    <w:rsid w:val="00DF681D"/>
    <w:rsid w:val="00E05BB4"/>
    <w:rsid w:val="00E36E98"/>
    <w:rsid w:val="00E51EF4"/>
    <w:rsid w:val="00E8129C"/>
    <w:rsid w:val="00EA39BE"/>
    <w:rsid w:val="00EB19B0"/>
    <w:rsid w:val="00EB2E7B"/>
    <w:rsid w:val="00EB7DCC"/>
    <w:rsid w:val="00EC17E7"/>
    <w:rsid w:val="00EC3BC4"/>
    <w:rsid w:val="00EC770B"/>
    <w:rsid w:val="00ED3AD2"/>
    <w:rsid w:val="00ED59BC"/>
    <w:rsid w:val="00EE4121"/>
    <w:rsid w:val="00EF1EC6"/>
    <w:rsid w:val="00F02F9D"/>
    <w:rsid w:val="00F078F2"/>
    <w:rsid w:val="00F17537"/>
    <w:rsid w:val="00F50442"/>
    <w:rsid w:val="00F847A9"/>
    <w:rsid w:val="00F92291"/>
    <w:rsid w:val="00F92D9E"/>
    <w:rsid w:val="00FA0189"/>
    <w:rsid w:val="00FA3E00"/>
    <w:rsid w:val="00FB2498"/>
    <w:rsid w:val="00FB26C8"/>
    <w:rsid w:val="00FC237A"/>
    <w:rsid w:val="00FD568F"/>
    <w:rsid w:val="00FD7CD7"/>
    <w:rsid w:val="00FE170C"/>
    <w:rsid w:val="00FE2C86"/>
    <w:rsid w:val="00FE79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0E1"/>
    <w:pPr>
      <w:spacing w:after="0" w:line="240" w:lineRule="auto"/>
      <w:ind w:left="567"/>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0210E1"/>
    <w:pPr>
      <w:keepNext/>
      <w:jc w:val="center"/>
      <w:outlineLvl w:val="0"/>
    </w:pPr>
    <w:rPr>
      <w:rFonts w:ascii="CG Times" w:hAnsi="CG Times"/>
      <w:b/>
      <w:szCs w:val="20"/>
      <w:lang w:val="es-CO"/>
    </w:rPr>
  </w:style>
  <w:style w:type="paragraph" w:styleId="Ttulo2">
    <w:name w:val="heading 2"/>
    <w:basedOn w:val="Normal"/>
    <w:next w:val="Normal"/>
    <w:link w:val="Ttulo2Car"/>
    <w:uiPriority w:val="9"/>
    <w:semiHidden/>
    <w:unhideWhenUsed/>
    <w:qFormat/>
    <w:rsid w:val="000210E1"/>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0210E1"/>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0210E1"/>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0210E1"/>
    <w:pPr>
      <w:keepNext/>
      <w:jc w:val="center"/>
      <w:outlineLvl w:val="4"/>
    </w:pPr>
    <w:rPr>
      <w:rFonts w:ascii="Arial" w:hAnsi="Arial" w:cs="Arial"/>
      <w:b/>
      <w:snapToGrid w:val="0"/>
      <w:color w:val="000000"/>
      <w:spacing w:val="20"/>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210E1"/>
    <w:rPr>
      <w:rFonts w:ascii="CG Times" w:eastAsia="Times New Roman" w:hAnsi="CG Times" w:cs="Times New Roman"/>
      <w:b/>
      <w:sz w:val="24"/>
      <w:szCs w:val="20"/>
      <w:lang w:val="es-CO" w:eastAsia="es-ES"/>
    </w:rPr>
  </w:style>
  <w:style w:type="character" w:customStyle="1" w:styleId="Ttulo2Car">
    <w:name w:val="Título 2 Car"/>
    <w:basedOn w:val="Fuentedeprrafopredeter"/>
    <w:link w:val="Ttulo2"/>
    <w:uiPriority w:val="9"/>
    <w:semiHidden/>
    <w:rsid w:val="000210E1"/>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rsid w:val="000210E1"/>
    <w:rPr>
      <w:rFonts w:ascii="CG Times" w:eastAsia="Times New Roman" w:hAnsi="CG Times" w:cs="Times New Roman"/>
      <w:b/>
      <w:snapToGrid w:val="0"/>
      <w:color w:val="000000"/>
      <w:sz w:val="24"/>
      <w:szCs w:val="20"/>
      <w:lang w:val="es-ES_tradnl" w:eastAsia="es-ES"/>
    </w:rPr>
  </w:style>
  <w:style w:type="character" w:customStyle="1" w:styleId="Ttulo4Car">
    <w:name w:val="Título 4 Car"/>
    <w:basedOn w:val="Fuentedeprrafopredeter"/>
    <w:link w:val="Ttulo4"/>
    <w:rsid w:val="000210E1"/>
    <w:rPr>
      <w:rFonts w:ascii="Arial" w:eastAsia="Times New Roman" w:hAnsi="Arial" w:cs="Arial"/>
      <w:b/>
      <w:snapToGrid w:val="0"/>
      <w:color w:val="000000"/>
      <w:spacing w:val="20"/>
      <w:sz w:val="20"/>
      <w:szCs w:val="20"/>
      <w:lang w:val="es-ES_tradnl" w:eastAsia="es-ES"/>
    </w:rPr>
  </w:style>
  <w:style w:type="character" w:customStyle="1" w:styleId="Ttulo5Car">
    <w:name w:val="Título 5 Car"/>
    <w:basedOn w:val="Fuentedeprrafopredeter"/>
    <w:link w:val="Ttulo5"/>
    <w:rsid w:val="000210E1"/>
    <w:rPr>
      <w:rFonts w:ascii="Arial" w:eastAsia="Times New Roman" w:hAnsi="Arial" w:cs="Arial"/>
      <w:b/>
      <w:snapToGrid w:val="0"/>
      <w:color w:val="000000"/>
      <w:spacing w:val="20"/>
      <w:sz w:val="28"/>
      <w:szCs w:val="20"/>
      <w:lang w:val="es-ES_tradnl" w:eastAsia="es-ES"/>
    </w:rPr>
  </w:style>
  <w:style w:type="paragraph" w:styleId="Encabezado">
    <w:name w:val="header"/>
    <w:basedOn w:val="Normal"/>
    <w:link w:val="EncabezadoCar"/>
    <w:uiPriority w:val="99"/>
    <w:rsid w:val="000210E1"/>
    <w:pPr>
      <w:tabs>
        <w:tab w:val="center" w:pos="4252"/>
        <w:tab w:val="right" w:pos="8504"/>
      </w:tabs>
    </w:pPr>
    <w:rPr>
      <w:rFonts w:ascii="CG Times" w:hAnsi="CG Times"/>
      <w:szCs w:val="20"/>
      <w:lang w:val="es-CO"/>
    </w:rPr>
  </w:style>
  <w:style w:type="character" w:customStyle="1" w:styleId="EncabezadoCar">
    <w:name w:val="Encabezado Car"/>
    <w:basedOn w:val="Fuentedeprrafopredeter"/>
    <w:link w:val="Encabezado"/>
    <w:uiPriority w:val="99"/>
    <w:rsid w:val="000210E1"/>
    <w:rPr>
      <w:rFonts w:ascii="CG Times" w:eastAsia="Times New Roman" w:hAnsi="CG Times" w:cs="Times New Roman"/>
      <w:sz w:val="24"/>
      <w:szCs w:val="20"/>
      <w:lang w:val="es-CO" w:eastAsia="es-ES"/>
    </w:rPr>
  </w:style>
  <w:style w:type="paragraph" w:styleId="Textoindependiente">
    <w:name w:val="Body Text"/>
    <w:basedOn w:val="Normal"/>
    <w:link w:val="TextoindependienteCar"/>
    <w:uiPriority w:val="99"/>
    <w:semiHidden/>
    <w:rsid w:val="000210E1"/>
    <w:pPr>
      <w:jc w:val="center"/>
    </w:pPr>
    <w:rPr>
      <w:rFonts w:ascii="Arial" w:hAnsi="Arial" w:cs="Arial"/>
      <w:b/>
      <w:bCs/>
    </w:rPr>
  </w:style>
  <w:style w:type="character" w:customStyle="1" w:styleId="TextoindependienteCar">
    <w:name w:val="Texto independiente Car"/>
    <w:basedOn w:val="Fuentedeprrafopredeter"/>
    <w:link w:val="Textoindependiente"/>
    <w:uiPriority w:val="99"/>
    <w:semiHidden/>
    <w:rsid w:val="000210E1"/>
    <w:rPr>
      <w:rFonts w:ascii="Arial" w:eastAsia="Times New Roman" w:hAnsi="Arial" w:cs="Arial"/>
      <w:b/>
      <w:bCs/>
      <w:sz w:val="24"/>
      <w:szCs w:val="24"/>
      <w:lang w:eastAsia="es-ES"/>
    </w:rPr>
  </w:style>
  <w:style w:type="paragraph" w:styleId="Prrafodelista">
    <w:name w:val="List Paragraph"/>
    <w:basedOn w:val="Normal"/>
    <w:link w:val="PrrafodelistaCar"/>
    <w:uiPriority w:val="34"/>
    <w:qFormat/>
    <w:rsid w:val="000210E1"/>
    <w:pPr>
      <w:ind w:left="708"/>
    </w:pPr>
    <w:rPr>
      <w:sz w:val="20"/>
      <w:szCs w:val="20"/>
      <w:lang w:val="es-CO"/>
    </w:rPr>
  </w:style>
  <w:style w:type="character" w:customStyle="1" w:styleId="PrrafodelistaCar">
    <w:name w:val="Párrafo de lista Car"/>
    <w:basedOn w:val="Fuentedeprrafopredeter"/>
    <w:link w:val="Prrafodelista"/>
    <w:uiPriority w:val="34"/>
    <w:rsid w:val="000210E1"/>
    <w:rPr>
      <w:rFonts w:ascii="Times New Roman" w:eastAsia="Times New Roman" w:hAnsi="Times New Roman" w:cs="Times New Roman"/>
      <w:sz w:val="20"/>
      <w:szCs w:val="20"/>
      <w:lang w:val="es-CO" w:eastAsia="es-ES"/>
    </w:rPr>
  </w:style>
  <w:style w:type="paragraph" w:styleId="Textodebloque">
    <w:name w:val="Block Text"/>
    <w:basedOn w:val="Normal"/>
    <w:uiPriority w:val="99"/>
    <w:rsid w:val="000210E1"/>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semiHidden/>
    <w:unhideWhenUsed/>
    <w:rsid w:val="000210E1"/>
    <w:pPr>
      <w:spacing w:after="120" w:line="480" w:lineRule="auto"/>
    </w:pPr>
  </w:style>
  <w:style w:type="character" w:customStyle="1" w:styleId="Textoindependiente2Car">
    <w:name w:val="Texto independiente 2 Car"/>
    <w:basedOn w:val="Fuentedeprrafopredeter"/>
    <w:link w:val="Textoindependiente2"/>
    <w:semiHidden/>
    <w:rsid w:val="000210E1"/>
    <w:rPr>
      <w:rFonts w:ascii="Times New Roman" w:eastAsia="Times New Roman" w:hAnsi="Times New Roman" w:cs="Times New Roman"/>
      <w:sz w:val="24"/>
      <w:szCs w:val="24"/>
      <w:lang w:eastAsia="es-ES"/>
    </w:rPr>
  </w:style>
  <w:style w:type="paragraph" w:styleId="Sinespaciado">
    <w:name w:val="No Spacing"/>
    <w:uiPriority w:val="1"/>
    <w:qFormat/>
    <w:rsid w:val="000210E1"/>
    <w:pPr>
      <w:spacing w:after="0" w:line="240" w:lineRule="auto"/>
    </w:pPr>
    <w:rPr>
      <w:rFonts w:ascii="Calibri" w:eastAsia="Times New Roman" w:hAnsi="Calibri" w:cs="Calibri"/>
    </w:rPr>
  </w:style>
  <w:style w:type="paragraph" w:styleId="Textocomentario">
    <w:name w:val="annotation text"/>
    <w:basedOn w:val="Normal"/>
    <w:link w:val="TextocomentarioCar"/>
    <w:uiPriority w:val="99"/>
    <w:semiHidden/>
    <w:rsid w:val="000210E1"/>
    <w:pPr>
      <w:ind w:left="0"/>
    </w:pPr>
    <w:rPr>
      <w:rFonts w:ascii="CG Times" w:hAnsi="CG Times"/>
      <w:sz w:val="20"/>
      <w:szCs w:val="20"/>
      <w:lang w:val="es-CO"/>
    </w:rPr>
  </w:style>
  <w:style w:type="character" w:customStyle="1" w:styleId="TextocomentarioCar">
    <w:name w:val="Texto comentario Car"/>
    <w:basedOn w:val="Fuentedeprrafopredeter"/>
    <w:link w:val="Textocomentario"/>
    <w:uiPriority w:val="99"/>
    <w:semiHidden/>
    <w:rsid w:val="000210E1"/>
    <w:rPr>
      <w:rFonts w:ascii="CG Times" w:eastAsia="Times New Roman" w:hAnsi="CG Times" w:cs="Times New Roman"/>
      <w:sz w:val="20"/>
      <w:szCs w:val="20"/>
      <w:lang w:val="es-CO" w:eastAsia="es-ES"/>
    </w:rPr>
  </w:style>
  <w:style w:type="paragraph" w:customStyle="1" w:styleId="xl27">
    <w:name w:val="xl27"/>
    <w:basedOn w:val="Normal"/>
    <w:rsid w:val="000210E1"/>
    <w:pPr>
      <w:spacing w:before="100" w:after="100"/>
      <w:ind w:left="0"/>
      <w:jc w:val="both"/>
    </w:pPr>
    <w:rPr>
      <w:rFonts w:ascii="Bookman Old Style" w:eastAsia="Arial Unicode MS" w:hAnsi="Bookman Old Style"/>
      <w:szCs w:val="20"/>
    </w:rPr>
  </w:style>
  <w:style w:type="paragraph" w:styleId="Cita">
    <w:name w:val="Quote"/>
    <w:basedOn w:val="Normal"/>
    <w:link w:val="CitaCar"/>
    <w:qFormat/>
    <w:rsid w:val="000210E1"/>
    <w:pPr>
      <w:ind w:left="708"/>
      <w:jc w:val="both"/>
    </w:pPr>
    <w:rPr>
      <w:rFonts w:ascii="Arial" w:hAnsi="Arial"/>
      <w:i/>
      <w:lang w:val="es-CO"/>
    </w:rPr>
  </w:style>
  <w:style w:type="character" w:customStyle="1" w:styleId="CitaCar">
    <w:name w:val="Cita Car"/>
    <w:basedOn w:val="Fuentedeprrafopredeter"/>
    <w:link w:val="Cita"/>
    <w:rsid w:val="000210E1"/>
    <w:rPr>
      <w:rFonts w:ascii="Arial" w:eastAsia="Times New Roman" w:hAnsi="Arial" w:cs="Times New Roman"/>
      <w:i/>
      <w:sz w:val="24"/>
      <w:szCs w:val="24"/>
      <w:lang w:val="es-CO" w:eastAsia="es-ES"/>
    </w:rPr>
  </w:style>
  <w:style w:type="paragraph" w:styleId="Piedepgina">
    <w:name w:val="footer"/>
    <w:basedOn w:val="Normal"/>
    <w:link w:val="PiedepginaCar"/>
    <w:uiPriority w:val="99"/>
    <w:unhideWhenUsed/>
    <w:rsid w:val="000611CC"/>
    <w:pPr>
      <w:tabs>
        <w:tab w:val="center" w:pos="4252"/>
        <w:tab w:val="right" w:pos="8504"/>
      </w:tabs>
    </w:pPr>
  </w:style>
  <w:style w:type="character" w:customStyle="1" w:styleId="PiedepginaCar">
    <w:name w:val="Pie de página Car"/>
    <w:basedOn w:val="Fuentedeprrafopredeter"/>
    <w:link w:val="Piedepgina"/>
    <w:uiPriority w:val="99"/>
    <w:rsid w:val="000611CC"/>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rsid w:val="002D4476"/>
    <w:pPr>
      <w:ind w:left="0"/>
    </w:pPr>
    <w:rPr>
      <w:rFonts w:eastAsia="SimSun"/>
      <w:sz w:val="20"/>
      <w:szCs w:val="20"/>
      <w:lang w:val="es-CO" w:eastAsia="zh-CN"/>
    </w:rPr>
  </w:style>
  <w:style w:type="character" w:customStyle="1" w:styleId="TextonotapieCar">
    <w:name w:val="Texto nota pie Car"/>
    <w:basedOn w:val="Fuentedeprrafopredeter"/>
    <w:link w:val="Textonotapie"/>
    <w:uiPriority w:val="99"/>
    <w:semiHidden/>
    <w:rsid w:val="002D4476"/>
    <w:rPr>
      <w:rFonts w:ascii="Times New Roman" w:eastAsia="SimSun" w:hAnsi="Times New Roman" w:cs="Times New Roman"/>
      <w:sz w:val="20"/>
      <w:szCs w:val="20"/>
      <w:lang w:val="es-CO" w:eastAsia="zh-CN"/>
    </w:rPr>
  </w:style>
  <w:style w:type="character" w:styleId="Refdenotaalpie">
    <w:name w:val="footnote reference"/>
    <w:basedOn w:val="Fuentedeprrafopredeter"/>
    <w:uiPriority w:val="99"/>
    <w:semiHidden/>
    <w:rsid w:val="002D4476"/>
    <w:rPr>
      <w:vertAlign w:val="superscript"/>
    </w:rPr>
  </w:style>
  <w:style w:type="character" w:styleId="MquinadeescribirHTML">
    <w:name w:val="HTML Typewriter"/>
    <w:basedOn w:val="Fuentedeprrafopredeter"/>
    <w:uiPriority w:val="99"/>
    <w:semiHidden/>
    <w:unhideWhenUsed/>
    <w:rsid w:val="002D4476"/>
    <w:rPr>
      <w:rFonts w:ascii="Courier New" w:eastAsia="Times New Roman" w:hAnsi="Courier New" w:cs="Courier New"/>
      <w:sz w:val="20"/>
      <w:szCs w:val="20"/>
    </w:rPr>
  </w:style>
  <w:style w:type="paragraph" w:customStyle="1" w:styleId="normaljustificado">
    <w:name w:val="normaljustificado"/>
    <w:basedOn w:val="Normal"/>
    <w:rsid w:val="006527A1"/>
    <w:pPr>
      <w:spacing w:before="100" w:beforeAutospacing="1" w:after="100" w:afterAutospacing="1"/>
      <w:ind w:left="0"/>
    </w:pPr>
  </w:style>
  <w:style w:type="paragraph" w:styleId="Textonotaalfinal">
    <w:name w:val="endnote text"/>
    <w:basedOn w:val="Normal"/>
    <w:link w:val="TextonotaalfinalCar"/>
    <w:uiPriority w:val="99"/>
    <w:semiHidden/>
    <w:unhideWhenUsed/>
    <w:rsid w:val="00D45FC8"/>
    <w:rPr>
      <w:sz w:val="20"/>
      <w:szCs w:val="20"/>
    </w:rPr>
  </w:style>
  <w:style w:type="character" w:customStyle="1" w:styleId="TextonotaalfinalCar">
    <w:name w:val="Texto nota al final Car"/>
    <w:basedOn w:val="Fuentedeprrafopredeter"/>
    <w:link w:val="Textonotaalfinal"/>
    <w:uiPriority w:val="99"/>
    <w:semiHidden/>
    <w:rsid w:val="00D45F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D45FC8"/>
    <w:rPr>
      <w:vertAlign w:val="superscript"/>
    </w:rPr>
  </w:style>
  <w:style w:type="paragraph" w:customStyle="1" w:styleId="Textodebloque1">
    <w:name w:val="Texto de bloque1"/>
    <w:basedOn w:val="Normal"/>
    <w:rsid w:val="00B72C1A"/>
    <w:pPr>
      <w:overflowPunct w:val="0"/>
      <w:autoSpaceDE w:val="0"/>
      <w:autoSpaceDN w:val="0"/>
      <w:adjustRightInd w:val="0"/>
      <w:ind w:left="561" w:right="561"/>
      <w:jc w:val="both"/>
      <w:textAlignment w:val="baseline"/>
    </w:pPr>
    <w:rPr>
      <w:sz w:val="20"/>
      <w:szCs w:val="20"/>
    </w:rPr>
  </w:style>
  <w:style w:type="paragraph" w:styleId="NormalWeb">
    <w:name w:val="Normal (Web)"/>
    <w:basedOn w:val="Normal"/>
    <w:uiPriority w:val="99"/>
    <w:semiHidden/>
    <w:unhideWhenUsed/>
    <w:rsid w:val="004A6325"/>
    <w:pPr>
      <w:spacing w:before="100" w:beforeAutospacing="1" w:after="100" w:afterAutospacing="1"/>
      <w:ind w:left="0"/>
    </w:pPr>
    <w:rPr>
      <w:color w:val="000000"/>
    </w:rPr>
  </w:style>
  <w:style w:type="paragraph" w:styleId="Textodeglobo">
    <w:name w:val="Balloon Text"/>
    <w:basedOn w:val="Normal"/>
    <w:link w:val="TextodegloboCar"/>
    <w:uiPriority w:val="99"/>
    <w:semiHidden/>
    <w:unhideWhenUsed/>
    <w:rsid w:val="00AF7AD4"/>
    <w:rPr>
      <w:rFonts w:ascii="Tahoma" w:hAnsi="Tahoma" w:cs="Tahoma"/>
      <w:sz w:val="16"/>
      <w:szCs w:val="16"/>
    </w:rPr>
  </w:style>
  <w:style w:type="character" w:customStyle="1" w:styleId="TextodegloboCar">
    <w:name w:val="Texto de globo Car"/>
    <w:basedOn w:val="Fuentedeprrafopredeter"/>
    <w:link w:val="Textodeglobo"/>
    <w:uiPriority w:val="99"/>
    <w:semiHidden/>
    <w:rsid w:val="00AF7AD4"/>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AF7AD4"/>
    <w:rPr>
      <w:sz w:val="16"/>
      <w:szCs w:val="16"/>
    </w:rPr>
  </w:style>
  <w:style w:type="paragraph" w:styleId="Asuntodelcomentario">
    <w:name w:val="annotation subject"/>
    <w:basedOn w:val="Textocomentario"/>
    <w:next w:val="Textocomentario"/>
    <w:link w:val="AsuntodelcomentarioCar"/>
    <w:uiPriority w:val="99"/>
    <w:semiHidden/>
    <w:unhideWhenUsed/>
    <w:rsid w:val="00AF7AD4"/>
    <w:pPr>
      <w:ind w:left="567"/>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AF7AD4"/>
    <w:rPr>
      <w:rFonts w:ascii="Times New Roman" w:eastAsia="Times New Roman" w:hAnsi="Times New Roman" w:cs="Times New Roman"/>
      <w:b/>
      <w:bCs/>
      <w:sz w:val="20"/>
      <w:szCs w:val="20"/>
      <w:lang w:val="es-CO" w:eastAsia="es-ES"/>
    </w:rPr>
  </w:style>
  <w:style w:type="paragraph" w:styleId="Revisin">
    <w:name w:val="Revision"/>
    <w:hidden/>
    <w:uiPriority w:val="99"/>
    <w:semiHidden/>
    <w:rsid w:val="0046125D"/>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0E1"/>
    <w:pPr>
      <w:spacing w:after="0" w:line="240" w:lineRule="auto"/>
      <w:ind w:left="567"/>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0210E1"/>
    <w:pPr>
      <w:keepNext/>
      <w:jc w:val="center"/>
      <w:outlineLvl w:val="0"/>
    </w:pPr>
    <w:rPr>
      <w:rFonts w:ascii="CG Times" w:hAnsi="CG Times"/>
      <w:b/>
      <w:szCs w:val="20"/>
      <w:lang w:val="es-CO"/>
    </w:rPr>
  </w:style>
  <w:style w:type="paragraph" w:styleId="Ttulo2">
    <w:name w:val="heading 2"/>
    <w:basedOn w:val="Normal"/>
    <w:next w:val="Normal"/>
    <w:link w:val="Ttulo2Car"/>
    <w:uiPriority w:val="9"/>
    <w:semiHidden/>
    <w:unhideWhenUsed/>
    <w:qFormat/>
    <w:rsid w:val="000210E1"/>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0210E1"/>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0210E1"/>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0210E1"/>
    <w:pPr>
      <w:keepNext/>
      <w:jc w:val="center"/>
      <w:outlineLvl w:val="4"/>
    </w:pPr>
    <w:rPr>
      <w:rFonts w:ascii="Arial" w:hAnsi="Arial" w:cs="Arial"/>
      <w:b/>
      <w:snapToGrid w:val="0"/>
      <w:color w:val="000000"/>
      <w:spacing w:val="20"/>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210E1"/>
    <w:rPr>
      <w:rFonts w:ascii="CG Times" w:eastAsia="Times New Roman" w:hAnsi="CG Times" w:cs="Times New Roman"/>
      <w:b/>
      <w:sz w:val="24"/>
      <w:szCs w:val="20"/>
      <w:lang w:val="es-CO" w:eastAsia="es-ES"/>
    </w:rPr>
  </w:style>
  <w:style w:type="character" w:customStyle="1" w:styleId="Ttulo2Car">
    <w:name w:val="Título 2 Car"/>
    <w:basedOn w:val="Fuentedeprrafopredeter"/>
    <w:link w:val="Ttulo2"/>
    <w:uiPriority w:val="9"/>
    <w:semiHidden/>
    <w:rsid w:val="000210E1"/>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rsid w:val="000210E1"/>
    <w:rPr>
      <w:rFonts w:ascii="CG Times" w:eastAsia="Times New Roman" w:hAnsi="CG Times" w:cs="Times New Roman"/>
      <w:b/>
      <w:snapToGrid w:val="0"/>
      <w:color w:val="000000"/>
      <w:sz w:val="24"/>
      <w:szCs w:val="20"/>
      <w:lang w:val="es-ES_tradnl" w:eastAsia="es-ES"/>
    </w:rPr>
  </w:style>
  <w:style w:type="character" w:customStyle="1" w:styleId="Ttulo4Car">
    <w:name w:val="Título 4 Car"/>
    <w:basedOn w:val="Fuentedeprrafopredeter"/>
    <w:link w:val="Ttulo4"/>
    <w:rsid w:val="000210E1"/>
    <w:rPr>
      <w:rFonts w:ascii="Arial" w:eastAsia="Times New Roman" w:hAnsi="Arial" w:cs="Arial"/>
      <w:b/>
      <w:snapToGrid w:val="0"/>
      <w:color w:val="000000"/>
      <w:spacing w:val="20"/>
      <w:sz w:val="20"/>
      <w:szCs w:val="20"/>
      <w:lang w:val="es-ES_tradnl" w:eastAsia="es-ES"/>
    </w:rPr>
  </w:style>
  <w:style w:type="character" w:customStyle="1" w:styleId="Ttulo5Car">
    <w:name w:val="Título 5 Car"/>
    <w:basedOn w:val="Fuentedeprrafopredeter"/>
    <w:link w:val="Ttulo5"/>
    <w:rsid w:val="000210E1"/>
    <w:rPr>
      <w:rFonts w:ascii="Arial" w:eastAsia="Times New Roman" w:hAnsi="Arial" w:cs="Arial"/>
      <w:b/>
      <w:snapToGrid w:val="0"/>
      <w:color w:val="000000"/>
      <w:spacing w:val="20"/>
      <w:sz w:val="28"/>
      <w:szCs w:val="20"/>
      <w:lang w:val="es-ES_tradnl" w:eastAsia="es-ES"/>
    </w:rPr>
  </w:style>
  <w:style w:type="paragraph" w:styleId="Encabezado">
    <w:name w:val="header"/>
    <w:basedOn w:val="Normal"/>
    <w:link w:val="EncabezadoCar"/>
    <w:uiPriority w:val="99"/>
    <w:rsid w:val="000210E1"/>
    <w:pPr>
      <w:tabs>
        <w:tab w:val="center" w:pos="4252"/>
        <w:tab w:val="right" w:pos="8504"/>
      </w:tabs>
    </w:pPr>
    <w:rPr>
      <w:rFonts w:ascii="CG Times" w:hAnsi="CG Times"/>
      <w:szCs w:val="20"/>
      <w:lang w:val="es-CO"/>
    </w:rPr>
  </w:style>
  <w:style w:type="character" w:customStyle="1" w:styleId="EncabezadoCar">
    <w:name w:val="Encabezado Car"/>
    <w:basedOn w:val="Fuentedeprrafopredeter"/>
    <w:link w:val="Encabezado"/>
    <w:uiPriority w:val="99"/>
    <w:rsid w:val="000210E1"/>
    <w:rPr>
      <w:rFonts w:ascii="CG Times" w:eastAsia="Times New Roman" w:hAnsi="CG Times" w:cs="Times New Roman"/>
      <w:sz w:val="24"/>
      <w:szCs w:val="20"/>
      <w:lang w:val="es-CO" w:eastAsia="es-ES"/>
    </w:rPr>
  </w:style>
  <w:style w:type="paragraph" w:styleId="Textoindependiente">
    <w:name w:val="Body Text"/>
    <w:basedOn w:val="Normal"/>
    <w:link w:val="TextoindependienteCar"/>
    <w:uiPriority w:val="99"/>
    <w:semiHidden/>
    <w:rsid w:val="000210E1"/>
    <w:pPr>
      <w:jc w:val="center"/>
    </w:pPr>
    <w:rPr>
      <w:rFonts w:ascii="Arial" w:hAnsi="Arial" w:cs="Arial"/>
      <w:b/>
      <w:bCs/>
    </w:rPr>
  </w:style>
  <w:style w:type="character" w:customStyle="1" w:styleId="TextoindependienteCar">
    <w:name w:val="Texto independiente Car"/>
    <w:basedOn w:val="Fuentedeprrafopredeter"/>
    <w:link w:val="Textoindependiente"/>
    <w:uiPriority w:val="99"/>
    <w:semiHidden/>
    <w:rsid w:val="000210E1"/>
    <w:rPr>
      <w:rFonts w:ascii="Arial" w:eastAsia="Times New Roman" w:hAnsi="Arial" w:cs="Arial"/>
      <w:b/>
      <w:bCs/>
      <w:sz w:val="24"/>
      <w:szCs w:val="24"/>
      <w:lang w:eastAsia="es-ES"/>
    </w:rPr>
  </w:style>
  <w:style w:type="paragraph" w:styleId="Prrafodelista">
    <w:name w:val="List Paragraph"/>
    <w:basedOn w:val="Normal"/>
    <w:link w:val="PrrafodelistaCar"/>
    <w:uiPriority w:val="34"/>
    <w:qFormat/>
    <w:rsid w:val="000210E1"/>
    <w:pPr>
      <w:ind w:left="708"/>
    </w:pPr>
    <w:rPr>
      <w:sz w:val="20"/>
      <w:szCs w:val="20"/>
      <w:lang w:val="es-CO"/>
    </w:rPr>
  </w:style>
  <w:style w:type="character" w:customStyle="1" w:styleId="PrrafodelistaCar">
    <w:name w:val="Párrafo de lista Car"/>
    <w:basedOn w:val="Fuentedeprrafopredeter"/>
    <w:link w:val="Prrafodelista"/>
    <w:uiPriority w:val="34"/>
    <w:rsid w:val="000210E1"/>
    <w:rPr>
      <w:rFonts w:ascii="Times New Roman" w:eastAsia="Times New Roman" w:hAnsi="Times New Roman" w:cs="Times New Roman"/>
      <w:sz w:val="20"/>
      <w:szCs w:val="20"/>
      <w:lang w:val="es-CO" w:eastAsia="es-ES"/>
    </w:rPr>
  </w:style>
  <w:style w:type="paragraph" w:styleId="Textodebloque">
    <w:name w:val="Block Text"/>
    <w:basedOn w:val="Normal"/>
    <w:uiPriority w:val="99"/>
    <w:rsid w:val="000210E1"/>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semiHidden/>
    <w:unhideWhenUsed/>
    <w:rsid w:val="000210E1"/>
    <w:pPr>
      <w:spacing w:after="120" w:line="480" w:lineRule="auto"/>
    </w:pPr>
  </w:style>
  <w:style w:type="character" w:customStyle="1" w:styleId="Textoindependiente2Car">
    <w:name w:val="Texto independiente 2 Car"/>
    <w:basedOn w:val="Fuentedeprrafopredeter"/>
    <w:link w:val="Textoindependiente2"/>
    <w:semiHidden/>
    <w:rsid w:val="000210E1"/>
    <w:rPr>
      <w:rFonts w:ascii="Times New Roman" w:eastAsia="Times New Roman" w:hAnsi="Times New Roman" w:cs="Times New Roman"/>
      <w:sz w:val="24"/>
      <w:szCs w:val="24"/>
      <w:lang w:eastAsia="es-ES"/>
    </w:rPr>
  </w:style>
  <w:style w:type="paragraph" w:styleId="Sinespaciado">
    <w:name w:val="No Spacing"/>
    <w:uiPriority w:val="1"/>
    <w:qFormat/>
    <w:rsid w:val="000210E1"/>
    <w:pPr>
      <w:spacing w:after="0" w:line="240" w:lineRule="auto"/>
    </w:pPr>
    <w:rPr>
      <w:rFonts w:ascii="Calibri" w:eastAsia="Times New Roman" w:hAnsi="Calibri" w:cs="Calibri"/>
    </w:rPr>
  </w:style>
  <w:style w:type="paragraph" w:styleId="Textocomentario">
    <w:name w:val="annotation text"/>
    <w:basedOn w:val="Normal"/>
    <w:link w:val="TextocomentarioCar"/>
    <w:uiPriority w:val="99"/>
    <w:semiHidden/>
    <w:rsid w:val="000210E1"/>
    <w:pPr>
      <w:ind w:left="0"/>
    </w:pPr>
    <w:rPr>
      <w:rFonts w:ascii="CG Times" w:hAnsi="CG Times"/>
      <w:sz w:val="20"/>
      <w:szCs w:val="20"/>
      <w:lang w:val="es-CO"/>
    </w:rPr>
  </w:style>
  <w:style w:type="character" w:customStyle="1" w:styleId="TextocomentarioCar">
    <w:name w:val="Texto comentario Car"/>
    <w:basedOn w:val="Fuentedeprrafopredeter"/>
    <w:link w:val="Textocomentario"/>
    <w:uiPriority w:val="99"/>
    <w:semiHidden/>
    <w:rsid w:val="000210E1"/>
    <w:rPr>
      <w:rFonts w:ascii="CG Times" w:eastAsia="Times New Roman" w:hAnsi="CG Times" w:cs="Times New Roman"/>
      <w:sz w:val="20"/>
      <w:szCs w:val="20"/>
      <w:lang w:val="es-CO" w:eastAsia="es-ES"/>
    </w:rPr>
  </w:style>
  <w:style w:type="paragraph" w:customStyle="1" w:styleId="xl27">
    <w:name w:val="xl27"/>
    <w:basedOn w:val="Normal"/>
    <w:rsid w:val="000210E1"/>
    <w:pPr>
      <w:spacing w:before="100" w:after="100"/>
      <w:ind w:left="0"/>
      <w:jc w:val="both"/>
    </w:pPr>
    <w:rPr>
      <w:rFonts w:ascii="Bookman Old Style" w:eastAsia="Arial Unicode MS" w:hAnsi="Bookman Old Style"/>
      <w:szCs w:val="20"/>
    </w:rPr>
  </w:style>
  <w:style w:type="paragraph" w:styleId="Cita">
    <w:name w:val="Quote"/>
    <w:basedOn w:val="Normal"/>
    <w:link w:val="CitaCar"/>
    <w:qFormat/>
    <w:rsid w:val="000210E1"/>
    <w:pPr>
      <w:ind w:left="708"/>
      <w:jc w:val="both"/>
    </w:pPr>
    <w:rPr>
      <w:rFonts w:ascii="Arial" w:hAnsi="Arial"/>
      <w:i/>
      <w:lang w:val="es-CO"/>
    </w:rPr>
  </w:style>
  <w:style w:type="character" w:customStyle="1" w:styleId="CitaCar">
    <w:name w:val="Cita Car"/>
    <w:basedOn w:val="Fuentedeprrafopredeter"/>
    <w:link w:val="Cita"/>
    <w:rsid w:val="000210E1"/>
    <w:rPr>
      <w:rFonts w:ascii="Arial" w:eastAsia="Times New Roman" w:hAnsi="Arial" w:cs="Times New Roman"/>
      <w:i/>
      <w:sz w:val="24"/>
      <w:szCs w:val="24"/>
      <w:lang w:val="es-CO" w:eastAsia="es-ES"/>
    </w:rPr>
  </w:style>
  <w:style w:type="paragraph" w:styleId="Piedepgina">
    <w:name w:val="footer"/>
    <w:basedOn w:val="Normal"/>
    <w:link w:val="PiedepginaCar"/>
    <w:uiPriority w:val="99"/>
    <w:unhideWhenUsed/>
    <w:rsid w:val="000611CC"/>
    <w:pPr>
      <w:tabs>
        <w:tab w:val="center" w:pos="4252"/>
        <w:tab w:val="right" w:pos="8504"/>
      </w:tabs>
    </w:pPr>
  </w:style>
  <w:style w:type="character" w:customStyle="1" w:styleId="PiedepginaCar">
    <w:name w:val="Pie de página Car"/>
    <w:basedOn w:val="Fuentedeprrafopredeter"/>
    <w:link w:val="Piedepgina"/>
    <w:uiPriority w:val="99"/>
    <w:rsid w:val="000611CC"/>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rsid w:val="002D4476"/>
    <w:pPr>
      <w:ind w:left="0"/>
    </w:pPr>
    <w:rPr>
      <w:rFonts w:eastAsia="SimSun"/>
      <w:sz w:val="20"/>
      <w:szCs w:val="20"/>
      <w:lang w:val="es-CO" w:eastAsia="zh-CN"/>
    </w:rPr>
  </w:style>
  <w:style w:type="character" w:customStyle="1" w:styleId="TextonotapieCar">
    <w:name w:val="Texto nota pie Car"/>
    <w:basedOn w:val="Fuentedeprrafopredeter"/>
    <w:link w:val="Textonotapie"/>
    <w:uiPriority w:val="99"/>
    <w:semiHidden/>
    <w:rsid w:val="002D4476"/>
    <w:rPr>
      <w:rFonts w:ascii="Times New Roman" w:eastAsia="SimSun" w:hAnsi="Times New Roman" w:cs="Times New Roman"/>
      <w:sz w:val="20"/>
      <w:szCs w:val="20"/>
      <w:lang w:val="es-CO" w:eastAsia="zh-CN"/>
    </w:rPr>
  </w:style>
  <w:style w:type="character" w:styleId="Refdenotaalpie">
    <w:name w:val="footnote reference"/>
    <w:basedOn w:val="Fuentedeprrafopredeter"/>
    <w:uiPriority w:val="99"/>
    <w:semiHidden/>
    <w:rsid w:val="002D4476"/>
    <w:rPr>
      <w:vertAlign w:val="superscript"/>
    </w:rPr>
  </w:style>
  <w:style w:type="character" w:styleId="MquinadeescribirHTML">
    <w:name w:val="HTML Typewriter"/>
    <w:basedOn w:val="Fuentedeprrafopredeter"/>
    <w:uiPriority w:val="99"/>
    <w:semiHidden/>
    <w:unhideWhenUsed/>
    <w:rsid w:val="002D4476"/>
    <w:rPr>
      <w:rFonts w:ascii="Courier New" w:eastAsia="Times New Roman" w:hAnsi="Courier New" w:cs="Courier New"/>
      <w:sz w:val="20"/>
      <w:szCs w:val="20"/>
    </w:rPr>
  </w:style>
  <w:style w:type="paragraph" w:customStyle="1" w:styleId="normaljustificado">
    <w:name w:val="normaljustificado"/>
    <w:basedOn w:val="Normal"/>
    <w:rsid w:val="006527A1"/>
    <w:pPr>
      <w:spacing w:before="100" w:beforeAutospacing="1" w:after="100" w:afterAutospacing="1"/>
      <w:ind w:left="0"/>
    </w:pPr>
  </w:style>
  <w:style w:type="paragraph" w:styleId="Textonotaalfinal">
    <w:name w:val="endnote text"/>
    <w:basedOn w:val="Normal"/>
    <w:link w:val="TextonotaalfinalCar"/>
    <w:uiPriority w:val="99"/>
    <w:semiHidden/>
    <w:unhideWhenUsed/>
    <w:rsid w:val="00D45FC8"/>
    <w:rPr>
      <w:sz w:val="20"/>
      <w:szCs w:val="20"/>
    </w:rPr>
  </w:style>
  <w:style w:type="character" w:customStyle="1" w:styleId="TextonotaalfinalCar">
    <w:name w:val="Texto nota al final Car"/>
    <w:basedOn w:val="Fuentedeprrafopredeter"/>
    <w:link w:val="Textonotaalfinal"/>
    <w:uiPriority w:val="99"/>
    <w:semiHidden/>
    <w:rsid w:val="00D45F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D45FC8"/>
    <w:rPr>
      <w:vertAlign w:val="superscript"/>
    </w:rPr>
  </w:style>
  <w:style w:type="paragraph" w:customStyle="1" w:styleId="Textodebloque1">
    <w:name w:val="Texto de bloque1"/>
    <w:basedOn w:val="Normal"/>
    <w:rsid w:val="00B72C1A"/>
    <w:pPr>
      <w:overflowPunct w:val="0"/>
      <w:autoSpaceDE w:val="0"/>
      <w:autoSpaceDN w:val="0"/>
      <w:adjustRightInd w:val="0"/>
      <w:ind w:left="561" w:right="561"/>
      <w:jc w:val="both"/>
      <w:textAlignment w:val="baseline"/>
    </w:pPr>
    <w:rPr>
      <w:sz w:val="20"/>
      <w:szCs w:val="20"/>
    </w:rPr>
  </w:style>
  <w:style w:type="paragraph" w:styleId="NormalWeb">
    <w:name w:val="Normal (Web)"/>
    <w:basedOn w:val="Normal"/>
    <w:uiPriority w:val="99"/>
    <w:semiHidden/>
    <w:unhideWhenUsed/>
    <w:rsid w:val="004A6325"/>
    <w:pPr>
      <w:spacing w:before="100" w:beforeAutospacing="1" w:after="100" w:afterAutospacing="1"/>
      <w:ind w:left="0"/>
    </w:pPr>
    <w:rPr>
      <w:color w:val="000000"/>
    </w:rPr>
  </w:style>
  <w:style w:type="paragraph" w:styleId="Textodeglobo">
    <w:name w:val="Balloon Text"/>
    <w:basedOn w:val="Normal"/>
    <w:link w:val="TextodegloboCar"/>
    <w:uiPriority w:val="99"/>
    <w:semiHidden/>
    <w:unhideWhenUsed/>
    <w:rsid w:val="00AF7AD4"/>
    <w:rPr>
      <w:rFonts w:ascii="Tahoma" w:hAnsi="Tahoma" w:cs="Tahoma"/>
      <w:sz w:val="16"/>
      <w:szCs w:val="16"/>
    </w:rPr>
  </w:style>
  <w:style w:type="character" w:customStyle="1" w:styleId="TextodegloboCar">
    <w:name w:val="Texto de globo Car"/>
    <w:basedOn w:val="Fuentedeprrafopredeter"/>
    <w:link w:val="Textodeglobo"/>
    <w:uiPriority w:val="99"/>
    <w:semiHidden/>
    <w:rsid w:val="00AF7AD4"/>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AF7AD4"/>
    <w:rPr>
      <w:sz w:val="16"/>
      <w:szCs w:val="16"/>
    </w:rPr>
  </w:style>
  <w:style w:type="paragraph" w:styleId="Asuntodelcomentario">
    <w:name w:val="annotation subject"/>
    <w:basedOn w:val="Textocomentario"/>
    <w:next w:val="Textocomentario"/>
    <w:link w:val="AsuntodelcomentarioCar"/>
    <w:uiPriority w:val="99"/>
    <w:semiHidden/>
    <w:unhideWhenUsed/>
    <w:rsid w:val="00AF7AD4"/>
    <w:pPr>
      <w:ind w:left="567"/>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AF7AD4"/>
    <w:rPr>
      <w:rFonts w:ascii="Times New Roman" w:eastAsia="Times New Roman" w:hAnsi="Times New Roman" w:cs="Times New Roman"/>
      <w:b/>
      <w:bCs/>
      <w:sz w:val="20"/>
      <w:szCs w:val="20"/>
      <w:lang w:val="es-CO" w:eastAsia="es-ES"/>
    </w:rPr>
  </w:style>
  <w:style w:type="paragraph" w:styleId="Revisin">
    <w:name w:val="Revision"/>
    <w:hidden/>
    <w:uiPriority w:val="99"/>
    <w:semiHidden/>
    <w:rsid w:val="0046125D"/>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3648">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706830671">
          <w:marLeft w:val="0"/>
          <w:marRight w:val="0"/>
          <w:marTop w:val="0"/>
          <w:marBottom w:val="0"/>
          <w:divBdr>
            <w:top w:val="none" w:sz="0" w:space="0" w:color="auto"/>
            <w:left w:val="none" w:sz="0" w:space="0" w:color="auto"/>
            <w:bottom w:val="none" w:sz="0" w:space="0" w:color="auto"/>
            <w:right w:val="none" w:sz="0" w:space="0" w:color="auto"/>
          </w:divBdr>
        </w:div>
      </w:divsChild>
    </w:div>
    <w:div w:id="1702708222">
      <w:bodyDiv w:val="1"/>
      <w:marLeft w:val="0"/>
      <w:marRight w:val="0"/>
      <w:marTop w:val="0"/>
      <w:marBottom w:val="0"/>
      <w:divBdr>
        <w:top w:val="none" w:sz="0" w:space="0" w:color="auto"/>
        <w:left w:val="none" w:sz="0" w:space="0" w:color="auto"/>
        <w:bottom w:val="none" w:sz="0" w:space="0" w:color="auto"/>
        <w:right w:val="none" w:sz="0" w:space="0" w:color="auto"/>
      </w:divBdr>
    </w:div>
    <w:div w:id="194576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05780-A913-4A6C-844C-B2EA05E6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4677</Words>
  <Characters>25727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30344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fjchaux</dc:creator>
  <cp:lastModifiedBy>Luz Stella Rojas Macias</cp:lastModifiedBy>
  <cp:revision>2</cp:revision>
  <cp:lastPrinted>2012-05-11T17:05:00Z</cp:lastPrinted>
  <dcterms:created xsi:type="dcterms:W3CDTF">2012-05-17T22:20:00Z</dcterms:created>
  <dcterms:modified xsi:type="dcterms:W3CDTF">2012-05-17T22:20:00Z</dcterms:modified>
</cp:coreProperties>
</file>