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6B5" w:rsidRPr="00012259" w:rsidRDefault="001350B2" w:rsidP="001376B5">
      <w:pPr>
        <w:pStyle w:val="Encabezado"/>
        <w:tabs>
          <w:tab w:val="clear" w:pos="8504"/>
          <w:tab w:val="left" w:pos="0"/>
          <w:tab w:val="right" w:pos="9356"/>
        </w:tabs>
        <w:ind w:left="0"/>
        <w:jc w:val="both"/>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15pt;margin-top:-53.35pt;width:52.5pt;height:48.75pt;z-index:251660288" fillcolor="#0c9">
            <v:imagedata r:id="rId9" o:title=""/>
          </v:shape>
          <o:OLEObject Type="Embed" ProgID="PBrush" ShapeID="_x0000_s1026" DrawAspect="Content" ObjectID="_1358950085" r:id="rId10"/>
        </w:pict>
      </w:r>
    </w:p>
    <w:p w:rsidR="001376B5" w:rsidRPr="00012259" w:rsidRDefault="001376B5" w:rsidP="001376B5">
      <w:pPr>
        <w:pStyle w:val="Encabezado"/>
        <w:tabs>
          <w:tab w:val="clear" w:pos="8504"/>
          <w:tab w:val="left" w:pos="0"/>
          <w:tab w:val="right" w:pos="9356"/>
        </w:tabs>
        <w:ind w:left="0"/>
        <w:jc w:val="both"/>
        <w:rPr>
          <w:rFonts w:ascii="Bookman Old Style" w:hAnsi="Bookman Old Style"/>
          <w:szCs w:val="24"/>
        </w:rPr>
      </w:pPr>
    </w:p>
    <w:p w:rsidR="001376B5" w:rsidRPr="00012259" w:rsidRDefault="001376B5" w:rsidP="001376B5">
      <w:pPr>
        <w:pStyle w:val="Ttulo4"/>
        <w:tabs>
          <w:tab w:val="left" w:pos="0"/>
          <w:tab w:val="right" w:pos="9356"/>
        </w:tabs>
        <w:ind w:left="0"/>
        <w:rPr>
          <w:rFonts w:ascii="Bookman Old Style" w:hAnsi="Bookman Old Style"/>
          <w:b w:val="0"/>
          <w:bCs/>
          <w:noProof/>
          <w:sz w:val="24"/>
          <w:szCs w:val="24"/>
          <w:lang w:val="es-ES"/>
        </w:rPr>
      </w:pPr>
      <w:r w:rsidRPr="00012259">
        <w:rPr>
          <w:rFonts w:ascii="Bookman Old Style" w:hAnsi="Bookman Old Style"/>
          <w:b w:val="0"/>
          <w:bCs/>
          <w:sz w:val="24"/>
          <w:szCs w:val="24"/>
        </w:rPr>
        <w:t>Ministerio de Minas y Energía</w:t>
      </w:r>
    </w:p>
    <w:p w:rsidR="001376B5" w:rsidRPr="00012259" w:rsidRDefault="001376B5" w:rsidP="001376B5">
      <w:pPr>
        <w:pStyle w:val="Ttulo4"/>
        <w:tabs>
          <w:tab w:val="left" w:pos="0"/>
          <w:tab w:val="right" w:pos="9356"/>
        </w:tabs>
        <w:ind w:left="0"/>
        <w:rPr>
          <w:rFonts w:ascii="Bookman Old Style" w:hAnsi="Bookman Old Style"/>
          <w:b w:val="0"/>
          <w:bCs/>
          <w:sz w:val="24"/>
          <w:szCs w:val="24"/>
        </w:rPr>
      </w:pPr>
    </w:p>
    <w:p w:rsidR="001376B5" w:rsidRPr="00012259" w:rsidRDefault="001376B5" w:rsidP="001376B5">
      <w:pPr>
        <w:pStyle w:val="Ttulo3"/>
        <w:tabs>
          <w:tab w:val="left" w:pos="0"/>
          <w:tab w:val="right" w:pos="9356"/>
        </w:tabs>
        <w:ind w:left="0"/>
        <w:rPr>
          <w:rFonts w:ascii="Bookman Old Style" w:hAnsi="Bookman Old Style" w:cs="Arial"/>
          <w:spacing w:val="20"/>
          <w:szCs w:val="24"/>
        </w:rPr>
      </w:pPr>
      <w:r w:rsidRPr="00012259">
        <w:rPr>
          <w:rFonts w:ascii="Bookman Old Style" w:hAnsi="Bookman Old Style" w:cs="Arial"/>
          <w:spacing w:val="20"/>
          <w:szCs w:val="24"/>
        </w:rPr>
        <w:t>COMISIÓN DE REGULACIÓN DE ENERGÍA Y GAS</w:t>
      </w:r>
    </w:p>
    <w:p w:rsidR="001376B5" w:rsidRPr="00012259" w:rsidRDefault="001376B5" w:rsidP="001376B5">
      <w:pPr>
        <w:pStyle w:val="Ttulo5"/>
        <w:tabs>
          <w:tab w:val="left" w:pos="0"/>
          <w:tab w:val="right" w:pos="9356"/>
        </w:tabs>
        <w:ind w:left="0"/>
        <w:rPr>
          <w:rFonts w:ascii="Bookman Old Style" w:hAnsi="Bookman Old Style"/>
          <w:sz w:val="24"/>
          <w:szCs w:val="24"/>
        </w:rPr>
      </w:pPr>
    </w:p>
    <w:p w:rsidR="001376B5" w:rsidRPr="00012259" w:rsidRDefault="001376B5" w:rsidP="001376B5">
      <w:pPr>
        <w:pStyle w:val="Ttulo5"/>
        <w:tabs>
          <w:tab w:val="left" w:pos="0"/>
          <w:tab w:val="right" w:pos="9356"/>
        </w:tabs>
        <w:ind w:left="0"/>
        <w:rPr>
          <w:rFonts w:ascii="Bookman Old Style" w:hAnsi="Bookman Old Style"/>
          <w:sz w:val="24"/>
          <w:szCs w:val="24"/>
        </w:rPr>
      </w:pPr>
    </w:p>
    <w:p w:rsidR="001376B5" w:rsidRPr="00012259" w:rsidRDefault="001376B5" w:rsidP="001376B5">
      <w:pPr>
        <w:pStyle w:val="Ttulo5"/>
        <w:tabs>
          <w:tab w:val="left" w:pos="0"/>
          <w:tab w:val="right" w:pos="9356"/>
        </w:tabs>
        <w:ind w:left="0"/>
        <w:rPr>
          <w:rFonts w:ascii="Bookman Old Style" w:hAnsi="Bookman Old Style"/>
          <w:sz w:val="24"/>
          <w:szCs w:val="24"/>
        </w:rPr>
      </w:pPr>
      <w:r w:rsidRPr="00012259">
        <w:rPr>
          <w:rFonts w:ascii="Bookman Old Style" w:hAnsi="Bookman Old Style"/>
          <w:sz w:val="24"/>
          <w:szCs w:val="24"/>
        </w:rPr>
        <w:t>RESOLUCIÓN No.                   DE 201</w:t>
      </w:r>
      <w:r>
        <w:rPr>
          <w:rFonts w:ascii="Bookman Old Style" w:hAnsi="Bookman Old Style"/>
          <w:sz w:val="24"/>
          <w:szCs w:val="24"/>
        </w:rPr>
        <w:t>1</w:t>
      </w:r>
    </w:p>
    <w:p w:rsidR="001376B5" w:rsidRPr="00012259" w:rsidRDefault="001376B5" w:rsidP="001376B5">
      <w:pPr>
        <w:tabs>
          <w:tab w:val="left" w:pos="0"/>
          <w:tab w:val="right" w:pos="9356"/>
        </w:tabs>
        <w:ind w:left="0"/>
        <w:jc w:val="center"/>
        <w:rPr>
          <w:rFonts w:ascii="Bookman Old Style" w:hAnsi="Bookman Old Style" w:cs="Arial"/>
          <w:b/>
          <w:snapToGrid w:val="0"/>
          <w:color w:val="000000"/>
          <w:lang w:val="es-ES_tradnl"/>
        </w:rPr>
      </w:pPr>
    </w:p>
    <w:p w:rsidR="001376B5" w:rsidRPr="00012259" w:rsidRDefault="001376B5" w:rsidP="001376B5">
      <w:pPr>
        <w:pStyle w:val="Ttulo3"/>
        <w:tabs>
          <w:tab w:val="left" w:pos="0"/>
          <w:tab w:val="right" w:pos="9356"/>
        </w:tabs>
        <w:ind w:left="0"/>
        <w:rPr>
          <w:rFonts w:ascii="Bookman Old Style" w:hAnsi="Bookman Old Style"/>
          <w:b w:val="0"/>
          <w:szCs w:val="24"/>
        </w:rPr>
      </w:pPr>
      <w:r w:rsidRPr="00012259">
        <w:rPr>
          <w:rFonts w:ascii="Bookman Old Style" w:hAnsi="Bookman Old Style"/>
          <w:b w:val="0"/>
          <w:szCs w:val="24"/>
        </w:rPr>
        <w:t>(                                  )</w:t>
      </w:r>
    </w:p>
    <w:p w:rsidR="001376B5" w:rsidRPr="00012259" w:rsidRDefault="001376B5" w:rsidP="001376B5">
      <w:pPr>
        <w:tabs>
          <w:tab w:val="left" w:pos="0"/>
          <w:tab w:val="right" w:pos="9356"/>
        </w:tabs>
        <w:ind w:left="0"/>
        <w:jc w:val="center"/>
        <w:rPr>
          <w:rFonts w:ascii="Bookman Old Style" w:hAnsi="Bookman Old Style"/>
          <w:lang w:val="es-ES_tradnl"/>
        </w:rPr>
      </w:pPr>
    </w:p>
    <w:p w:rsidR="001376B5" w:rsidRDefault="001376B5" w:rsidP="001376B5">
      <w:pPr>
        <w:ind w:left="0"/>
        <w:rPr>
          <w:rFonts w:ascii="Bookman Old Style" w:hAnsi="Bookman Old Style"/>
          <w:bCs/>
          <w:lang w:val="es-CO"/>
        </w:rPr>
      </w:pPr>
    </w:p>
    <w:p w:rsidR="008504E3" w:rsidRDefault="008504E3" w:rsidP="001376B5">
      <w:pPr>
        <w:ind w:left="0"/>
        <w:rPr>
          <w:rFonts w:ascii="Bookman Old Style" w:hAnsi="Bookman Old Style"/>
          <w:bCs/>
          <w:lang w:val="es-CO"/>
        </w:rPr>
      </w:pPr>
    </w:p>
    <w:p w:rsidR="008504E3" w:rsidRDefault="008504E3" w:rsidP="008504E3">
      <w:pPr>
        <w:ind w:left="0"/>
        <w:jc w:val="both"/>
        <w:rPr>
          <w:rFonts w:cs="Arial"/>
        </w:rPr>
      </w:pPr>
      <w:r>
        <w:rPr>
          <w:rFonts w:ascii="Bookman Old Style" w:hAnsi="Bookman Old Style" w:cs="Arial"/>
          <w:color w:val="000000"/>
          <w:szCs w:val="27"/>
        </w:rPr>
        <w:t xml:space="preserve">Por la cual se ordena hacer público un proyecto de resolución de carácter general, </w:t>
      </w:r>
      <w:r>
        <w:rPr>
          <w:rFonts w:ascii="Bookman Old Style" w:hAnsi="Bookman Old Style" w:cs="Arial"/>
        </w:rPr>
        <w:t>“</w:t>
      </w:r>
      <w:r w:rsidRPr="00E43031">
        <w:rPr>
          <w:rFonts w:ascii="Bookman Old Style" w:hAnsi="Bookman Old Style"/>
        </w:rPr>
        <w:t>Por la cual se define una opción con gas natural importado para respaldar Obligaciones de Energía Firme del Cargo por Confiabilidad</w:t>
      </w:r>
      <w:r>
        <w:rPr>
          <w:rFonts w:ascii="Bookman Old Style" w:hAnsi="Bookman Old Style" w:cs="Arial"/>
          <w:szCs w:val="20"/>
        </w:rPr>
        <w:t>”.</w:t>
      </w:r>
    </w:p>
    <w:p w:rsidR="008504E3" w:rsidRPr="00B529FF" w:rsidRDefault="008504E3" w:rsidP="008504E3">
      <w:pPr>
        <w:pStyle w:val="Textodebloque1"/>
        <w:ind w:left="0" w:right="0"/>
        <w:rPr>
          <w:rFonts w:ascii="Bookman Old Style" w:hAnsi="Bookman Old Style" w:cs="Arial"/>
          <w:color w:val="000000"/>
          <w:lang w:val="es-CO"/>
        </w:rPr>
      </w:pPr>
    </w:p>
    <w:p w:rsidR="008504E3" w:rsidRDefault="008504E3" w:rsidP="008504E3">
      <w:pPr>
        <w:pStyle w:val="Textodebloque1"/>
        <w:ind w:left="0" w:right="0"/>
        <w:rPr>
          <w:rFonts w:ascii="Bookman Old Style" w:hAnsi="Bookman Old Style" w:cs="Arial"/>
          <w:color w:val="000000"/>
        </w:rPr>
      </w:pPr>
    </w:p>
    <w:p w:rsidR="008504E3" w:rsidRDefault="008504E3" w:rsidP="008504E3">
      <w:pPr>
        <w:ind w:left="0"/>
        <w:jc w:val="center"/>
        <w:outlineLvl w:val="0"/>
        <w:rPr>
          <w:rFonts w:ascii="Bookman Old Style" w:hAnsi="Bookman Old Style" w:cs="Arial"/>
          <w:b/>
          <w:bCs/>
          <w:color w:val="000000"/>
          <w:szCs w:val="27"/>
        </w:rPr>
      </w:pPr>
      <w:r>
        <w:rPr>
          <w:rFonts w:ascii="Bookman Old Style" w:hAnsi="Bookman Old Style" w:cs="Arial"/>
          <w:b/>
          <w:bCs/>
          <w:color w:val="000000"/>
          <w:szCs w:val="27"/>
        </w:rPr>
        <w:t>LA COMISIÓN DE REGULACIÓN DE ENERGÍA Y GAS</w:t>
      </w:r>
    </w:p>
    <w:p w:rsidR="008504E3" w:rsidRDefault="008504E3" w:rsidP="008504E3">
      <w:pPr>
        <w:spacing w:after="240"/>
        <w:ind w:left="0"/>
        <w:jc w:val="both"/>
        <w:rPr>
          <w:rFonts w:ascii="Bookman Old Style" w:hAnsi="Bookman Old Style" w:cs="Arial"/>
          <w:color w:val="000000"/>
          <w:szCs w:val="27"/>
        </w:rPr>
      </w:pPr>
    </w:p>
    <w:p w:rsidR="008504E3" w:rsidRDefault="008504E3" w:rsidP="008504E3">
      <w:pPr>
        <w:spacing w:after="240"/>
        <w:ind w:left="0"/>
        <w:jc w:val="both"/>
        <w:rPr>
          <w:rFonts w:ascii="Bookman Old Style" w:hAnsi="Bookman Old Style" w:cs="Arial"/>
          <w:color w:val="000000"/>
          <w:szCs w:val="27"/>
        </w:rPr>
      </w:pPr>
      <w:r>
        <w:rPr>
          <w:rFonts w:ascii="Bookman Old Style" w:hAnsi="Bookman Old Style" w:cs="Arial"/>
          <w:color w:val="000000"/>
          <w:szCs w:val="27"/>
        </w:rPr>
        <w:t xml:space="preserve">En ejercicio de sus facultades legales, en especial de las conferidas por las Leyes 142 y 143 de 1994 y en desarrollo de los Decretos 1524 y 2253 de 1994, y </w:t>
      </w:r>
    </w:p>
    <w:p w:rsidR="008504E3" w:rsidRDefault="008504E3" w:rsidP="008504E3">
      <w:pPr>
        <w:ind w:left="0"/>
        <w:jc w:val="both"/>
        <w:rPr>
          <w:rFonts w:ascii="Bookman Old Style" w:hAnsi="Bookman Old Style" w:cs="Arial"/>
          <w:b/>
          <w:bCs/>
          <w:color w:val="000000"/>
          <w:szCs w:val="27"/>
        </w:rPr>
      </w:pPr>
    </w:p>
    <w:p w:rsidR="008504E3" w:rsidRDefault="008504E3" w:rsidP="008504E3">
      <w:pPr>
        <w:ind w:left="0"/>
        <w:jc w:val="center"/>
        <w:outlineLvl w:val="0"/>
        <w:rPr>
          <w:rFonts w:ascii="Bookman Old Style" w:hAnsi="Bookman Old Style" w:cs="Arial"/>
          <w:color w:val="000000"/>
        </w:rPr>
      </w:pPr>
      <w:r>
        <w:rPr>
          <w:rFonts w:ascii="Bookman Old Style" w:hAnsi="Bookman Old Style" w:cs="Arial"/>
          <w:b/>
          <w:bCs/>
          <w:color w:val="000000"/>
          <w:szCs w:val="27"/>
        </w:rPr>
        <w:t>C O N S I D E R A N D O  Q U E:</w:t>
      </w:r>
    </w:p>
    <w:p w:rsidR="008504E3" w:rsidRDefault="008504E3" w:rsidP="008504E3">
      <w:pPr>
        <w:ind w:left="0"/>
        <w:jc w:val="both"/>
        <w:rPr>
          <w:rFonts w:ascii="Bookman Old Style" w:hAnsi="Bookman Old Style" w:cs="Arial"/>
        </w:rPr>
      </w:pPr>
    </w:p>
    <w:p w:rsidR="008504E3" w:rsidRDefault="008504E3" w:rsidP="008504E3">
      <w:pPr>
        <w:ind w:left="0"/>
        <w:jc w:val="both"/>
        <w:rPr>
          <w:rFonts w:ascii="Bookman Old Style" w:hAnsi="Bookman Old Style" w:cs="Arial"/>
        </w:rPr>
      </w:pPr>
    </w:p>
    <w:p w:rsidR="008504E3" w:rsidRDefault="008504E3" w:rsidP="008504E3">
      <w:pPr>
        <w:ind w:left="0"/>
        <w:jc w:val="both"/>
        <w:rPr>
          <w:rFonts w:cs="Arial"/>
        </w:rPr>
      </w:pPr>
      <w:r>
        <w:rPr>
          <w:rFonts w:ascii="Bookman Old Style" w:hAnsi="Bookman Old Style" w:cs="Arial"/>
        </w:rPr>
        <w:t xml:space="preserve">La Comisión de Regulación de Energía y Gas </w:t>
      </w:r>
      <w:r>
        <w:rPr>
          <w:rFonts w:ascii="Bookman Old Style" w:hAnsi="Bookman Old Style"/>
          <w:bCs/>
          <w:szCs w:val="22"/>
        </w:rPr>
        <w:t>en su sesión 47</w:t>
      </w:r>
      <w:r w:rsidR="004700E6">
        <w:rPr>
          <w:rFonts w:ascii="Bookman Old Style" w:hAnsi="Bookman Old Style"/>
          <w:bCs/>
          <w:szCs w:val="22"/>
        </w:rPr>
        <w:t>8</w:t>
      </w:r>
      <w:r>
        <w:rPr>
          <w:rFonts w:ascii="Bookman Old Style" w:hAnsi="Bookman Old Style"/>
          <w:bCs/>
          <w:szCs w:val="22"/>
        </w:rPr>
        <w:t xml:space="preserve">, de </w:t>
      </w:r>
      <w:r w:rsidR="004700E6">
        <w:rPr>
          <w:rFonts w:ascii="Bookman Old Style" w:hAnsi="Bookman Old Style"/>
          <w:bCs/>
          <w:szCs w:val="22"/>
        </w:rPr>
        <w:t>febrero 10</w:t>
      </w:r>
      <w:r>
        <w:rPr>
          <w:rFonts w:ascii="Bookman Old Style" w:hAnsi="Bookman Old Style"/>
          <w:bCs/>
          <w:szCs w:val="22"/>
        </w:rPr>
        <w:t xml:space="preserve"> de 201</w:t>
      </w:r>
      <w:r w:rsidR="004700E6">
        <w:rPr>
          <w:rFonts w:ascii="Bookman Old Style" w:hAnsi="Bookman Old Style"/>
          <w:bCs/>
          <w:szCs w:val="22"/>
        </w:rPr>
        <w:t>1</w:t>
      </w:r>
      <w:r>
        <w:rPr>
          <w:rFonts w:ascii="Bookman Old Style" w:hAnsi="Bookman Old Style" w:cs="Arial"/>
        </w:rPr>
        <w:t>, aprobó hacer público el proyecto de resolución “</w:t>
      </w:r>
      <w:r w:rsidRPr="00E43031">
        <w:rPr>
          <w:rFonts w:ascii="Bookman Old Style" w:hAnsi="Bookman Old Style"/>
        </w:rPr>
        <w:t>Por la cual se define una opción con gas natural importado para respaldar Obligaciones de Energía Firme del Cargo por Confiabilidad</w:t>
      </w:r>
      <w:r>
        <w:rPr>
          <w:rFonts w:ascii="Bookman Old Style" w:hAnsi="Bookman Old Style" w:cs="Arial"/>
          <w:szCs w:val="20"/>
        </w:rPr>
        <w:t>”.</w:t>
      </w:r>
    </w:p>
    <w:p w:rsidR="008504E3" w:rsidRDefault="008504E3" w:rsidP="008504E3">
      <w:pPr>
        <w:ind w:left="0"/>
        <w:jc w:val="both"/>
        <w:rPr>
          <w:rFonts w:cs="Arial"/>
        </w:rPr>
      </w:pPr>
    </w:p>
    <w:p w:rsidR="00A020F1" w:rsidRDefault="00A020F1" w:rsidP="008504E3">
      <w:pPr>
        <w:spacing w:after="240"/>
        <w:ind w:left="0"/>
        <w:jc w:val="center"/>
        <w:outlineLvl w:val="0"/>
        <w:rPr>
          <w:rFonts w:ascii="Bookman Old Style" w:hAnsi="Bookman Old Style" w:cs="Arial"/>
          <w:b/>
          <w:bCs/>
          <w:color w:val="000000"/>
          <w:szCs w:val="27"/>
          <w:lang w:val="es-CO"/>
        </w:rPr>
      </w:pPr>
    </w:p>
    <w:p w:rsidR="008504E3" w:rsidRDefault="008504E3" w:rsidP="008504E3">
      <w:pPr>
        <w:spacing w:after="240"/>
        <w:ind w:left="0"/>
        <w:jc w:val="center"/>
        <w:outlineLvl w:val="0"/>
        <w:rPr>
          <w:rFonts w:ascii="Bookman Old Style" w:hAnsi="Bookman Old Style" w:cs="Arial"/>
          <w:b/>
          <w:bCs/>
          <w:color w:val="000000"/>
          <w:szCs w:val="27"/>
        </w:rPr>
      </w:pPr>
      <w:r>
        <w:rPr>
          <w:rFonts w:ascii="Bookman Old Style" w:hAnsi="Bookman Old Style" w:cs="Arial"/>
          <w:b/>
          <w:bCs/>
          <w:color w:val="000000"/>
          <w:szCs w:val="27"/>
        </w:rPr>
        <w:t>R E S U E L V E:</w:t>
      </w:r>
    </w:p>
    <w:p w:rsidR="008504E3" w:rsidRDefault="008504E3" w:rsidP="008504E3">
      <w:pPr>
        <w:ind w:left="0"/>
        <w:jc w:val="both"/>
        <w:rPr>
          <w:rFonts w:ascii="Bookman Old Style" w:hAnsi="Bookman Old Style" w:cs="Arial"/>
          <w:b/>
          <w:bCs/>
          <w:szCs w:val="27"/>
        </w:rPr>
      </w:pPr>
    </w:p>
    <w:p w:rsidR="008504E3" w:rsidRDefault="008504E3" w:rsidP="008504E3">
      <w:pPr>
        <w:ind w:left="0"/>
        <w:jc w:val="both"/>
        <w:rPr>
          <w:rFonts w:cs="Arial"/>
        </w:rPr>
      </w:pPr>
      <w:r>
        <w:rPr>
          <w:rFonts w:ascii="Bookman Old Style" w:hAnsi="Bookman Old Style" w:cs="Arial"/>
          <w:b/>
          <w:bCs/>
          <w:szCs w:val="27"/>
        </w:rPr>
        <w:t>ARTÍCULO 1.</w:t>
      </w:r>
      <w:r>
        <w:rPr>
          <w:rFonts w:ascii="Bookman Old Style" w:hAnsi="Bookman Old Style" w:cs="Arial"/>
          <w:szCs w:val="27"/>
        </w:rPr>
        <w:t xml:space="preserve"> Hágase público el proyecto de resolución </w:t>
      </w:r>
      <w:r>
        <w:rPr>
          <w:rFonts w:ascii="Bookman Old Style" w:hAnsi="Bookman Old Style" w:cs="Arial"/>
        </w:rPr>
        <w:t>“</w:t>
      </w:r>
      <w:r w:rsidRPr="00E43031">
        <w:rPr>
          <w:rFonts w:ascii="Bookman Old Style" w:hAnsi="Bookman Old Style"/>
        </w:rPr>
        <w:t>Por la cual se define una opción con gas natural importado para respaldar Obligaciones de Energía Firme del Cargo por Confiabilidad</w:t>
      </w:r>
      <w:r>
        <w:rPr>
          <w:rFonts w:ascii="Bookman Old Style" w:hAnsi="Bookman Old Style" w:cs="Arial"/>
          <w:szCs w:val="20"/>
        </w:rPr>
        <w:t>”.</w:t>
      </w:r>
    </w:p>
    <w:p w:rsidR="008504E3" w:rsidRDefault="008504E3" w:rsidP="008504E3">
      <w:pPr>
        <w:pStyle w:val="Textodebloque"/>
        <w:tabs>
          <w:tab w:val="left" w:pos="8789"/>
        </w:tabs>
        <w:ind w:left="0" w:right="51"/>
        <w:rPr>
          <w:rFonts w:cs="Arial"/>
          <w:lang w:val="es-ES"/>
        </w:rPr>
      </w:pPr>
    </w:p>
    <w:p w:rsidR="008504E3" w:rsidRDefault="008504E3" w:rsidP="008504E3">
      <w:pPr>
        <w:spacing w:after="240"/>
        <w:ind w:left="0"/>
        <w:jc w:val="both"/>
        <w:rPr>
          <w:rFonts w:ascii="Bookman Old Style" w:hAnsi="Bookman Old Style" w:cs="Arial"/>
          <w:color w:val="000000"/>
          <w:szCs w:val="27"/>
        </w:rPr>
      </w:pPr>
      <w:r>
        <w:rPr>
          <w:rFonts w:ascii="Bookman Old Style" w:hAnsi="Bookman Old Style" w:cs="Arial"/>
          <w:b/>
          <w:bCs/>
          <w:color w:val="000000"/>
          <w:szCs w:val="27"/>
        </w:rPr>
        <w:t>ARTÍCULO 2</w:t>
      </w:r>
      <w:r>
        <w:rPr>
          <w:rFonts w:ascii="Bookman Old Style" w:hAnsi="Bookman Old Style" w:cs="Arial"/>
          <w:color w:val="000000"/>
          <w:szCs w:val="27"/>
        </w:rPr>
        <w:t xml:space="preserve">. Se invita a los agentes, a los usuarios, </w:t>
      </w:r>
      <w:r>
        <w:rPr>
          <w:rFonts w:ascii="Bookman Old Style" w:hAnsi="Bookman Old Style" w:cs="Arial"/>
        </w:rPr>
        <w:t>a las Autoridades Locales Municipales y Departamentales competentes</w:t>
      </w:r>
      <w:r>
        <w:rPr>
          <w:rFonts w:ascii="Bookman Old Style" w:hAnsi="Bookman Old Style" w:cs="Arial"/>
          <w:color w:val="000000"/>
          <w:szCs w:val="27"/>
        </w:rPr>
        <w:t xml:space="preserve"> y a la Superintendencia de Servicios Públicos Domiciliarios, para que remitan sus observaciones o sugerencias sobre la propuesta, </w:t>
      </w:r>
      <w:r w:rsidRPr="00701547">
        <w:rPr>
          <w:rFonts w:ascii="Bookman Old Style" w:hAnsi="Bookman Old Style" w:cs="Arial"/>
          <w:color w:val="000000"/>
          <w:szCs w:val="27"/>
        </w:rPr>
        <w:t xml:space="preserve">dentro de los </w:t>
      </w:r>
      <w:r>
        <w:rPr>
          <w:rFonts w:ascii="Bookman Old Style" w:hAnsi="Bookman Old Style" w:cs="Arial"/>
          <w:color w:val="000000"/>
          <w:szCs w:val="27"/>
        </w:rPr>
        <w:t xml:space="preserve">cinco </w:t>
      </w:r>
      <w:r w:rsidRPr="00701547">
        <w:rPr>
          <w:rFonts w:ascii="Bookman Old Style" w:hAnsi="Bookman Old Style" w:cs="Arial"/>
          <w:color w:val="000000"/>
          <w:szCs w:val="27"/>
        </w:rPr>
        <w:t>(</w:t>
      </w:r>
      <w:r>
        <w:rPr>
          <w:rFonts w:ascii="Bookman Old Style" w:hAnsi="Bookman Old Style" w:cs="Arial"/>
          <w:color w:val="000000"/>
          <w:szCs w:val="27"/>
        </w:rPr>
        <w:t>5</w:t>
      </w:r>
      <w:r w:rsidRPr="00701547">
        <w:rPr>
          <w:rFonts w:ascii="Bookman Old Style" w:hAnsi="Bookman Old Style" w:cs="Arial"/>
          <w:color w:val="000000"/>
          <w:szCs w:val="27"/>
        </w:rPr>
        <w:t xml:space="preserve">) días </w:t>
      </w:r>
      <w:r>
        <w:rPr>
          <w:rFonts w:ascii="Bookman Old Style" w:hAnsi="Bookman Old Style" w:cs="Arial"/>
          <w:color w:val="000000"/>
          <w:szCs w:val="27"/>
        </w:rPr>
        <w:t>hábiles siguientes a la publicación de la presente Resolución en la página Web de la Comisión de Regulación de Energía y Gas.</w:t>
      </w:r>
    </w:p>
    <w:p w:rsidR="008504E3" w:rsidRDefault="008504E3" w:rsidP="008504E3">
      <w:pPr>
        <w:ind w:left="0"/>
        <w:jc w:val="both"/>
        <w:rPr>
          <w:rFonts w:ascii="Bookman Old Style" w:hAnsi="Bookman Old Style" w:cs="Arial"/>
          <w:color w:val="000000"/>
          <w:szCs w:val="27"/>
        </w:rPr>
      </w:pPr>
    </w:p>
    <w:p w:rsidR="004700E6" w:rsidRDefault="004700E6" w:rsidP="008504E3">
      <w:pPr>
        <w:ind w:left="0"/>
        <w:jc w:val="both"/>
        <w:rPr>
          <w:rFonts w:ascii="Bookman Old Style" w:hAnsi="Bookman Old Style" w:cs="Arial"/>
          <w:b/>
          <w:bCs/>
          <w:color w:val="000000"/>
          <w:szCs w:val="27"/>
        </w:rPr>
      </w:pPr>
    </w:p>
    <w:p w:rsidR="008504E3" w:rsidRDefault="008504E3" w:rsidP="008504E3">
      <w:pPr>
        <w:ind w:left="0"/>
        <w:jc w:val="both"/>
        <w:rPr>
          <w:rFonts w:ascii="Bookman Old Style" w:hAnsi="Bookman Old Style" w:cs="Arial"/>
          <w:color w:val="000000"/>
          <w:szCs w:val="27"/>
        </w:rPr>
      </w:pPr>
      <w:r>
        <w:rPr>
          <w:rFonts w:ascii="Bookman Old Style" w:hAnsi="Bookman Old Style" w:cs="Arial"/>
          <w:b/>
          <w:bCs/>
          <w:color w:val="000000"/>
          <w:szCs w:val="27"/>
        </w:rPr>
        <w:t>ARTÍCULO 3</w:t>
      </w:r>
      <w:r>
        <w:rPr>
          <w:rFonts w:ascii="Bookman Old Style" w:hAnsi="Bookman Old Style" w:cs="Arial"/>
          <w:color w:val="000000"/>
          <w:szCs w:val="27"/>
        </w:rPr>
        <w:t>. Infórmese en la página web la identificación de la dependencia administrativa y de las personas a quienes se podrá solicitar información sobre el proyecto y hacer llegar las observaciones, reparos o sugerencias, y los demás aspectos que estimen pertinentes.</w:t>
      </w:r>
    </w:p>
    <w:p w:rsidR="008504E3" w:rsidRDefault="008504E3" w:rsidP="008504E3">
      <w:pPr>
        <w:ind w:left="0"/>
        <w:jc w:val="both"/>
        <w:rPr>
          <w:rFonts w:ascii="Bookman Old Style" w:hAnsi="Bookman Old Style" w:cs="Arial"/>
          <w:color w:val="000000"/>
          <w:szCs w:val="27"/>
        </w:rPr>
      </w:pPr>
    </w:p>
    <w:p w:rsidR="00A020F1" w:rsidRDefault="00A020F1" w:rsidP="008504E3">
      <w:pPr>
        <w:ind w:left="0"/>
        <w:jc w:val="both"/>
        <w:rPr>
          <w:rFonts w:ascii="Bookman Old Style" w:hAnsi="Bookman Old Style" w:cs="Arial"/>
          <w:color w:val="000000"/>
          <w:szCs w:val="27"/>
        </w:rPr>
      </w:pPr>
    </w:p>
    <w:p w:rsidR="008504E3" w:rsidRDefault="008504E3" w:rsidP="008504E3">
      <w:pPr>
        <w:ind w:left="0"/>
        <w:jc w:val="both"/>
        <w:rPr>
          <w:rFonts w:ascii="Bookman Old Style" w:hAnsi="Bookman Old Style" w:cs="Arial"/>
          <w:color w:val="000000"/>
          <w:szCs w:val="27"/>
        </w:rPr>
      </w:pPr>
      <w:r>
        <w:rPr>
          <w:rFonts w:ascii="Bookman Old Style" w:hAnsi="Bookman Old Style" w:cs="Arial"/>
          <w:b/>
          <w:bCs/>
          <w:color w:val="000000"/>
          <w:szCs w:val="27"/>
        </w:rPr>
        <w:t>ARTÍCULO 4</w:t>
      </w:r>
      <w:r>
        <w:rPr>
          <w:rFonts w:ascii="Bookman Old Style" w:hAnsi="Bookman Old Style" w:cs="Arial"/>
          <w:color w:val="000000"/>
          <w:szCs w:val="27"/>
        </w:rPr>
        <w:t>. La presente Resolución no deroga ni modifica disposiciones vigentes por tratarse de un acto de trámite.</w:t>
      </w:r>
    </w:p>
    <w:p w:rsidR="008504E3" w:rsidRDefault="008504E3" w:rsidP="008504E3">
      <w:pPr>
        <w:ind w:left="0"/>
        <w:jc w:val="both"/>
        <w:rPr>
          <w:rFonts w:ascii="Bookman Old Style" w:hAnsi="Bookman Old Style" w:cs="Arial"/>
        </w:rPr>
      </w:pPr>
    </w:p>
    <w:p w:rsidR="008504E3" w:rsidRDefault="008504E3" w:rsidP="008504E3">
      <w:pPr>
        <w:ind w:left="0"/>
        <w:jc w:val="both"/>
        <w:rPr>
          <w:rFonts w:ascii="Bookman Old Style" w:hAnsi="Bookman Old Style" w:cs="Arial"/>
        </w:rPr>
      </w:pPr>
    </w:p>
    <w:p w:rsidR="008504E3" w:rsidRDefault="008504E3" w:rsidP="008504E3">
      <w:pPr>
        <w:ind w:left="0"/>
        <w:jc w:val="center"/>
        <w:outlineLvl w:val="0"/>
        <w:rPr>
          <w:rFonts w:ascii="Bookman Old Style" w:hAnsi="Bookman Old Style" w:cs="Arial"/>
          <w:b/>
          <w:bCs/>
          <w:color w:val="000000"/>
          <w:szCs w:val="27"/>
        </w:rPr>
      </w:pPr>
      <w:r>
        <w:rPr>
          <w:rFonts w:ascii="Bookman Old Style" w:hAnsi="Bookman Old Style" w:cs="Arial"/>
          <w:b/>
          <w:bCs/>
          <w:color w:val="000000"/>
          <w:szCs w:val="27"/>
        </w:rPr>
        <w:t>PUBLÍQUESE Y CÚMPLASE</w:t>
      </w:r>
    </w:p>
    <w:p w:rsidR="008504E3" w:rsidRDefault="008504E3" w:rsidP="008504E3">
      <w:pPr>
        <w:spacing w:after="240"/>
        <w:ind w:left="0"/>
        <w:jc w:val="both"/>
        <w:rPr>
          <w:rFonts w:ascii="Bookman Old Style" w:hAnsi="Bookman Old Style" w:cs="Arial"/>
          <w:color w:val="000000"/>
          <w:szCs w:val="27"/>
        </w:rPr>
      </w:pPr>
    </w:p>
    <w:p w:rsidR="008504E3" w:rsidRDefault="008504E3" w:rsidP="008504E3">
      <w:pPr>
        <w:spacing w:after="240"/>
        <w:ind w:left="0"/>
        <w:jc w:val="both"/>
        <w:outlineLvl w:val="0"/>
        <w:rPr>
          <w:rFonts w:ascii="Bookman Old Style" w:hAnsi="Bookman Old Style" w:cs="Arial"/>
          <w:color w:val="000000"/>
          <w:szCs w:val="27"/>
        </w:rPr>
      </w:pPr>
      <w:r>
        <w:rPr>
          <w:rFonts w:ascii="Bookman Old Style" w:hAnsi="Bookman Old Style" w:cs="Arial"/>
          <w:color w:val="000000"/>
          <w:szCs w:val="27"/>
        </w:rPr>
        <w:t xml:space="preserve">Dada en Bogotá, D.C., </w:t>
      </w:r>
    </w:p>
    <w:p w:rsidR="008504E3" w:rsidRDefault="008504E3" w:rsidP="008504E3">
      <w:pPr>
        <w:spacing w:after="240"/>
        <w:ind w:left="0"/>
        <w:jc w:val="both"/>
        <w:rPr>
          <w:rFonts w:ascii="Bookman Old Style" w:hAnsi="Bookman Old Style" w:cs="Arial"/>
          <w:color w:val="000000"/>
          <w:szCs w:val="27"/>
        </w:rPr>
      </w:pPr>
    </w:p>
    <w:p w:rsidR="008504E3" w:rsidRDefault="008504E3" w:rsidP="008504E3">
      <w:pPr>
        <w:spacing w:after="240"/>
        <w:ind w:left="0"/>
        <w:jc w:val="both"/>
        <w:rPr>
          <w:rFonts w:ascii="Bookman Old Style" w:hAnsi="Bookman Old Style" w:cs="Arial"/>
          <w:color w:val="000000"/>
          <w:szCs w:val="27"/>
        </w:rPr>
      </w:pPr>
    </w:p>
    <w:tbl>
      <w:tblPr>
        <w:tblW w:w="0" w:type="auto"/>
        <w:jc w:val="center"/>
        <w:tblCellSpacing w:w="0" w:type="dxa"/>
        <w:tblInd w:w="-1546" w:type="dxa"/>
        <w:tblCellMar>
          <w:left w:w="0" w:type="dxa"/>
          <w:right w:w="0" w:type="dxa"/>
        </w:tblCellMar>
        <w:tblLook w:val="0000" w:firstRow="0" w:lastRow="0" w:firstColumn="0" w:lastColumn="0" w:noHBand="0" w:noVBand="0"/>
      </w:tblPr>
      <w:tblGrid>
        <w:gridCol w:w="4085"/>
        <w:gridCol w:w="4394"/>
      </w:tblGrid>
      <w:tr w:rsidR="008504E3" w:rsidTr="008F344F">
        <w:trPr>
          <w:tblCellSpacing w:w="0" w:type="dxa"/>
          <w:jc w:val="center"/>
        </w:trPr>
        <w:tc>
          <w:tcPr>
            <w:tcW w:w="4085" w:type="dxa"/>
          </w:tcPr>
          <w:p w:rsidR="008504E3" w:rsidRDefault="008504E3" w:rsidP="008F344F">
            <w:pPr>
              <w:ind w:left="-26"/>
              <w:jc w:val="center"/>
              <w:rPr>
                <w:rFonts w:ascii="Bookman Old Style" w:eastAsia="Arial Unicode MS" w:hAnsi="Bookman Old Style"/>
                <w:b/>
                <w:bCs/>
                <w:color w:val="000000"/>
              </w:rPr>
            </w:pPr>
            <w:r>
              <w:rPr>
                <w:rFonts w:ascii="Bookman Old Style" w:hAnsi="Bookman Old Style"/>
                <w:b/>
                <w:bCs/>
              </w:rPr>
              <w:t>TOMÁS GONZÁLEZ ESTRADA</w:t>
            </w:r>
          </w:p>
        </w:tc>
        <w:tc>
          <w:tcPr>
            <w:tcW w:w="4394" w:type="dxa"/>
          </w:tcPr>
          <w:p w:rsidR="008504E3" w:rsidRDefault="008504E3" w:rsidP="008F344F">
            <w:pPr>
              <w:ind w:left="0" w:right="-26"/>
              <w:jc w:val="center"/>
              <w:rPr>
                <w:rFonts w:ascii="Bookman Old Style" w:eastAsia="Arial Unicode MS" w:hAnsi="Bookman Old Style"/>
                <w:b/>
                <w:bCs/>
              </w:rPr>
            </w:pPr>
            <w:r>
              <w:rPr>
                <w:rFonts w:ascii="Bookman Old Style" w:hAnsi="Bookman Old Style" w:cs="Arial"/>
                <w:b/>
                <w:spacing w:val="-3"/>
                <w:szCs w:val="20"/>
              </w:rPr>
              <w:t>JAVIER AUGUSTO DÍAZ VELASCO</w:t>
            </w:r>
          </w:p>
        </w:tc>
      </w:tr>
      <w:tr w:rsidR="008504E3" w:rsidTr="008F344F">
        <w:trPr>
          <w:tblCellSpacing w:w="0" w:type="dxa"/>
          <w:jc w:val="center"/>
        </w:trPr>
        <w:tc>
          <w:tcPr>
            <w:tcW w:w="4085" w:type="dxa"/>
          </w:tcPr>
          <w:p w:rsidR="008504E3" w:rsidRDefault="008504E3" w:rsidP="008F344F">
            <w:pPr>
              <w:ind w:left="-26"/>
              <w:jc w:val="center"/>
              <w:rPr>
                <w:rFonts w:ascii="Bookman Old Style" w:eastAsia="Arial Unicode MS" w:hAnsi="Bookman Old Style" w:cs="Arial"/>
                <w:color w:val="000000"/>
              </w:rPr>
            </w:pPr>
            <w:r>
              <w:rPr>
                <w:rFonts w:ascii="Bookman Old Style" w:hAnsi="Bookman Old Style" w:cs="Arial"/>
                <w:szCs w:val="27"/>
              </w:rPr>
              <w:t>Viceministro de Minas y Energía</w:t>
            </w:r>
          </w:p>
        </w:tc>
        <w:tc>
          <w:tcPr>
            <w:tcW w:w="4394" w:type="dxa"/>
          </w:tcPr>
          <w:p w:rsidR="008504E3" w:rsidRDefault="008504E3" w:rsidP="008F344F">
            <w:pPr>
              <w:ind w:left="0"/>
              <w:jc w:val="center"/>
              <w:rPr>
                <w:rFonts w:ascii="Bookman Old Style" w:eastAsia="Arial Unicode MS" w:hAnsi="Bookman Old Style" w:cs="Arial"/>
                <w:color w:val="000000"/>
              </w:rPr>
            </w:pPr>
            <w:r>
              <w:rPr>
                <w:rFonts w:ascii="Bookman Old Style" w:hAnsi="Bookman Old Style" w:cs="Arial"/>
                <w:szCs w:val="27"/>
              </w:rPr>
              <w:t>Director Ejecutivo</w:t>
            </w:r>
          </w:p>
        </w:tc>
      </w:tr>
      <w:tr w:rsidR="008504E3" w:rsidTr="008F344F">
        <w:trPr>
          <w:tblCellSpacing w:w="0" w:type="dxa"/>
          <w:jc w:val="center"/>
        </w:trPr>
        <w:tc>
          <w:tcPr>
            <w:tcW w:w="4085" w:type="dxa"/>
          </w:tcPr>
          <w:p w:rsidR="008504E3" w:rsidRDefault="008504E3" w:rsidP="008F344F">
            <w:pPr>
              <w:ind w:left="-26"/>
              <w:jc w:val="center"/>
              <w:rPr>
                <w:rFonts w:ascii="Bookman Old Style" w:hAnsi="Bookman Old Style" w:cs="Arial"/>
                <w:szCs w:val="27"/>
              </w:rPr>
            </w:pPr>
            <w:r>
              <w:rPr>
                <w:rFonts w:ascii="Bookman Old Style" w:hAnsi="Bookman Old Style" w:cs="Arial"/>
                <w:szCs w:val="27"/>
              </w:rPr>
              <w:t>Delegado del Ministro de Minas y Energía</w:t>
            </w:r>
          </w:p>
          <w:p w:rsidR="008504E3" w:rsidRDefault="008504E3" w:rsidP="008F344F">
            <w:pPr>
              <w:ind w:left="-26"/>
              <w:jc w:val="center"/>
              <w:rPr>
                <w:rFonts w:ascii="Bookman Old Style" w:eastAsia="Arial Unicode MS" w:hAnsi="Bookman Old Style" w:cs="Arial"/>
                <w:color w:val="000000"/>
              </w:rPr>
            </w:pPr>
            <w:r>
              <w:rPr>
                <w:rFonts w:ascii="Bookman Old Style" w:hAnsi="Bookman Old Style" w:cs="Arial"/>
                <w:szCs w:val="27"/>
              </w:rPr>
              <w:t>Presidente</w:t>
            </w:r>
          </w:p>
        </w:tc>
        <w:tc>
          <w:tcPr>
            <w:tcW w:w="4394" w:type="dxa"/>
          </w:tcPr>
          <w:p w:rsidR="008504E3" w:rsidRDefault="008F344F" w:rsidP="008F344F">
            <w:pPr>
              <w:ind w:left="0"/>
              <w:jc w:val="center"/>
              <w:rPr>
                <w:rFonts w:ascii="Bookman Old Style" w:eastAsia="Arial Unicode MS" w:hAnsi="Bookman Old Style" w:cs="Arial"/>
                <w:color w:val="000000"/>
              </w:rPr>
            </w:pPr>
            <w:r>
              <w:rPr>
                <w:rFonts w:ascii="Bookman Old Style" w:hAnsi="Bookman Old Style" w:cs="Arial"/>
                <w:noProof/>
                <w:lang w:val="es-CO" w:eastAsia="es-CO"/>
              </w:rPr>
              <w:drawing>
                <wp:inline distT="0" distB="0" distL="0" distR="0" wp14:anchorId="0C2E0FB6" wp14:editId="5E1D72CF">
                  <wp:extent cx="9525" cy="9525"/>
                  <wp:effectExtent l="19050" t="0" r="9525" b="0"/>
                  <wp:docPr id="1" name="Imagen 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cblank"/>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504E3" w:rsidRDefault="008504E3" w:rsidP="001376B5">
      <w:pPr>
        <w:ind w:left="0"/>
        <w:rPr>
          <w:rFonts w:ascii="Bookman Old Style" w:hAnsi="Bookman Old Style"/>
          <w:bCs/>
          <w:lang w:val="es-CO"/>
        </w:rPr>
      </w:pPr>
    </w:p>
    <w:p w:rsidR="008504E3" w:rsidRDefault="008504E3">
      <w:pPr>
        <w:ind w:left="0"/>
        <w:rPr>
          <w:rFonts w:ascii="Bookman Old Style" w:hAnsi="Bookman Old Style"/>
          <w:b/>
        </w:rPr>
      </w:pPr>
      <w:r>
        <w:rPr>
          <w:rFonts w:ascii="Bookman Old Style" w:hAnsi="Bookman Old Style"/>
          <w:b/>
        </w:rPr>
        <w:br w:type="page"/>
      </w:r>
    </w:p>
    <w:p w:rsidR="00A020F1" w:rsidRDefault="00A020F1" w:rsidP="008504E3">
      <w:pPr>
        <w:jc w:val="center"/>
        <w:rPr>
          <w:rFonts w:ascii="Bookman Old Style" w:hAnsi="Bookman Old Style"/>
          <w:b/>
        </w:rPr>
      </w:pPr>
    </w:p>
    <w:p w:rsidR="008504E3" w:rsidRPr="00701547" w:rsidRDefault="008504E3" w:rsidP="008504E3">
      <w:pPr>
        <w:jc w:val="center"/>
        <w:rPr>
          <w:rFonts w:ascii="Bookman Old Style" w:hAnsi="Bookman Old Style"/>
          <w:b/>
        </w:rPr>
      </w:pPr>
      <w:r w:rsidRPr="00701547">
        <w:rPr>
          <w:rFonts w:ascii="Bookman Old Style" w:hAnsi="Bookman Old Style"/>
          <w:b/>
        </w:rPr>
        <w:t>PROYECTO DE RESOLUCIÓN</w:t>
      </w:r>
    </w:p>
    <w:p w:rsidR="008504E3" w:rsidRDefault="008504E3" w:rsidP="001376B5">
      <w:pPr>
        <w:ind w:left="0"/>
        <w:rPr>
          <w:rFonts w:ascii="Bookman Old Style" w:hAnsi="Bookman Old Style"/>
          <w:bCs/>
          <w:lang w:val="es-CO"/>
        </w:rPr>
      </w:pPr>
    </w:p>
    <w:p w:rsidR="001376B5" w:rsidRDefault="001376B5" w:rsidP="001376B5">
      <w:pPr>
        <w:ind w:left="0"/>
        <w:rPr>
          <w:rFonts w:ascii="Bookman Old Style" w:hAnsi="Bookman Old Style"/>
          <w:bCs/>
          <w:lang w:val="es-CO"/>
        </w:rPr>
      </w:pPr>
    </w:p>
    <w:p w:rsidR="001376B5" w:rsidRPr="00C435C3" w:rsidRDefault="001376B5" w:rsidP="001376B5">
      <w:pPr>
        <w:ind w:left="0"/>
        <w:jc w:val="center"/>
        <w:rPr>
          <w:rFonts w:ascii="Bookman Old Style" w:hAnsi="Bookman Old Style"/>
        </w:rPr>
      </w:pPr>
      <w:r w:rsidRPr="00C435C3">
        <w:rPr>
          <w:rFonts w:ascii="Bookman Old Style" w:hAnsi="Bookman Old Style"/>
        </w:rPr>
        <w:t xml:space="preserve">Por </w:t>
      </w:r>
      <w:r>
        <w:rPr>
          <w:rFonts w:ascii="Bookman Old Style" w:hAnsi="Bookman Old Style"/>
        </w:rPr>
        <w:t>la cual se define una opción con gas natural importado para respaldar Obligaciones de Energía Firme del Cargo por Confiabilidad</w:t>
      </w:r>
    </w:p>
    <w:p w:rsidR="001376B5" w:rsidRDefault="001376B5" w:rsidP="001376B5">
      <w:pPr>
        <w:ind w:right="51"/>
        <w:rPr>
          <w:rFonts w:ascii="Bookman Old Style" w:hAnsi="Bookman Old Style"/>
        </w:rPr>
      </w:pPr>
    </w:p>
    <w:p w:rsidR="00A020F1" w:rsidRPr="00C435C3" w:rsidRDefault="00A020F1" w:rsidP="001376B5">
      <w:pPr>
        <w:ind w:right="51"/>
        <w:rPr>
          <w:rFonts w:ascii="Bookman Old Style" w:hAnsi="Bookman Old Style"/>
        </w:rPr>
      </w:pPr>
    </w:p>
    <w:p w:rsidR="001376B5" w:rsidRPr="00C435C3" w:rsidRDefault="001376B5" w:rsidP="001376B5">
      <w:pPr>
        <w:ind w:right="51"/>
        <w:jc w:val="center"/>
        <w:rPr>
          <w:rFonts w:ascii="Bookman Old Style" w:hAnsi="Bookman Old Style"/>
          <w:b/>
        </w:rPr>
      </w:pPr>
      <w:r w:rsidRPr="00C435C3">
        <w:rPr>
          <w:rFonts w:ascii="Bookman Old Style" w:hAnsi="Bookman Old Style"/>
          <w:b/>
        </w:rPr>
        <w:t>LA COMISIÓN DE REGULACIÓN DE  ENERGÍA Y GAS</w:t>
      </w:r>
    </w:p>
    <w:p w:rsidR="001376B5" w:rsidRPr="00C435C3" w:rsidRDefault="001376B5" w:rsidP="001376B5">
      <w:pPr>
        <w:ind w:left="0" w:right="51"/>
        <w:rPr>
          <w:rFonts w:ascii="Bookman Old Style" w:hAnsi="Bookman Old Style"/>
        </w:rPr>
      </w:pPr>
    </w:p>
    <w:p w:rsidR="001376B5" w:rsidRPr="00C435C3" w:rsidRDefault="001376B5" w:rsidP="001376B5">
      <w:pPr>
        <w:ind w:left="0" w:right="51"/>
        <w:rPr>
          <w:rFonts w:ascii="Bookman Old Style" w:hAnsi="Bookman Old Style"/>
        </w:rPr>
      </w:pPr>
    </w:p>
    <w:p w:rsidR="001376B5" w:rsidRPr="00C435C3" w:rsidRDefault="001376B5" w:rsidP="001376B5">
      <w:pPr>
        <w:pStyle w:val="Textoindependiente3"/>
        <w:ind w:left="0"/>
        <w:rPr>
          <w:rFonts w:ascii="Bookman Old Style" w:hAnsi="Bookman Old Style"/>
          <w:b w:val="0"/>
        </w:rPr>
      </w:pPr>
      <w:r w:rsidRPr="00C435C3">
        <w:rPr>
          <w:rFonts w:ascii="Bookman Old Style" w:hAnsi="Bookman Old Style"/>
          <w:b w:val="0"/>
        </w:rPr>
        <w:t>En ejercicio de sus atribuciones constitucionales y legales, en especial las conferidas por las Leyes 142 y 143 de 1994, y en desarrollo de los Decretos 1524 y 2253 de 1994.</w:t>
      </w:r>
    </w:p>
    <w:p w:rsidR="001376B5" w:rsidRPr="00C435C3" w:rsidRDefault="001376B5" w:rsidP="001376B5">
      <w:pPr>
        <w:ind w:right="51"/>
        <w:rPr>
          <w:rFonts w:ascii="Bookman Old Style" w:hAnsi="Bookman Old Style"/>
        </w:rPr>
      </w:pPr>
    </w:p>
    <w:p w:rsidR="001376B5" w:rsidRPr="00C435C3" w:rsidRDefault="001376B5" w:rsidP="001376B5">
      <w:pPr>
        <w:ind w:right="51"/>
        <w:rPr>
          <w:rFonts w:ascii="Bookman Old Style" w:hAnsi="Bookman Old Style"/>
        </w:rPr>
      </w:pPr>
    </w:p>
    <w:p w:rsidR="001376B5" w:rsidRPr="00C435C3" w:rsidRDefault="001376B5" w:rsidP="001376B5">
      <w:pPr>
        <w:ind w:right="51"/>
        <w:jc w:val="center"/>
        <w:rPr>
          <w:rFonts w:ascii="Bookman Old Style" w:hAnsi="Bookman Old Style"/>
          <w:b/>
        </w:rPr>
      </w:pPr>
      <w:r w:rsidRPr="00C435C3">
        <w:rPr>
          <w:rFonts w:ascii="Bookman Old Style" w:hAnsi="Bookman Old Style"/>
          <w:b/>
        </w:rPr>
        <w:t>C O N S I D E R A N D O</w:t>
      </w:r>
      <w:r>
        <w:rPr>
          <w:rFonts w:ascii="Bookman Old Style" w:hAnsi="Bookman Old Style"/>
          <w:b/>
        </w:rPr>
        <w:t xml:space="preserve">  Q U E</w:t>
      </w:r>
      <w:r w:rsidRPr="00C435C3">
        <w:rPr>
          <w:rFonts w:ascii="Bookman Old Style" w:hAnsi="Bookman Old Style"/>
          <w:b/>
        </w:rPr>
        <w:t>:</w:t>
      </w:r>
    </w:p>
    <w:p w:rsidR="001376B5" w:rsidRPr="00C435C3" w:rsidRDefault="001376B5" w:rsidP="001376B5">
      <w:pPr>
        <w:ind w:right="51"/>
        <w:jc w:val="center"/>
        <w:rPr>
          <w:rFonts w:ascii="Bookman Old Style" w:hAnsi="Bookman Old Style"/>
          <w:b/>
        </w:rPr>
      </w:pPr>
    </w:p>
    <w:p w:rsidR="001376B5" w:rsidRPr="00C435C3" w:rsidRDefault="001376B5" w:rsidP="001376B5">
      <w:pPr>
        <w:rPr>
          <w:rFonts w:ascii="Bookman Old Style" w:hAnsi="Bookman Old Style"/>
          <w:b/>
        </w:rPr>
      </w:pPr>
    </w:p>
    <w:p w:rsidR="001376B5" w:rsidRPr="00F420E6" w:rsidRDefault="001376B5" w:rsidP="001376B5">
      <w:pPr>
        <w:ind w:left="0"/>
        <w:jc w:val="both"/>
        <w:rPr>
          <w:rFonts w:ascii="Bookman Old Style" w:hAnsi="Bookman Old Style"/>
        </w:rPr>
      </w:pPr>
      <w:r w:rsidRPr="00F420E6">
        <w:rPr>
          <w:rFonts w:ascii="Bookman Old Style" w:hAnsi="Bookman Old Style"/>
        </w:rPr>
        <w:t xml:space="preserve">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rsidR="001376B5" w:rsidRPr="00F420E6" w:rsidRDefault="001376B5" w:rsidP="001376B5">
      <w:pPr>
        <w:ind w:left="0"/>
        <w:jc w:val="both"/>
        <w:rPr>
          <w:rFonts w:ascii="Bookman Old Style" w:hAnsi="Bookman Old Style"/>
        </w:rPr>
      </w:pPr>
    </w:p>
    <w:p w:rsidR="001376B5" w:rsidRPr="00F420E6" w:rsidRDefault="001376B5" w:rsidP="001376B5">
      <w:pPr>
        <w:ind w:left="0"/>
        <w:jc w:val="both"/>
        <w:rPr>
          <w:rFonts w:ascii="Bookman Old Style" w:hAnsi="Bookman Old Style"/>
        </w:rPr>
      </w:pPr>
      <w:r w:rsidRPr="00F420E6">
        <w:rPr>
          <w:rFonts w:ascii="Bookman Old Style" w:hAnsi="Bookman Old Style"/>
        </w:rPr>
        <w:t>Para el cumplimiento del objetivo señalado, la Ley 143 de 1994, artículo 23, le atribuyó a la Comisión de Regulación de Energía y Gas, entre otras, las funciones de crear las condiciones para asegurar la disponibilidad de una oferta energética eficiente capaz de abastecer la demanda</w:t>
      </w:r>
      <w:r>
        <w:rPr>
          <w:rFonts w:ascii="Bookman Old Style" w:hAnsi="Bookman Old Style"/>
        </w:rPr>
        <w:t xml:space="preserve"> de energía eléctrica</w:t>
      </w:r>
      <w:r w:rsidRPr="00F420E6">
        <w:rPr>
          <w:rFonts w:ascii="Bookman Old Style" w:hAnsi="Bookman Old Style"/>
        </w:rPr>
        <w:t xml:space="preserve"> bajo criterios sociales, económicos, ambientales y de viabilidad financiera, promover y preservar la competencia, para lo cual, la oferta eficiente, en el sector eléctrico, debe tener en cuenta la capacidad de generación de respaldo; valorar la capacidad de generación de respaldo de la oferta eficiente; definir y hacer operativos los criterios técnicos de calidad, confiabilidad y seguridad del servicio de energía; y determinar las condiciones para la liberación gradual del mercado hacia la libre competencia. </w:t>
      </w:r>
    </w:p>
    <w:p w:rsidR="001376B5" w:rsidRPr="00F420E6" w:rsidRDefault="001376B5" w:rsidP="001376B5">
      <w:pPr>
        <w:ind w:left="0"/>
        <w:jc w:val="both"/>
        <w:rPr>
          <w:rFonts w:ascii="Bookman Old Style" w:hAnsi="Bookman Old Style"/>
        </w:rPr>
      </w:pPr>
    </w:p>
    <w:p w:rsidR="001376B5" w:rsidRPr="00F420E6" w:rsidRDefault="001376B5" w:rsidP="001376B5">
      <w:pPr>
        <w:ind w:left="0"/>
        <w:jc w:val="both"/>
        <w:rPr>
          <w:rFonts w:ascii="Bookman Old Style" w:hAnsi="Bookman Old Style"/>
        </w:rPr>
      </w:pPr>
      <w:r w:rsidRPr="00F420E6">
        <w:rPr>
          <w:rFonts w:ascii="Bookman Old Style" w:hAnsi="Bookman Old Style"/>
        </w:rPr>
        <w:t>De acuerdo con lo establecido en el literal c) del artículo 74.1 de la ley 142 de 1994, le corresponde a la CREG establecer el Reglamento de Operación, para regular el funcionamiento del Mercado Mayorista.</w:t>
      </w:r>
    </w:p>
    <w:p w:rsidR="001376B5"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Pr>
          <w:rFonts w:ascii="Bookman Old Style" w:hAnsi="Bookman Old Style"/>
        </w:rPr>
        <w:t>De acuerdo con el Artículo 74.1 de la Ley 142 de 1994, la Comisión de Regulación de Energía y Gas tiene dentro de sus funciones generales la de regular el ejercicio de las actividades del sector de gas combustible para asegurar la disponibilidad de una oferta energética eficiente.</w:t>
      </w:r>
    </w:p>
    <w:p w:rsidR="001376B5"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Pr>
          <w:rFonts w:ascii="Bookman Old Style" w:hAnsi="Bookman Old Style"/>
        </w:rPr>
        <w:t>De acuerdo con lo establecido en el Artículo 74.1, literal c de la Lay 142 de 1994, corresponde a la Comisión de Regulación de Energía y Gas, regular el funcionamiento del mercado mayorista de gas combustible.</w:t>
      </w:r>
    </w:p>
    <w:p w:rsidR="001376B5" w:rsidRDefault="001376B5" w:rsidP="001376B5">
      <w:pPr>
        <w:ind w:left="0"/>
        <w:jc w:val="both"/>
        <w:rPr>
          <w:rFonts w:ascii="Bookman Old Style" w:hAnsi="Bookman Old Style"/>
        </w:rPr>
      </w:pPr>
    </w:p>
    <w:p w:rsidR="00D668A3" w:rsidRDefault="00D668A3" w:rsidP="001376B5">
      <w:pPr>
        <w:ind w:left="0"/>
        <w:jc w:val="both"/>
        <w:rPr>
          <w:rFonts w:ascii="Bookman Old Style" w:hAnsi="Bookman Old Style"/>
        </w:rPr>
      </w:pPr>
    </w:p>
    <w:p w:rsidR="00D668A3" w:rsidRDefault="00D668A3"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Pr>
          <w:rFonts w:ascii="Bookman Old Style" w:hAnsi="Bookman Old Style"/>
        </w:rPr>
        <w:t>Según el artículo 4 de la Ley 401 de 1997, el C.N.O gas tiene entre otras funciones hacer recomendaciones que busquen que la operación integrada del Sistema Nacional de Transporte de Gas Natural sea segura, confiable y económica.</w:t>
      </w:r>
    </w:p>
    <w:p w:rsidR="001376B5" w:rsidRPr="00F420E6" w:rsidRDefault="001376B5" w:rsidP="001376B5">
      <w:pPr>
        <w:ind w:left="0"/>
        <w:jc w:val="both"/>
        <w:rPr>
          <w:rFonts w:ascii="Bookman Old Style" w:hAnsi="Bookman Old Style"/>
        </w:rPr>
      </w:pPr>
    </w:p>
    <w:p w:rsidR="001376B5" w:rsidRPr="00F420E6" w:rsidRDefault="001376B5" w:rsidP="001376B5">
      <w:pPr>
        <w:ind w:left="0"/>
        <w:jc w:val="both"/>
        <w:rPr>
          <w:rFonts w:ascii="Bookman Old Style" w:hAnsi="Bookman Old Style"/>
        </w:rPr>
      </w:pPr>
      <w:r w:rsidRPr="00F420E6">
        <w:rPr>
          <w:rFonts w:ascii="Bookman Old Style" w:hAnsi="Bookman Old Style"/>
        </w:rPr>
        <w:t>La CREG mediante Resolución CREG</w:t>
      </w:r>
      <w:r>
        <w:rPr>
          <w:rFonts w:ascii="Bookman Old Style" w:hAnsi="Bookman Old Style"/>
        </w:rPr>
        <w:t xml:space="preserve"> </w:t>
      </w:r>
      <w:r w:rsidRPr="00F420E6">
        <w:rPr>
          <w:rFonts w:ascii="Bookman Old Style" w:hAnsi="Bookman Old Style"/>
        </w:rPr>
        <w:t>071 de 2006, adoptó la metodología para la remuneración del Cargo por Confiabilidad en el Mercado Mayorista de Energía.</w:t>
      </w:r>
    </w:p>
    <w:p w:rsidR="001376B5" w:rsidRPr="00F420E6" w:rsidRDefault="001376B5" w:rsidP="001376B5">
      <w:pPr>
        <w:ind w:left="0"/>
        <w:jc w:val="both"/>
        <w:rPr>
          <w:rFonts w:ascii="Bookman Old Style" w:hAnsi="Bookman Old Style"/>
        </w:rPr>
      </w:pPr>
    </w:p>
    <w:p w:rsidR="001376B5" w:rsidRPr="00F420E6" w:rsidRDefault="001376B5" w:rsidP="001376B5">
      <w:pPr>
        <w:ind w:left="0"/>
        <w:jc w:val="both"/>
        <w:rPr>
          <w:rFonts w:ascii="Bookman Old Style" w:hAnsi="Bookman Old Style"/>
        </w:rPr>
      </w:pPr>
      <w:r w:rsidRPr="00F420E6">
        <w:rPr>
          <w:rFonts w:ascii="Bookman Old Style" w:hAnsi="Bookman Old Style"/>
        </w:rPr>
        <w:t xml:space="preserve">La CREG expidió la Resolución 085 de 2007 mediante la cual, entre otros, se </w:t>
      </w:r>
      <w:r>
        <w:rPr>
          <w:rFonts w:ascii="Bookman Old Style" w:hAnsi="Bookman Old Style"/>
        </w:rPr>
        <w:t xml:space="preserve">definieron </w:t>
      </w:r>
      <w:r w:rsidRPr="00F420E6">
        <w:rPr>
          <w:rFonts w:ascii="Bookman Old Style" w:hAnsi="Bookman Old Style"/>
        </w:rPr>
        <w:t>reglas para participar en la asignación de Obligaciones de Energía Firme con plantas o unidades térmicas que utilicen combustible líquido.</w:t>
      </w:r>
    </w:p>
    <w:p w:rsidR="001376B5" w:rsidRPr="00F420E6"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Pr>
          <w:rFonts w:ascii="Bookman Old Style" w:hAnsi="Bookman Old Style"/>
        </w:rPr>
        <w:t xml:space="preserve">La CREG mediante convenio con la Agencia Nacional de Hidrocarburos, ANH, y la Financiera Energética Nacional, FEN, adelantó un estudio de confiabilidad de la prestación del servicio de gas natural con el consorcio </w:t>
      </w:r>
      <w:proofErr w:type="spellStart"/>
      <w:r>
        <w:rPr>
          <w:rFonts w:ascii="Bookman Old Style" w:hAnsi="Bookman Old Style"/>
        </w:rPr>
        <w:t>Itansuca</w:t>
      </w:r>
      <w:proofErr w:type="spellEnd"/>
      <w:r>
        <w:rPr>
          <w:rFonts w:ascii="Bookman Old Style" w:hAnsi="Bookman Old Style"/>
        </w:rPr>
        <w:t xml:space="preserve"> y Freyre &amp; Asociados S.A.</w:t>
      </w:r>
    </w:p>
    <w:p w:rsidR="001376B5"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Pr>
          <w:rFonts w:ascii="Bookman Old Style" w:hAnsi="Bookman Old Style"/>
        </w:rPr>
        <w:t>La CREG ha encontrado que el abastecimiento con gas importado es una opción que se viene aplicando en diferentes partes del mundo y más recientemente en países de Sur América. El suministro de gas para respaldar ENFICC de plantas térmicas requiere de alta flexibilidad en el suministro. La conexión a un mercado líquido como el de Gas Natural Licuado (LNG) es una opción que puede ajustarse a esa condición.</w:t>
      </w:r>
    </w:p>
    <w:p w:rsidR="001376B5"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Pr>
          <w:rFonts w:ascii="Bookman Old Style" w:hAnsi="Bookman Old Style"/>
        </w:rPr>
        <w:t>La CREG expidió la Resolución 182 de 2010 “Por la cual se ordena hacer público un proyecto de resolución de carácter general “Por la cual se define una opción con gas natural importado para respaldar Obligaciones de Energía Firme del Cargo por Confiabilidad”.</w:t>
      </w:r>
    </w:p>
    <w:p w:rsidR="001376B5"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Pr>
          <w:rFonts w:ascii="Bookman Old Style" w:hAnsi="Bookman Old Style"/>
        </w:rPr>
        <w:t>Una vez transcurrido el plazo para comentarios se recibieron de: COLINVERSIONES E.S.P., radicado E-2011-000613, EPM, radicado E-2011-000645, EMGESA E.S.P., radicado E-2011-000620, GECELCA E.S.P., radicado E-2011-000635, ISAGEN E.S.P., radicado E-2011-000518, ANDEG, radicado E-2011-000629, ACOLGEN, radicado E-2011-000638, EPSA, radicado E-2011-000732, TERMOBARRANQUILLA E.S.P., radicado E-2011-000749, PROMIGAS E.S.P., radicado E-2011-000577, TGI E.S.P., radicado E-2011-000647, GAS NATURAL E.S.P., radicado E-2011-000617, ECOPETROL, radicado E-2011-000625, NATURGAS, radicado E-2011-000599, ASOCIACIÓN COLOMBIANA DEL PETROLEO, radicado E-2011-000614, CONSEJO NACIONAL DE OPERACIÓN, radicado E-2011-000606, y CERRITO CAPITAL, radicado E-2011-000529.</w:t>
      </w:r>
    </w:p>
    <w:p w:rsidR="001376B5"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Pr>
          <w:rFonts w:ascii="Bookman Old Style" w:hAnsi="Bookman Old Style"/>
        </w:rPr>
        <w:t xml:space="preserve">El Documento CREG </w:t>
      </w:r>
      <w:r w:rsidR="00A020F1">
        <w:rPr>
          <w:rFonts w:ascii="Bookman Old Style" w:hAnsi="Bookman Old Style"/>
        </w:rPr>
        <w:t>001</w:t>
      </w:r>
      <w:r w:rsidRPr="00F420E6">
        <w:rPr>
          <w:rFonts w:ascii="Bookman Old Style" w:hAnsi="Bookman Old Style"/>
        </w:rPr>
        <w:t xml:space="preserve"> de 201</w:t>
      </w:r>
      <w:r>
        <w:rPr>
          <w:rFonts w:ascii="Bookman Old Style" w:hAnsi="Bookman Old Style"/>
        </w:rPr>
        <w:t>1</w:t>
      </w:r>
      <w:r w:rsidRPr="00F420E6">
        <w:rPr>
          <w:rFonts w:ascii="Bookman Old Style" w:hAnsi="Bookman Old Style"/>
        </w:rPr>
        <w:t xml:space="preserve"> contiene los análisis </w:t>
      </w:r>
      <w:r>
        <w:rPr>
          <w:rFonts w:ascii="Bookman Old Style" w:hAnsi="Bookman Old Style"/>
        </w:rPr>
        <w:t xml:space="preserve">y la respuesta a los comentarios formulados por los agentes, en los cuales </w:t>
      </w:r>
      <w:r w:rsidRPr="00F420E6">
        <w:rPr>
          <w:rFonts w:ascii="Bookman Old Style" w:hAnsi="Bookman Old Style"/>
        </w:rPr>
        <w:t xml:space="preserve">fundamenta </w:t>
      </w:r>
      <w:r>
        <w:rPr>
          <w:rFonts w:ascii="Bookman Old Style" w:hAnsi="Bookman Old Style"/>
        </w:rPr>
        <w:t>esta resolución y en él se responde el cuestionario del que trata el Decreto 2897 de 2010.</w:t>
      </w:r>
    </w:p>
    <w:p w:rsidR="001376B5"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p>
    <w:p w:rsidR="00A020F1" w:rsidRDefault="00A020F1" w:rsidP="001376B5">
      <w:pPr>
        <w:ind w:left="0"/>
        <w:jc w:val="both"/>
        <w:rPr>
          <w:rFonts w:ascii="Bookman Old Style" w:hAnsi="Bookman Old Style"/>
        </w:rPr>
      </w:pPr>
    </w:p>
    <w:p w:rsidR="00A020F1" w:rsidRDefault="00A020F1" w:rsidP="001376B5">
      <w:pPr>
        <w:ind w:left="0"/>
        <w:jc w:val="both"/>
        <w:rPr>
          <w:rFonts w:ascii="Bookman Old Style" w:hAnsi="Bookman Old Style"/>
        </w:rPr>
      </w:pPr>
    </w:p>
    <w:p w:rsidR="00A020F1" w:rsidRPr="00C435C3" w:rsidRDefault="00A020F1" w:rsidP="001376B5">
      <w:pPr>
        <w:ind w:left="0"/>
        <w:jc w:val="both"/>
        <w:rPr>
          <w:rFonts w:ascii="Bookman Old Style" w:hAnsi="Bookman Old Style"/>
        </w:rPr>
      </w:pPr>
    </w:p>
    <w:p w:rsidR="001376B5" w:rsidRPr="00C435C3" w:rsidRDefault="001376B5" w:rsidP="001376B5">
      <w:pPr>
        <w:suppressAutoHyphens/>
        <w:jc w:val="center"/>
        <w:rPr>
          <w:rFonts w:ascii="Bookman Old Style" w:hAnsi="Bookman Old Style"/>
          <w:spacing w:val="-3"/>
        </w:rPr>
      </w:pPr>
      <w:r w:rsidRPr="00C435C3">
        <w:rPr>
          <w:rFonts w:ascii="Bookman Old Style" w:hAnsi="Bookman Old Style"/>
          <w:b/>
          <w:spacing w:val="-3"/>
        </w:rPr>
        <w:t>R E S U E L V E:</w:t>
      </w:r>
    </w:p>
    <w:p w:rsidR="001376B5" w:rsidRDefault="001376B5" w:rsidP="001376B5">
      <w:pPr>
        <w:jc w:val="center"/>
        <w:rPr>
          <w:rFonts w:ascii="Bookman Old Style" w:hAnsi="Bookman Old Style"/>
        </w:rPr>
      </w:pPr>
    </w:p>
    <w:p w:rsidR="001376B5" w:rsidRDefault="001376B5" w:rsidP="001376B5">
      <w:pPr>
        <w:ind w:left="0"/>
        <w:jc w:val="both"/>
        <w:rPr>
          <w:rFonts w:ascii="Bookman Old Style" w:hAnsi="Bookman Old Style"/>
        </w:rPr>
      </w:pPr>
      <w:r w:rsidRPr="002A782A">
        <w:rPr>
          <w:rFonts w:ascii="Bookman Old Style" w:hAnsi="Bookman Old Style"/>
          <w:b/>
        </w:rPr>
        <w:t xml:space="preserve">Artículo 1. </w:t>
      </w:r>
      <w:r>
        <w:rPr>
          <w:rFonts w:ascii="Bookman Old Style" w:hAnsi="Bookman Old Style"/>
          <w:b/>
        </w:rPr>
        <w:t xml:space="preserve">Opción </w:t>
      </w:r>
      <w:r w:rsidRPr="00F420E6">
        <w:rPr>
          <w:rFonts w:ascii="Bookman Old Style" w:hAnsi="Bookman Old Style"/>
          <w:b/>
        </w:rPr>
        <w:t>para participar en la asignación de Obligaciones de Energía Firme con planta y/o unidades térmicas que utilicen gas natural importado</w:t>
      </w:r>
      <w:r w:rsidRPr="00F420E6">
        <w:rPr>
          <w:rFonts w:ascii="Bookman Old Style" w:hAnsi="Bookman Old Style"/>
        </w:rPr>
        <w:t xml:space="preserve">. Quienes aspiren a participar en asignaciones de Obligaciones de Energía Firme con plantas y/o unidades térmicas </w:t>
      </w:r>
      <w:r>
        <w:rPr>
          <w:rFonts w:ascii="Bookman Old Style" w:hAnsi="Bookman Old Style"/>
        </w:rPr>
        <w:t xml:space="preserve">podrán utilizar </w:t>
      </w:r>
      <w:r w:rsidRPr="00F420E6">
        <w:rPr>
          <w:rFonts w:ascii="Bookman Old Style" w:hAnsi="Bookman Old Style"/>
        </w:rPr>
        <w:t>gas natural importado</w:t>
      </w:r>
      <w:r>
        <w:rPr>
          <w:rFonts w:ascii="Bookman Old Style" w:hAnsi="Bookman Old Style"/>
        </w:rPr>
        <w:t>,  e</w:t>
      </w:r>
      <w:r w:rsidRPr="00F420E6">
        <w:rPr>
          <w:rFonts w:ascii="Bookman Old Style" w:hAnsi="Bookman Old Style"/>
        </w:rPr>
        <w:t xml:space="preserve">ntendido como </w:t>
      </w:r>
      <w:r>
        <w:rPr>
          <w:rFonts w:ascii="Bookman Old Style" w:hAnsi="Bookman Old Style"/>
        </w:rPr>
        <w:t>a</w:t>
      </w:r>
      <w:r w:rsidRPr="00F420E6">
        <w:rPr>
          <w:rFonts w:ascii="Bookman Old Style" w:hAnsi="Bookman Old Style"/>
        </w:rPr>
        <w:t>que</w:t>
      </w:r>
      <w:r>
        <w:rPr>
          <w:rFonts w:ascii="Bookman Old Style" w:hAnsi="Bookman Old Style"/>
        </w:rPr>
        <w:t>l que</w:t>
      </w:r>
      <w:r w:rsidRPr="00F420E6">
        <w:rPr>
          <w:rFonts w:ascii="Bookman Old Style" w:hAnsi="Bookman Old Style"/>
        </w:rPr>
        <w:t xml:space="preserve"> se </w:t>
      </w:r>
      <w:r>
        <w:rPr>
          <w:rFonts w:ascii="Bookman Old Style" w:hAnsi="Bookman Old Style"/>
        </w:rPr>
        <w:t>produce</w:t>
      </w:r>
      <w:r w:rsidRPr="00F420E6">
        <w:rPr>
          <w:rFonts w:ascii="Bookman Old Style" w:hAnsi="Bookman Old Style"/>
        </w:rPr>
        <w:t xml:space="preserve"> fuera del territorio nacional</w:t>
      </w:r>
      <w:r>
        <w:rPr>
          <w:rFonts w:ascii="Bookman Old Style" w:hAnsi="Bookman Old Style"/>
        </w:rPr>
        <w:t>, para respaldar su ENFICC, cumpliendo las condiciones establecidas en esta resolución.</w:t>
      </w:r>
      <w:r w:rsidRPr="00F420E6">
        <w:rPr>
          <w:rFonts w:ascii="Bookman Old Style" w:hAnsi="Bookman Old Style"/>
        </w:rPr>
        <w:t xml:space="preserve"> </w:t>
      </w:r>
    </w:p>
    <w:p w:rsidR="001376B5" w:rsidRDefault="001376B5" w:rsidP="001376B5">
      <w:pPr>
        <w:ind w:left="0"/>
        <w:rPr>
          <w:rFonts w:ascii="Bookman Old Style" w:hAnsi="Bookman Old Style"/>
          <w:b/>
        </w:rPr>
      </w:pPr>
    </w:p>
    <w:p w:rsidR="001376B5" w:rsidRPr="00EC36FA" w:rsidRDefault="001376B5" w:rsidP="001376B5">
      <w:pPr>
        <w:ind w:left="0"/>
        <w:jc w:val="both"/>
        <w:rPr>
          <w:rFonts w:ascii="Bookman Old Style" w:hAnsi="Bookman Old Style"/>
        </w:rPr>
      </w:pPr>
      <w:r w:rsidRPr="00EC36FA">
        <w:rPr>
          <w:rFonts w:ascii="Bookman Old Style" w:hAnsi="Bookman Old Style"/>
          <w:b/>
        </w:rPr>
        <w:t>Artículo 2. Requisitos para acogerse a la opción</w:t>
      </w:r>
      <w:r w:rsidRPr="00EC36FA">
        <w:rPr>
          <w:rFonts w:ascii="Bookman Old Style" w:hAnsi="Bookman Old Style"/>
        </w:rPr>
        <w:t>. Para acogerse a la opción de que trata el artículo 1 de la presente resolución, el representante de la planta y/o unidad de generación térmica deberá man</w:t>
      </w:r>
      <w:r>
        <w:rPr>
          <w:rFonts w:ascii="Bookman Old Style" w:hAnsi="Bookman Old Style"/>
        </w:rPr>
        <w:t>ifestarlo por escrito a la CREG de acuerdo con el cronograma que defina la Comisión en cumplimiento del artículo 18 de la Resolución CREG 071 de 2006,</w:t>
      </w:r>
      <w:r w:rsidRPr="00EC36FA">
        <w:rPr>
          <w:rFonts w:ascii="Bookman Old Style" w:hAnsi="Bookman Old Style"/>
        </w:rPr>
        <w:t xml:space="preserve"> indicando por lo menos la siguiente información y cumpliendo las siguientes reglas:</w:t>
      </w:r>
    </w:p>
    <w:p w:rsidR="001376B5" w:rsidRPr="00EC36FA" w:rsidRDefault="001376B5" w:rsidP="001376B5">
      <w:pPr>
        <w:ind w:left="0"/>
        <w:jc w:val="both"/>
        <w:rPr>
          <w:rFonts w:ascii="Bookman Old Style" w:hAnsi="Bookman Old Style"/>
        </w:rPr>
      </w:pPr>
    </w:p>
    <w:p w:rsidR="001376B5" w:rsidRPr="00EC36FA" w:rsidRDefault="001376B5" w:rsidP="001376B5">
      <w:pPr>
        <w:pStyle w:val="Prrafodelista"/>
        <w:numPr>
          <w:ilvl w:val="0"/>
          <w:numId w:val="16"/>
        </w:numPr>
        <w:ind w:left="426"/>
        <w:jc w:val="both"/>
        <w:rPr>
          <w:rFonts w:ascii="Bookman Old Style" w:hAnsi="Bookman Old Style"/>
          <w:sz w:val="24"/>
          <w:szCs w:val="24"/>
        </w:rPr>
      </w:pPr>
      <w:r w:rsidRPr="00C97086">
        <w:rPr>
          <w:rFonts w:ascii="Bookman Old Style" w:hAnsi="Bookman Old Style"/>
          <w:sz w:val="24"/>
          <w:szCs w:val="24"/>
        </w:rPr>
        <w:t xml:space="preserve">Declaración de que cumplirá las condiciones establecidas en el </w:t>
      </w:r>
      <w:r>
        <w:rPr>
          <w:rFonts w:ascii="Bookman Old Style" w:hAnsi="Bookman Old Style"/>
          <w:sz w:val="24"/>
          <w:szCs w:val="24"/>
        </w:rPr>
        <w:t>a</w:t>
      </w:r>
      <w:r w:rsidRPr="00C97086">
        <w:rPr>
          <w:rFonts w:ascii="Bookman Old Style" w:hAnsi="Bookman Old Style"/>
          <w:sz w:val="24"/>
          <w:szCs w:val="24"/>
        </w:rPr>
        <w:t xml:space="preserve">rtículo 3 en caso de que requiera </w:t>
      </w:r>
      <w:r>
        <w:rPr>
          <w:rFonts w:ascii="Bookman Old Style" w:hAnsi="Bookman Old Style"/>
          <w:sz w:val="24"/>
          <w:szCs w:val="24"/>
        </w:rPr>
        <w:t xml:space="preserve">nueva </w:t>
      </w:r>
      <w:r w:rsidRPr="00C97086">
        <w:rPr>
          <w:rFonts w:ascii="Bookman Old Style" w:hAnsi="Bookman Old Style"/>
          <w:sz w:val="24"/>
          <w:szCs w:val="24"/>
        </w:rPr>
        <w:t>infraestructura para importar gas natural.</w:t>
      </w:r>
    </w:p>
    <w:p w:rsidR="001376B5" w:rsidRDefault="001376B5" w:rsidP="001376B5">
      <w:pPr>
        <w:pStyle w:val="Prrafodelista"/>
        <w:ind w:left="426"/>
        <w:jc w:val="both"/>
        <w:rPr>
          <w:rFonts w:ascii="Bookman Old Style" w:hAnsi="Bookman Old Style"/>
          <w:sz w:val="24"/>
          <w:szCs w:val="24"/>
        </w:rPr>
      </w:pPr>
    </w:p>
    <w:p w:rsidR="001376B5" w:rsidRPr="00EC36FA" w:rsidRDefault="001376B5" w:rsidP="001376B5">
      <w:pPr>
        <w:pStyle w:val="Prrafodelista"/>
        <w:numPr>
          <w:ilvl w:val="0"/>
          <w:numId w:val="16"/>
        </w:numPr>
        <w:ind w:left="426"/>
        <w:jc w:val="both"/>
        <w:rPr>
          <w:rFonts w:ascii="Bookman Old Style" w:hAnsi="Bookman Old Style"/>
          <w:sz w:val="24"/>
          <w:szCs w:val="24"/>
        </w:rPr>
      </w:pPr>
      <w:r w:rsidRPr="00C97086">
        <w:rPr>
          <w:rFonts w:ascii="Bookman Old Style" w:hAnsi="Bookman Old Style"/>
          <w:sz w:val="24"/>
          <w:szCs w:val="24"/>
        </w:rPr>
        <w:t>Cantidades de gas a respaldar con gas importado para lo cual se deberán utilizar los formatos del Anexo 5 de la Resolución CREG 071 de 2006. La información de las cantidades de gas importado será publicada por la CREG mediante circular del Director Ejecutivo.</w:t>
      </w:r>
    </w:p>
    <w:p w:rsidR="001376B5" w:rsidRPr="00EC36FA" w:rsidRDefault="001376B5" w:rsidP="001376B5">
      <w:pPr>
        <w:ind w:left="426"/>
        <w:jc w:val="both"/>
        <w:rPr>
          <w:rFonts w:ascii="Bookman Old Style" w:hAnsi="Bookman Old Style"/>
        </w:rPr>
      </w:pPr>
    </w:p>
    <w:p w:rsidR="001376B5" w:rsidRPr="00EC36FA" w:rsidRDefault="001376B5" w:rsidP="001376B5">
      <w:pPr>
        <w:pStyle w:val="Prrafodelista"/>
        <w:numPr>
          <w:ilvl w:val="0"/>
          <w:numId w:val="16"/>
        </w:numPr>
        <w:ind w:left="426"/>
        <w:jc w:val="both"/>
        <w:rPr>
          <w:rFonts w:ascii="Bookman Old Style" w:hAnsi="Bookman Old Style"/>
          <w:sz w:val="24"/>
          <w:szCs w:val="24"/>
        </w:rPr>
      </w:pPr>
      <w:r w:rsidRPr="00C97086">
        <w:rPr>
          <w:rFonts w:ascii="Bookman Old Style" w:hAnsi="Bookman Old Style"/>
          <w:sz w:val="24"/>
          <w:szCs w:val="24"/>
        </w:rPr>
        <w:t>Año o años de vigencia de la Obligación de Energía Firme que se va a respaldar.</w:t>
      </w:r>
    </w:p>
    <w:p w:rsidR="001376B5" w:rsidRPr="00EC36FA" w:rsidRDefault="001376B5" w:rsidP="001376B5">
      <w:pPr>
        <w:ind w:left="426"/>
        <w:jc w:val="both"/>
        <w:rPr>
          <w:rFonts w:ascii="Bookman Old Style" w:hAnsi="Bookman Old Style"/>
        </w:rPr>
      </w:pPr>
    </w:p>
    <w:p w:rsidR="001376B5" w:rsidRPr="00C97086" w:rsidRDefault="001376B5" w:rsidP="001376B5">
      <w:pPr>
        <w:ind w:left="0"/>
        <w:jc w:val="both"/>
        <w:rPr>
          <w:rFonts w:ascii="Bookman Old Style" w:hAnsi="Bookman Old Style"/>
        </w:rPr>
      </w:pPr>
      <w:r w:rsidRPr="00C97086">
        <w:rPr>
          <w:rFonts w:ascii="Bookman Old Style" w:hAnsi="Bookman Old Style"/>
          <w:b/>
        </w:rPr>
        <w:t>Parágrafo</w:t>
      </w:r>
      <w:r w:rsidRPr="00C97086">
        <w:rPr>
          <w:rFonts w:ascii="Bookman Old Style" w:hAnsi="Bookman Old Style"/>
        </w:rPr>
        <w:t xml:space="preserve">. Quienes se acojan parcialmente a la opción de que trata el artículo 1 de esta resolución, deberán cumplir con la regulación existente en lo que respecta a las garantías y entrega de contratos de suministro y transporte, para la parte que no se respalde con </w:t>
      </w:r>
      <w:r>
        <w:rPr>
          <w:rFonts w:ascii="Bookman Old Style" w:hAnsi="Bookman Old Style"/>
        </w:rPr>
        <w:t xml:space="preserve">esta </w:t>
      </w:r>
      <w:r w:rsidRPr="00C97086">
        <w:rPr>
          <w:rFonts w:ascii="Bookman Old Style" w:hAnsi="Bookman Old Style"/>
        </w:rPr>
        <w:t>opción.</w:t>
      </w:r>
    </w:p>
    <w:p w:rsidR="001376B5" w:rsidRDefault="001376B5" w:rsidP="001376B5">
      <w:pPr>
        <w:ind w:left="0"/>
        <w:rPr>
          <w:rFonts w:ascii="Bookman Old Style" w:hAnsi="Bookman Old Style"/>
          <w:b/>
        </w:rPr>
      </w:pPr>
    </w:p>
    <w:p w:rsidR="001376B5" w:rsidRPr="00F420E6" w:rsidRDefault="001376B5" w:rsidP="001376B5">
      <w:pPr>
        <w:ind w:left="0"/>
        <w:jc w:val="both"/>
        <w:rPr>
          <w:rFonts w:ascii="Bookman Old Style" w:hAnsi="Bookman Old Style"/>
        </w:rPr>
      </w:pPr>
      <w:r w:rsidRPr="00F420E6">
        <w:rPr>
          <w:rFonts w:ascii="Bookman Old Style" w:hAnsi="Bookman Old Style"/>
          <w:b/>
        </w:rPr>
        <w:t xml:space="preserve">Artículo </w:t>
      </w:r>
      <w:r>
        <w:rPr>
          <w:rFonts w:ascii="Bookman Old Style" w:hAnsi="Bookman Old Style"/>
          <w:b/>
        </w:rPr>
        <w:t>3</w:t>
      </w:r>
      <w:r w:rsidRPr="00F420E6">
        <w:rPr>
          <w:rFonts w:ascii="Bookman Old Style" w:hAnsi="Bookman Old Style"/>
          <w:b/>
        </w:rPr>
        <w:t xml:space="preserve">. </w:t>
      </w:r>
      <w:r>
        <w:rPr>
          <w:rFonts w:ascii="Bookman Old Style" w:hAnsi="Bookman Old Style"/>
          <w:b/>
        </w:rPr>
        <w:t>Condiciones para respaldar las OEF cuando se requiera</w:t>
      </w:r>
      <w:r w:rsidRPr="00F420E6">
        <w:rPr>
          <w:rFonts w:ascii="Bookman Old Style" w:hAnsi="Bookman Old Style"/>
          <w:b/>
        </w:rPr>
        <w:t xml:space="preserve"> nueva infraestructura de importación</w:t>
      </w:r>
      <w:r>
        <w:rPr>
          <w:rFonts w:ascii="Bookman Old Style" w:hAnsi="Bookman Old Style"/>
          <w:b/>
        </w:rPr>
        <w:t xml:space="preserve"> de gas natural.</w:t>
      </w:r>
      <w:r>
        <w:rPr>
          <w:rFonts w:ascii="Bookman Old Style" w:hAnsi="Bookman Old Style"/>
        </w:rPr>
        <w:t xml:space="preserve"> </w:t>
      </w:r>
      <w:r w:rsidRPr="00F420E6">
        <w:rPr>
          <w:rFonts w:ascii="Bookman Old Style" w:hAnsi="Bookman Old Style"/>
        </w:rPr>
        <w:t>En caso de no contar con la infraestructura para importar el gas natural</w:t>
      </w:r>
      <w:r>
        <w:rPr>
          <w:rFonts w:ascii="Bookman Old Style" w:hAnsi="Bookman Old Style"/>
        </w:rPr>
        <w:t xml:space="preserve">, </w:t>
      </w:r>
      <w:r w:rsidRPr="00F420E6">
        <w:rPr>
          <w:rFonts w:ascii="Bookman Old Style" w:hAnsi="Bookman Old Style"/>
        </w:rPr>
        <w:t xml:space="preserve">en la fecha de la declaración, </w:t>
      </w:r>
      <w:r>
        <w:rPr>
          <w:rFonts w:ascii="Bookman Old Style" w:hAnsi="Bookman Old Style"/>
        </w:rPr>
        <w:t xml:space="preserve">el o los </w:t>
      </w:r>
      <w:r w:rsidRPr="00F420E6">
        <w:rPr>
          <w:rFonts w:ascii="Bookman Old Style" w:hAnsi="Bookman Old Style"/>
        </w:rPr>
        <w:t>representante</w:t>
      </w:r>
      <w:r>
        <w:rPr>
          <w:rFonts w:ascii="Bookman Old Style" w:hAnsi="Bookman Old Style"/>
        </w:rPr>
        <w:t>s</w:t>
      </w:r>
      <w:r w:rsidRPr="00F420E6">
        <w:rPr>
          <w:rFonts w:ascii="Bookman Old Style" w:hAnsi="Bookman Old Style"/>
        </w:rPr>
        <w:t xml:space="preserve"> de la</w:t>
      </w:r>
      <w:r>
        <w:rPr>
          <w:rFonts w:ascii="Bookman Old Style" w:hAnsi="Bookman Old Style"/>
        </w:rPr>
        <w:t>s</w:t>
      </w:r>
      <w:r w:rsidRPr="00F420E6">
        <w:rPr>
          <w:rFonts w:ascii="Bookman Old Style" w:hAnsi="Bookman Old Style"/>
        </w:rPr>
        <w:t xml:space="preserve"> planta</w:t>
      </w:r>
      <w:r>
        <w:rPr>
          <w:rFonts w:ascii="Bookman Old Style" w:hAnsi="Bookman Old Style"/>
        </w:rPr>
        <w:t>s</w:t>
      </w:r>
      <w:r w:rsidRPr="00F420E6">
        <w:rPr>
          <w:rFonts w:ascii="Bookman Old Style" w:hAnsi="Bookman Old Style"/>
        </w:rPr>
        <w:t xml:space="preserve"> y/o unidad</w:t>
      </w:r>
      <w:r>
        <w:rPr>
          <w:rFonts w:ascii="Bookman Old Style" w:hAnsi="Bookman Old Style"/>
        </w:rPr>
        <w:t>es</w:t>
      </w:r>
      <w:r w:rsidRPr="00F420E6">
        <w:rPr>
          <w:rFonts w:ascii="Bookman Old Style" w:hAnsi="Bookman Old Style"/>
        </w:rPr>
        <w:t xml:space="preserve"> de generación térmica </w:t>
      </w:r>
      <w:r>
        <w:rPr>
          <w:rFonts w:ascii="Bookman Old Style" w:hAnsi="Bookman Old Style"/>
        </w:rPr>
        <w:t xml:space="preserve">que deseen acogerse a la opción </w:t>
      </w:r>
      <w:r w:rsidRPr="00F420E6">
        <w:rPr>
          <w:rFonts w:ascii="Bookman Old Style" w:hAnsi="Bookman Old Style"/>
        </w:rPr>
        <w:t>deberá</w:t>
      </w:r>
      <w:r>
        <w:rPr>
          <w:rFonts w:ascii="Bookman Old Style" w:hAnsi="Bookman Old Style"/>
        </w:rPr>
        <w:t>n</w:t>
      </w:r>
      <w:r w:rsidRPr="00F420E6">
        <w:rPr>
          <w:rFonts w:ascii="Bookman Old Style" w:hAnsi="Bookman Old Style"/>
        </w:rPr>
        <w:t xml:space="preserve"> </w:t>
      </w:r>
      <w:r>
        <w:rPr>
          <w:rFonts w:ascii="Bookman Old Style" w:hAnsi="Bookman Old Style"/>
        </w:rPr>
        <w:t>cumplir  los siguientes requisitos:</w:t>
      </w:r>
    </w:p>
    <w:p w:rsidR="001376B5" w:rsidRPr="00F420E6" w:rsidRDefault="001376B5" w:rsidP="001376B5">
      <w:pPr>
        <w:ind w:left="0"/>
        <w:jc w:val="both"/>
        <w:rPr>
          <w:rFonts w:ascii="Bookman Old Style" w:hAnsi="Bookman Old Style"/>
        </w:rPr>
      </w:pPr>
    </w:p>
    <w:p w:rsidR="001376B5" w:rsidRPr="002862AA" w:rsidRDefault="001376B5" w:rsidP="001376B5">
      <w:pPr>
        <w:pStyle w:val="Prrafodelista"/>
        <w:numPr>
          <w:ilvl w:val="0"/>
          <w:numId w:val="17"/>
        </w:numPr>
        <w:jc w:val="both"/>
        <w:rPr>
          <w:rFonts w:ascii="Bookman Old Style" w:hAnsi="Bookman Old Style"/>
        </w:rPr>
      </w:pPr>
      <w:r w:rsidRPr="00564614">
        <w:rPr>
          <w:rFonts w:ascii="Bookman Old Style" w:hAnsi="Bookman Old Style"/>
          <w:b/>
          <w:sz w:val="24"/>
          <w:szCs w:val="24"/>
          <w:lang w:val="es-ES"/>
        </w:rPr>
        <w:t>Organización</w:t>
      </w:r>
      <w:r w:rsidRPr="00C97086">
        <w:rPr>
          <w:rFonts w:ascii="Bookman Old Style" w:hAnsi="Bookman Old Style"/>
          <w:sz w:val="24"/>
          <w:szCs w:val="24"/>
          <w:lang w:val="es-ES"/>
        </w:rPr>
        <w:t>. A más tardar al finalizar el cuarto (4</w:t>
      </w:r>
      <w:r>
        <w:rPr>
          <w:rFonts w:ascii="Bookman Old Style" w:hAnsi="Bookman Old Style"/>
          <w:sz w:val="24"/>
          <w:szCs w:val="24"/>
          <w:lang w:val="es-ES"/>
        </w:rPr>
        <w:t>to</w:t>
      </w:r>
      <w:r w:rsidRPr="00C97086">
        <w:rPr>
          <w:rFonts w:ascii="Bookman Old Style" w:hAnsi="Bookman Old Style"/>
          <w:sz w:val="24"/>
          <w:szCs w:val="24"/>
          <w:lang w:val="es-ES"/>
        </w:rPr>
        <w:t>) mes de haber entregado la manifestación escrita por el agente generador</w:t>
      </w:r>
      <w:r>
        <w:rPr>
          <w:rFonts w:ascii="Bookman Old Style" w:hAnsi="Bookman Old Style"/>
          <w:sz w:val="24"/>
          <w:szCs w:val="24"/>
          <w:lang w:val="es-ES"/>
        </w:rPr>
        <w:t>, según lo establecido en el artículo 2 de esta resolución</w:t>
      </w:r>
      <w:r w:rsidRPr="00C97086">
        <w:rPr>
          <w:rFonts w:ascii="Bookman Old Style" w:hAnsi="Bookman Old Style"/>
          <w:sz w:val="24"/>
          <w:szCs w:val="24"/>
          <w:lang w:val="es-ES"/>
        </w:rPr>
        <w:t>, se deberá entregar</w:t>
      </w:r>
      <w:r>
        <w:rPr>
          <w:rFonts w:ascii="Bookman Old Style" w:hAnsi="Bookman Old Style"/>
          <w:sz w:val="24"/>
          <w:szCs w:val="24"/>
          <w:lang w:val="es-ES"/>
        </w:rPr>
        <w:t xml:space="preserve"> a la CREG un documento con</w:t>
      </w:r>
      <w:r w:rsidRPr="00C97086">
        <w:rPr>
          <w:rFonts w:ascii="Bookman Old Style" w:hAnsi="Bookman Old Style"/>
          <w:sz w:val="24"/>
          <w:szCs w:val="24"/>
          <w:lang w:val="es-ES"/>
        </w:rPr>
        <w:t xml:space="preserve"> el esquema de organización y el </w:t>
      </w:r>
      <w:r>
        <w:rPr>
          <w:rFonts w:ascii="Bookman Old Style" w:hAnsi="Bookman Old Style"/>
          <w:sz w:val="24"/>
          <w:szCs w:val="24"/>
          <w:lang w:val="es-ES"/>
        </w:rPr>
        <w:t xml:space="preserve">cronograma detallado por actividades del </w:t>
      </w:r>
      <w:r w:rsidRPr="00C97086">
        <w:rPr>
          <w:rFonts w:ascii="Bookman Old Style" w:hAnsi="Bookman Old Style"/>
          <w:sz w:val="24"/>
          <w:szCs w:val="24"/>
          <w:lang w:val="es-ES"/>
        </w:rPr>
        <w:t>proceso a seguir para obtener gas natural importado.</w:t>
      </w:r>
    </w:p>
    <w:p w:rsidR="001376B5" w:rsidRPr="002862AA" w:rsidRDefault="001376B5" w:rsidP="001376B5">
      <w:pPr>
        <w:ind w:left="360"/>
        <w:jc w:val="both"/>
        <w:rPr>
          <w:rFonts w:ascii="Bookman Old Style" w:hAnsi="Bookman Old Style"/>
        </w:rPr>
      </w:pPr>
    </w:p>
    <w:p w:rsidR="002F41F2" w:rsidRPr="002F41F2" w:rsidRDefault="001376B5" w:rsidP="002F41F2">
      <w:pPr>
        <w:pStyle w:val="Prrafodelista"/>
        <w:numPr>
          <w:ilvl w:val="0"/>
          <w:numId w:val="17"/>
        </w:numPr>
        <w:jc w:val="both"/>
        <w:rPr>
          <w:rFonts w:ascii="Bookman Old Style" w:hAnsi="Bookman Old Style"/>
          <w:sz w:val="24"/>
          <w:szCs w:val="24"/>
          <w:lang w:val="es-ES"/>
        </w:rPr>
      </w:pPr>
      <w:r w:rsidRPr="002F41F2">
        <w:rPr>
          <w:rFonts w:ascii="Bookman Old Style" w:hAnsi="Bookman Old Style"/>
          <w:b/>
          <w:sz w:val="24"/>
          <w:szCs w:val="24"/>
          <w:lang w:val="es-ES"/>
        </w:rPr>
        <w:t>Definición esquema de selección</w:t>
      </w:r>
      <w:r w:rsidRPr="002F41F2">
        <w:rPr>
          <w:rFonts w:ascii="Bookman Old Style" w:hAnsi="Bookman Old Style"/>
          <w:sz w:val="24"/>
          <w:szCs w:val="24"/>
          <w:lang w:val="es-ES"/>
        </w:rPr>
        <w:t>. A más tardar antes de finalizar el cuarto (4to) mes de haberse cumplido el paso</w:t>
      </w:r>
      <w:r w:rsidR="00F267A4" w:rsidRPr="002F41F2">
        <w:rPr>
          <w:rFonts w:ascii="Bookman Old Style" w:hAnsi="Bookman Old Style"/>
          <w:sz w:val="24"/>
          <w:szCs w:val="24"/>
          <w:lang w:val="es-ES"/>
        </w:rPr>
        <w:t xml:space="preserve"> del numeral</w:t>
      </w:r>
      <w:r w:rsidRPr="002F41F2">
        <w:rPr>
          <w:rFonts w:ascii="Bookman Old Style" w:hAnsi="Bookman Old Style"/>
          <w:sz w:val="24"/>
          <w:szCs w:val="24"/>
          <w:lang w:val="es-ES"/>
        </w:rPr>
        <w:t xml:space="preserve"> i</w:t>
      </w:r>
      <w:r w:rsidR="00F267A4" w:rsidRPr="002F41F2">
        <w:rPr>
          <w:rFonts w:ascii="Bookman Old Style" w:hAnsi="Bookman Old Style"/>
          <w:sz w:val="24"/>
          <w:szCs w:val="24"/>
          <w:lang w:val="es-ES"/>
        </w:rPr>
        <w:t>)</w:t>
      </w:r>
      <w:r w:rsidRPr="002F41F2">
        <w:rPr>
          <w:rFonts w:ascii="Bookman Old Style" w:hAnsi="Bookman Old Style"/>
          <w:sz w:val="24"/>
          <w:szCs w:val="24"/>
          <w:lang w:val="es-ES"/>
        </w:rPr>
        <w:t xml:space="preserve">, el agente </w:t>
      </w:r>
      <w:r w:rsidRPr="002F41F2">
        <w:rPr>
          <w:rFonts w:ascii="Bookman Old Style" w:hAnsi="Bookman Old Style"/>
          <w:sz w:val="24"/>
          <w:szCs w:val="24"/>
          <w:lang w:val="es-ES"/>
        </w:rPr>
        <w:lastRenderedPageBreak/>
        <w:t>deberá entregar a la CREG, el esquema de definición de selección</w:t>
      </w:r>
      <w:r w:rsidR="002F41F2">
        <w:rPr>
          <w:rFonts w:ascii="Bookman Old Style" w:hAnsi="Bookman Old Style"/>
          <w:sz w:val="24"/>
          <w:szCs w:val="24"/>
          <w:lang w:val="es-ES"/>
        </w:rPr>
        <w:t xml:space="preserve"> p</w:t>
      </w:r>
      <w:r w:rsidR="002F41F2" w:rsidRPr="002F41F2">
        <w:rPr>
          <w:rFonts w:ascii="Bookman Old Style" w:hAnsi="Bookman Old Style"/>
          <w:sz w:val="24"/>
          <w:szCs w:val="24"/>
          <w:lang w:val="es-ES"/>
        </w:rPr>
        <w:t>ara escoger el desarrollado</w:t>
      </w:r>
      <w:r w:rsidR="00FD1193">
        <w:rPr>
          <w:rFonts w:ascii="Bookman Old Style" w:hAnsi="Bookman Old Style"/>
          <w:sz w:val="24"/>
          <w:szCs w:val="24"/>
          <w:lang w:val="es-ES"/>
        </w:rPr>
        <w:t>r</w:t>
      </w:r>
      <w:r w:rsidR="002F41F2" w:rsidRPr="002F41F2">
        <w:rPr>
          <w:rFonts w:ascii="Bookman Old Style" w:hAnsi="Bookman Old Style"/>
          <w:sz w:val="24"/>
          <w:szCs w:val="24"/>
          <w:lang w:val="es-ES"/>
        </w:rPr>
        <w:t xml:space="preserve"> de la infraestructura de importación.</w:t>
      </w:r>
    </w:p>
    <w:p w:rsidR="001376B5" w:rsidRDefault="001376B5" w:rsidP="001376B5">
      <w:pPr>
        <w:pStyle w:val="Prrafodelista"/>
        <w:ind w:left="1080"/>
        <w:jc w:val="both"/>
        <w:rPr>
          <w:rFonts w:ascii="Bookman Old Style" w:hAnsi="Bookman Old Style"/>
          <w:lang w:val="es-ES"/>
        </w:rPr>
      </w:pPr>
    </w:p>
    <w:p w:rsidR="001376B5" w:rsidRDefault="001376B5" w:rsidP="001376B5">
      <w:pPr>
        <w:pStyle w:val="Prrafodelista"/>
        <w:numPr>
          <w:ilvl w:val="0"/>
          <w:numId w:val="17"/>
        </w:numPr>
        <w:jc w:val="both"/>
        <w:rPr>
          <w:rFonts w:ascii="Bookman Old Style" w:hAnsi="Bookman Old Style"/>
        </w:rPr>
      </w:pPr>
      <w:r w:rsidRPr="00B7075B">
        <w:rPr>
          <w:rFonts w:ascii="Bookman Old Style" w:hAnsi="Bookman Old Style"/>
          <w:b/>
          <w:sz w:val="24"/>
          <w:szCs w:val="24"/>
          <w:lang w:val="es-ES"/>
        </w:rPr>
        <w:t>Selección de constructor y operador de la infraestructura de importación y auditoría</w:t>
      </w:r>
      <w:r w:rsidRPr="00C97086">
        <w:rPr>
          <w:rFonts w:ascii="Bookman Old Style" w:hAnsi="Bookman Old Style"/>
          <w:sz w:val="24"/>
          <w:szCs w:val="24"/>
          <w:lang w:val="es-ES"/>
        </w:rPr>
        <w:t xml:space="preserve">. A más tardar antes de finalizar el </w:t>
      </w:r>
      <w:r>
        <w:rPr>
          <w:rFonts w:ascii="Bookman Old Style" w:hAnsi="Bookman Old Style"/>
          <w:sz w:val="24"/>
          <w:szCs w:val="24"/>
          <w:lang w:val="es-ES"/>
        </w:rPr>
        <w:t>un</w:t>
      </w:r>
      <w:r w:rsidRPr="00C97086">
        <w:rPr>
          <w:rFonts w:ascii="Bookman Old Style" w:hAnsi="Bookman Old Style"/>
          <w:sz w:val="24"/>
          <w:szCs w:val="24"/>
          <w:lang w:val="es-ES"/>
        </w:rPr>
        <w:t>décimo (1</w:t>
      </w:r>
      <w:r>
        <w:rPr>
          <w:rFonts w:ascii="Bookman Old Style" w:hAnsi="Bookman Old Style"/>
          <w:sz w:val="24"/>
          <w:szCs w:val="24"/>
          <w:lang w:val="es-ES"/>
        </w:rPr>
        <w:t>1mo</w:t>
      </w:r>
      <w:r w:rsidRPr="00C97086">
        <w:rPr>
          <w:rFonts w:ascii="Bookman Old Style" w:hAnsi="Bookman Old Style"/>
          <w:sz w:val="24"/>
          <w:szCs w:val="24"/>
          <w:lang w:val="es-ES"/>
        </w:rPr>
        <w:t>)</w:t>
      </w:r>
      <w:r>
        <w:rPr>
          <w:rFonts w:ascii="Bookman Old Style" w:hAnsi="Bookman Old Style"/>
          <w:sz w:val="24"/>
          <w:szCs w:val="24"/>
          <w:lang w:val="es-ES"/>
        </w:rPr>
        <w:t xml:space="preserve"> mes de haber</w:t>
      </w:r>
      <w:r w:rsidRPr="00C97086">
        <w:rPr>
          <w:rFonts w:ascii="Bookman Old Style" w:hAnsi="Bookman Old Style"/>
          <w:sz w:val="24"/>
          <w:szCs w:val="24"/>
          <w:lang w:val="es-ES"/>
        </w:rPr>
        <w:t>se cumplido el paso i</w:t>
      </w:r>
      <w:r w:rsidR="00F267A4">
        <w:rPr>
          <w:rFonts w:ascii="Bookman Old Style" w:hAnsi="Bookman Old Style"/>
          <w:sz w:val="24"/>
          <w:szCs w:val="24"/>
          <w:lang w:val="es-ES"/>
        </w:rPr>
        <w:t>)</w:t>
      </w:r>
      <w:r>
        <w:rPr>
          <w:rFonts w:ascii="Bookman Old Style" w:hAnsi="Bookman Old Style"/>
          <w:sz w:val="24"/>
          <w:szCs w:val="24"/>
          <w:lang w:val="es-ES"/>
        </w:rPr>
        <w:t xml:space="preserve">, el agente deberá entregar </w:t>
      </w:r>
      <w:r w:rsidRPr="00C97086">
        <w:rPr>
          <w:rFonts w:ascii="Bookman Old Style" w:hAnsi="Bookman Old Style"/>
          <w:sz w:val="24"/>
          <w:szCs w:val="24"/>
          <w:lang w:val="es-ES"/>
        </w:rPr>
        <w:t>a la CREG</w:t>
      </w:r>
      <w:r>
        <w:rPr>
          <w:rFonts w:ascii="Bookman Old Style" w:hAnsi="Bookman Old Style"/>
          <w:sz w:val="24"/>
          <w:szCs w:val="24"/>
          <w:lang w:val="es-ES"/>
        </w:rPr>
        <w:t>,</w:t>
      </w:r>
      <w:r w:rsidRPr="00C97086">
        <w:rPr>
          <w:rFonts w:ascii="Bookman Old Style" w:hAnsi="Bookman Old Style"/>
          <w:sz w:val="24"/>
          <w:szCs w:val="24"/>
          <w:lang w:val="es-ES"/>
        </w:rPr>
        <w:t xml:space="preserve"> </w:t>
      </w:r>
      <w:r>
        <w:rPr>
          <w:rFonts w:ascii="Bookman Old Style" w:hAnsi="Bookman Old Style"/>
          <w:sz w:val="24"/>
          <w:szCs w:val="24"/>
          <w:lang w:val="es-ES"/>
        </w:rPr>
        <w:t xml:space="preserve">debidamente auditados, </w:t>
      </w:r>
      <w:r w:rsidRPr="00C97086">
        <w:rPr>
          <w:rFonts w:ascii="Bookman Old Style" w:hAnsi="Bookman Old Style"/>
          <w:sz w:val="24"/>
          <w:szCs w:val="24"/>
          <w:lang w:val="es-ES"/>
        </w:rPr>
        <w:t>los contratos de construcción y operación de la infraestructura</w:t>
      </w:r>
      <w:r>
        <w:rPr>
          <w:rFonts w:ascii="Bookman Old Style" w:hAnsi="Bookman Old Style"/>
          <w:sz w:val="24"/>
          <w:szCs w:val="24"/>
          <w:lang w:val="es-ES"/>
        </w:rPr>
        <w:t>.</w:t>
      </w:r>
      <w:r w:rsidRPr="00C97086">
        <w:rPr>
          <w:rFonts w:ascii="Bookman Old Style" w:hAnsi="Bookman Old Style"/>
          <w:sz w:val="24"/>
          <w:szCs w:val="24"/>
          <w:lang w:val="es-ES"/>
        </w:rPr>
        <w:t xml:space="preserve"> </w:t>
      </w:r>
      <w:r>
        <w:rPr>
          <w:rFonts w:ascii="Bookman Old Style" w:hAnsi="Bookman Old Style"/>
          <w:sz w:val="24"/>
          <w:szCs w:val="24"/>
          <w:lang w:val="es-ES"/>
        </w:rPr>
        <w:t>E</w:t>
      </w:r>
      <w:r w:rsidRPr="00C97086">
        <w:rPr>
          <w:rFonts w:ascii="Bookman Old Style" w:hAnsi="Bookman Old Style"/>
          <w:sz w:val="24"/>
          <w:szCs w:val="24"/>
          <w:lang w:val="es-ES"/>
        </w:rPr>
        <w:t xml:space="preserve">l </w:t>
      </w:r>
      <w:r>
        <w:rPr>
          <w:rFonts w:ascii="Bookman Old Style" w:hAnsi="Bookman Old Style"/>
          <w:sz w:val="24"/>
          <w:szCs w:val="24"/>
          <w:lang w:val="es-ES"/>
        </w:rPr>
        <w:t xml:space="preserve">contrato </w:t>
      </w:r>
      <w:r w:rsidRPr="00C97086">
        <w:rPr>
          <w:rFonts w:ascii="Bookman Old Style" w:hAnsi="Bookman Old Style"/>
          <w:sz w:val="24"/>
          <w:szCs w:val="24"/>
          <w:lang w:val="es-ES"/>
        </w:rPr>
        <w:t>de suministro de gas natural</w:t>
      </w:r>
      <w:r>
        <w:rPr>
          <w:rFonts w:ascii="Bookman Old Style" w:hAnsi="Bookman Old Style"/>
          <w:sz w:val="24"/>
          <w:szCs w:val="24"/>
          <w:lang w:val="es-ES"/>
        </w:rPr>
        <w:t xml:space="preserve"> se entregará según las condiciones establecidas en el </w:t>
      </w:r>
      <w:r w:rsidR="00F267A4">
        <w:rPr>
          <w:rFonts w:ascii="Bookman Old Style" w:hAnsi="Bookman Old Style"/>
          <w:sz w:val="24"/>
          <w:szCs w:val="24"/>
          <w:lang w:val="es-ES"/>
        </w:rPr>
        <w:t>a</w:t>
      </w:r>
      <w:r>
        <w:rPr>
          <w:rFonts w:ascii="Bookman Old Style" w:hAnsi="Bookman Old Style"/>
          <w:sz w:val="24"/>
          <w:szCs w:val="24"/>
          <w:lang w:val="es-ES"/>
        </w:rPr>
        <w:t>rtículo 4</w:t>
      </w:r>
      <w:r w:rsidRPr="00C97086">
        <w:rPr>
          <w:rFonts w:ascii="Bookman Old Style" w:hAnsi="Bookman Old Style"/>
          <w:sz w:val="24"/>
          <w:szCs w:val="24"/>
          <w:lang w:val="es-ES"/>
        </w:rPr>
        <w:t>.</w:t>
      </w:r>
      <w:r>
        <w:rPr>
          <w:rFonts w:ascii="Bookman Old Style" w:hAnsi="Bookman Old Style"/>
          <w:sz w:val="24"/>
          <w:szCs w:val="24"/>
          <w:lang w:val="es-ES"/>
        </w:rPr>
        <w:t xml:space="preserve"> </w:t>
      </w:r>
    </w:p>
    <w:p w:rsidR="001376B5" w:rsidRDefault="001376B5" w:rsidP="001376B5">
      <w:pPr>
        <w:jc w:val="both"/>
        <w:rPr>
          <w:rFonts w:ascii="Bookman Old Style" w:hAnsi="Bookman Old Style"/>
        </w:rPr>
      </w:pPr>
    </w:p>
    <w:p w:rsidR="001376B5" w:rsidRDefault="001376B5" w:rsidP="001376B5">
      <w:pPr>
        <w:pStyle w:val="Prrafodelista"/>
        <w:ind w:left="1080"/>
        <w:jc w:val="both"/>
        <w:rPr>
          <w:rFonts w:ascii="Bookman Old Style" w:hAnsi="Bookman Old Style"/>
          <w:sz w:val="24"/>
          <w:szCs w:val="24"/>
        </w:rPr>
      </w:pPr>
      <w:r>
        <w:rPr>
          <w:rFonts w:ascii="Bookman Old Style" w:hAnsi="Bookman Old Style"/>
          <w:sz w:val="24"/>
          <w:szCs w:val="24"/>
        </w:rPr>
        <w:t>La auditorí</w:t>
      </w:r>
      <w:r w:rsidRPr="00C97086">
        <w:rPr>
          <w:rFonts w:ascii="Bookman Old Style" w:hAnsi="Bookman Old Style"/>
          <w:sz w:val="24"/>
          <w:szCs w:val="24"/>
        </w:rPr>
        <w:t>a debe</w:t>
      </w:r>
      <w:r w:rsidR="00DB0F0C">
        <w:rPr>
          <w:rFonts w:ascii="Bookman Old Style" w:hAnsi="Bookman Old Style"/>
          <w:sz w:val="24"/>
          <w:szCs w:val="24"/>
        </w:rPr>
        <w:t>rá</w:t>
      </w:r>
      <w:r w:rsidRPr="00C97086">
        <w:rPr>
          <w:rFonts w:ascii="Bookman Old Style" w:hAnsi="Bookman Old Style"/>
          <w:sz w:val="24"/>
          <w:szCs w:val="24"/>
        </w:rPr>
        <w:t xml:space="preserve"> verificar que las cantidades contratadas sean suficientes para garantizar las OEF asignadas y verificar</w:t>
      </w:r>
      <w:r>
        <w:rPr>
          <w:rFonts w:ascii="Bookman Old Style" w:hAnsi="Bookman Old Style"/>
          <w:sz w:val="24"/>
          <w:szCs w:val="24"/>
        </w:rPr>
        <w:t>,</w:t>
      </w:r>
      <w:r w:rsidRPr="00C97086">
        <w:rPr>
          <w:rFonts w:ascii="Bookman Old Style" w:hAnsi="Bookman Old Style"/>
          <w:sz w:val="24"/>
          <w:szCs w:val="24"/>
        </w:rPr>
        <w:t xml:space="preserve"> </w:t>
      </w:r>
      <w:r w:rsidRPr="00A81878">
        <w:rPr>
          <w:rFonts w:ascii="Bookman Old Style" w:hAnsi="Bookman Old Style"/>
          <w:sz w:val="24"/>
          <w:szCs w:val="24"/>
        </w:rPr>
        <w:t>utilizando las mejores prácticas de ingeniería</w:t>
      </w:r>
      <w:r>
        <w:rPr>
          <w:rFonts w:ascii="Bookman Old Style" w:hAnsi="Bookman Old Style"/>
          <w:sz w:val="24"/>
          <w:szCs w:val="24"/>
        </w:rPr>
        <w:t>,</w:t>
      </w:r>
      <w:r w:rsidRPr="00A81878">
        <w:rPr>
          <w:rFonts w:ascii="Bookman Old Style" w:hAnsi="Bookman Old Style"/>
          <w:sz w:val="24"/>
          <w:szCs w:val="24"/>
        </w:rPr>
        <w:t xml:space="preserve"> </w:t>
      </w:r>
      <w:r w:rsidRPr="00C97086">
        <w:rPr>
          <w:rFonts w:ascii="Bookman Old Style" w:hAnsi="Bookman Old Style"/>
          <w:sz w:val="24"/>
          <w:szCs w:val="24"/>
        </w:rPr>
        <w:t>que el cro</w:t>
      </w:r>
      <w:r>
        <w:rPr>
          <w:rFonts w:ascii="Bookman Old Style" w:hAnsi="Bookman Old Style"/>
          <w:sz w:val="24"/>
          <w:szCs w:val="24"/>
        </w:rPr>
        <w:t>no</w:t>
      </w:r>
      <w:r w:rsidRPr="00C97086">
        <w:rPr>
          <w:rFonts w:ascii="Bookman Old Style" w:hAnsi="Bookman Old Style"/>
          <w:sz w:val="24"/>
          <w:szCs w:val="24"/>
        </w:rPr>
        <w:t>grama de construcción de la infraestructura de importaci</w:t>
      </w:r>
      <w:r>
        <w:rPr>
          <w:rFonts w:ascii="Bookman Old Style" w:hAnsi="Bookman Old Style"/>
          <w:sz w:val="24"/>
          <w:szCs w:val="24"/>
        </w:rPr>
        <w:t>ón permita establecer</w:t>
      </w:r>
      <w:r w:rsidRPr="00C97086">
        <w:rPr>
          <w:rFonts w:ascii="Bookman Old Style" w:hAnsi="Bookman Old Style"/>
          <w:sz w:val="24"/>
          <w:szCs w:val="24"/>
        </w:rPr>
        <w:t xml:space="preserve"> que </w:t>
      </w:r>
      <w:r>
        <w:rPr>
          <w:rFonts w:ascii="Bookman Old Style" w:hAnsi="Bookman Old Style"/>
          <w:sz w:val="24"/>
          <w:szCs w:val="24"/>
        </w:rPr>
        <w:t>é</w:t>
      </w:r>
      <w:r w:rsidRPr="00C97086">
        <w:rPr>
          <w:rFonts w:ascii="Bookman Old Style" w:hAnsi="Bookman Old Style"/>
          <w:sz w:val="24"/>
          <w:szCs w:val="24"/>
        </w:rPr>
        <w:t xml:space="preserve">sta estará en operación antes del inicio del período de </w:t>
      </w:r>
      <w:r>
        <w:rPr>
          <w:rFonts w:ascii="Bookman Old Style" w:hAnsi="Bookman Old Style"/>
          <w:sz w:val="24"/>
          <w:szCs w:val="24"/>
        </w:rPr>
        <w:t xml:space="preserve">vigencia de las </w:t>
      </w:r>
      <w:r w:rsidRPr="00C97086">
        <w:rPr>
          <w:rFonts w:ascii="Bookman Old Style" w:hAnsi="Bookman Old Style"/>
          <w:sz w:val="24"/>
          <w:szCs w:val="24"/>
        </w:rPr>
        <w:t>obligaciones</w:t>
      </w:r>
      <w:r>
        <w:rPr>
          <w:rFonts w:ascii="Bookman Old Style" w:hAnsi="Bookman Old Style"/>
          <w:sz w:val="24"/>
          <w:szCs w:val="24"/>
        </w:rPr>
        <w:t>.</w:t>
      </w:r>
    </w:p>
    <w:p w:rsidR="001376B5" w:rsidRDefault="001376B5" w:rsidP="001376B5">
      <w:pPr>
        <w:pStyle w:val="Prrafodelista"/>
        <w:ind w:left="1080"/>
        <w:jc w:val="both"/>
        <w:rPr>
          <w:rFonts w:ascii="Bookman Old Style" w:hAnsi="Bookman Old Style"/>
          <w:sz w:val="24"/>
          <w:szCs w:val="24"/>
        </w:rPr>
      </w:pPr>
    </w:p>
    <w:p w:rsidR="001376B5" w:rsidRDefault="001376B5" w:rsidP="001376B5">
      <w:pPr>
        <w:pStyle w:val="Prrafodelista"/>
        <w:ind w:left="1080"/>
        <w:jc w:val="both"/>
        <w:rPr>
          <w:rFonts w:ascii="Bookman Old Style" w:hAnsi="Bookman Old Style"/>
        </w:rPr>
      </w:pPr>
      <w:r>
        <w:rPr>
          <w:rFonts w:ascii="Bookman Old Style" w:hAnsi="Bookman Old Style"/>
          <w:sz w:val="24"/>
          <w:szCs w:val="24"/>
        </w:rPr>
        <w:t>Adicionalmente, el auditor verificará</w:t>
      </w:r>
      <w:r w:rsidRPr="00C97086">
        <w:rPr>
          <w:rFonts w:ascii="Bookman Old Style" w:hAnsi="Bookman Old Style"/>
          <w:sz w:val="24"/>
          <w:szCs w:val="24"/>
        </w:rPr>
        <w:t xml:space="preserve"> que</w:t>
      </w:r>
      <w:r>
        <w:rPr>
          <w:rFonts w:ascii="Bookman Old Style" w:hAnsi="Bookman Old Style"/>
          <w:sz w:val="24"/>
          <w:szCs w:val="24"/>
        </w:rPr>
        <w:t xml:space="preserve"> los contratos incluyan </w:t>
      </w:r>
      <w:r w:rsidRPr="00C97086">
        <w:rPr>
          <w:rFonts w:ascii="Bookman Old Style" w:hAnsi="Bookman Old Style"/>
          <w:sz w:val="24"/>
          <w:szCs w:val="24"/>
        </w:rPr>
        <w:t xml:space="preserve">esquemas de garantías de construcción </w:t>
      </w:r>
      <w:r>
        <w:rPr>
          <w:rFonts w:ascii="Bookman Old Style" w:hAnsi="Bookman Old Style"/>
          <w:sz w:val="24"/>
          <w:szCs w:val="24"/>
        </w:rPr>
        <w:t xml:space="preserve">que cuando menos cumplan </w:t>
      </w:r>
      <w:r w:rsidRPr="00C97086">
        <w:rPr>
          <w:rFonts w:ascii="Bookman Old Style" w:hAnsi="Bookman Old Style"/>
          <w:sz w:val="24"/>
          <w:szCs w:val="24"/>
        </w:rPr>
        <w:t>con las características definidas en la Resolución CREG 061 de 2007.</w:t>
      </w:r>
    </w:p>
    <w:p w:rsidR="001376B5" w:rsidRPr="00C97086" w:rsidRDefault="001376B5" w:rsidP="001376B5">
      <w:pPr>
        <w:jc w:val="both"/>
        <w:rPr>
          <w:rFonts w:ascii="Bookman Old Style" w:hAnsi="Bookman Old Style"/>
        </w:rPr>
      </w:pPr>
      <w:r w:rsidRPr="00A13CDB" w:rsidDel="00A13CDB">
        <w:rPr>
          <w:rFonts w:ascii="Bookman Old Style" w:hAnsi="Bookman Old Style"/>
        </w:rPr>
        <w:t xml:space="preserve"> </w:t>
      </w:r>
    </w:p>
    <w:p w:rsidR="001376B5" w:rsidRDefault="001376B5" w:rsidP="001376B5">
      <w:pPr>
        <w:ind w:left="0"/>
        <w:jc w:val="both"/>
        <w:rPr>
          <w:rFonts w:ascii="Bookman Old Style" w:hAnsi="Bookman Old Style"/>
        </w:rPr>
      </w:pPr>
      <w:r w:rsidRPr="00203FEE">
        <w:rPr>
          <w:rFonts w:ascii="Bookman Old Style" w:hAnsi="Bookman Old Style"/>
        </w:rPr>
        <w:t xml:space="preserve">El incumplimiento de cualquiera de los </w:t>
      </w:r>
      <w:r w:rsidR="00D41611">
        <w:rPr>
          <w:rFonts w:ascii="Bookman Old Style" w:hAnsi="Bookman Old Style"/>
        </w:rPr>
        <w:t xml:space="preserve">requisitos </w:t>
      </w:r>
      <w:r w:rsidRPr="00203FEE">
        <w:rPr>
          <w:rFonts w:ascii="Bookman Old Style" w:hAnsi="Bookman Old Style"/>
        </w:rPr>
        <w:t>anteriormente señalados, será causal de pérdida de los derechos a la asignación de la Obligación de Energía Firme que fueron respaldadas con gas importado</w:t>
      </w:r>
      <w:r w:rsidRPr="00C97086">
        <w:rPr>
          <w:rFonts w:ascii="Bookman Old Style" w:hAnsi="Bookman Old Style"/>
        </w:rPr>
        <w:t xml:space="preserve"> y dará lugar a la ejecución de las garantías</w:t>
      </w:r>
      <w:r w:rsidRPr="00203FEE">
        <w:rPr>
          <w:rFonts w:ascii="Bookman Old Style" w:hAnsi="Bookman Old Style"/>
        </w:rPr>
        <w:t>.</w:t>
      </w:r>
    </w:p>
    <w:p w:rsidR="001376B5"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sidRPr="00026A3A">
        <w:rPr>
          <w:rFonts w:ascii="Bookman Old Style" w:hAnsi="Bookman Old Style"/>
          <w:b/>
        </w:rPr>
        <w:t>Parágrafo 1</w:t>
      </w:r>
      <w:r>
        <w:rPr>
          <w:rFonts w:ascii="Bookman Old Style" w:hAnsi="Bookman Old Style"/>
        </w:rPr>
        <w:t xml:space="preserve">: El auditor será contratado por el (los) agente(s) generador(es) que se </w:t>
      </w:r>
      <w:r w:rsidR="004F37B9">
        <w:rPr>
          <w:rFonts w:ascii="Bookman Old Style" w:hAnsi="Bookman Old Style"/>
        </w:rPr>
        <w:t xml:space="preserve">acoja(n) </w:t>
      </w:r>
      <w:r>
        <w:rPr>
          <w:rFonts w:ascii="Bookman Old Style" w:hAnsi="Bookman Old Style"/>
        </w:rPr>
        <w:t>a la opción, observando lo dispuesto en el numeral 6.1 del Anexo 6 de la Resolución CREG</w:t>
      </w:r>
      <w:r w:rsidR="004F37B9">
        <w:rPr>
          <w:rFonts w:ascii="Bookman Old Style" w:hAnsi="Bookman Old Style"/>
        </w:rPr>
        <w:t xml:space="preserve"> </w:t>
      </w:r>
      <w:r>
        <w:rPr>
          <w:rFonts w:ascii="Bookman Old Style" w:hAnsi="Bookman Old Style"/>
        </w:rPr>
        <w:t>071 de 2006, seleccionándolo de una lista de auditores publicada por el C.N.O. gas.</w:t>
      </w:r>
    </w:p>
    <w:p w:rsidR="001376B5"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Pr>
          <w:rFonts w:ascii="Bookman Old Style" w:hAnsi="Bookman Old Style"/>
        </w:rPr>
        <w:t>El C.N.O. gas publicará la lista en un plazo de seis (6) meses contados a la publicación de la presente resolución. El C.N.O. gas podrá actualizar</w:t>
      </w:r>
      <w:r w:rsidR="00D41611">
        <w:rPr>
          <w:rFonts w:ascii="Bookman Old Style" w:hAnsi="Bookman Old Style"/>
        </w:rPr>
        <w:t xml:space="preserve"> y modificar</w:t>
      </w:r>
      <w:r>
        <w:rPr>
          <w:rFonts w:ascii="Bookman Old Style" w:hAnsi="Bookman Old Style"/>
        </w:rPr>
        <w:t xml:space="preserve"> la lista cuando lo considere conveniente.</w:t>
      </w:r>
    </w:p>
    <w:p w:rsidR="001376B5" w:rsidRPr="00F420E6"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sidRPr="00C97086">
        <w:rPr>
          <w:rFonts w:ascii="Bookman Old Style" w:hAnsi="Bookman Old Style"/>
          <w:b/>
        </w:rPr>
        <w:t>Parágrafo</w:t>
      </w:r>
      <w:r>
        <w:rPr>
          <w:rFonts w:ascii="Bookman Old Style" w:hAnsi="Bookman Old Style"/>
          <w:b/>
        </w:rPr>
        <w:t xml:space="preserve"> 2</w:t>
      </w:r>
      <w:r w:rsidRPr="00C97086">
        <w:rPr>
          <w:rFonts w:ascii="Bookman Old Style" w:hAnsi="Bookman Old Style"/>
          <w:b/>
        </w:rPr>
        <w:t>:</w:t>
      </w:r>
      <w:r w:rsidRPr="00C97086">
        <w:rPr>
          <w:rFonts w:ascii="Bookman Old Style" w:hAnsi="Bookman Old Style"/>
        </w:rPr>
        <w:t xml:space="preserve"> Quienes</w:t>
      </w:r>
      <w:r>
        <w:rPr>
          <w:rFonts w:ascii="Bookman Old Style" w:hAnsi="Bookman Old Style"/>
        </w:rPr>
        <w:t xml:space="preserve"> para </w:t>
      </w:r>
      <w:r w:rsidRPr="003D1EC9">
        <w:rPr>
          <w:rFonts w:ascii="Bookman Old Style" w:hAnsi="Bookman Old Style"/>
        </w:rPr>
        <w:t xml:space="preserve">respaldar las OEF </w:t>
      </w:r>
      <w:r>
        <w:rPr>
          <w:rFonts w:ascii="Bookman Old Style" w:hAnsi="Bookman Old Style"/>
        </w:rPr>
        <w:t>requieran</w:t>
      </w:r>
      <w:r w:rsidRPr="003D1EC9">
        <w:rPr>
          <w:rFonts w:ascii="Bookman Old Style" w:hAnsi="Bookman Old Style"/>
        </w:rPr>
        <w:t xml:space="preserve"> nueva infraestructura de importación de gas natural </w:t>
      </w:r>
      <w:r>
        <w:rPr>
          <w:rFonts w:ascii="Bookman Old Style" w:hAnsi="Bookman Old Style"/>
        </w:rPr>
        <w:t>deberán entregar, junto con la organización de que trata el numeral i</w:t>
      </w:r>
      <w:r w:rsidR="00B203CE">
        <w:rPr>
          <w:rFonts w:ascii="Bookman Old Style" w:hAnsi="Bookman Old Style"/>
        </w:rPr>
        <w:t>)</w:t>
      </w:r>
      <w:r>
        <w:rPr>
          <w:rFonts w:ascii="Bookman Old Style" w:hAnsi="Bookman Old Style"/>
        </w:rPr>
        <w:t xml:space="preserve"> </w:t>
      </w:r>
      <w:r w:rsidR="00B203CE">
        <w:rPr>
          <w:rFonts w:ascii="Bookman Old Style" w:hAnsi="Bookman Old Style"/>
        </w:rPr>
        <w:t>de este artículo</w:t>
      </w:r>
      <w:r>
        <w:rPr>
          <w:rFonts w:ascii="Bookman Old Style" w:hAnsi="Bookman Old Style"/>
        </w:rPr>
        <w:t xml:space="preserve">, la </w:t>
      </w:r>
      <w:r w:rsidRPr="00C97086">
        <w:rPr>
          <w:rFonts w:ascii="Bookman Old Style" w:hAnsi="Bookman Old Style"/>
        </w:rPr>
        <w:t xml:space="preserve">garantía de suministro combustible definida en el Capítulo 5 de la Resolución CREG 061 de 2007. </w:t>
      </w:r>
      <w:r>
        <w:rPr>
          <w:rFonts w:ascii="Bookman Old Style" w:hAnsi="Bookman Old Style"/>
        </w:rPr>
        <w:t xml:space="preserve"> </w:t>
      </w:r>
    </w:p>
    <w:p w:rsidR="001376B5"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Pr>
          <w:rFonts w:ascii="Bookman Old Style" w:hAnsi="Bookman Old Style"/>
        </w:rPr>
        <w:t xml:space="preserve">El evento de cumplimiento de esta garantía </w:t>
      </w:r>
      <w:r w:rsidRPr="00C97086">
        <w:rPr>
          <w:rFonts w:ascii="Bookman Old Style" w:hAnsi="Bookman Old Style"/>
        </w:rPr>
        <w:t>será la entrega de contratos</w:t>
      </w:r>
      <w:r>
        <w:rPr>
          <w:rFonts w:ascii="Bookman Old Style" w:hAnsi="Bookman Old Style"/>
        </w:rPr>
        <w:t>, bien sea de gas natural importado o combustible alterno,</w:t>
      </w:r>
      <w:r w:rsidRPr="00C97086">
        <w:rPr>
          <w:rFonts w:ascii="Bookman Old Style" w:hAnsi="Bookman Old Style"/>
        </w:rPr>
        <w:t xml:space="preserve"> debidamente auditados seg</w:t>
      </w:r>
      <w:r>
        <w:rPr>
          <w:rFonts w:ascii="Bookman Old Style" w:hAnsi="Bookman Old Style"/>
        </w:rPr>
        <w:t>ún se</w:t>
      </w:r>
      <w:r w:rsidRPr="00C97086">
        <w:rPr>
          <w:rFonts w:ascii="Bookman Old Style" w:hAnsi="Bookman Old Style"/>
        </w:rPr>
        <w:t xml:space="preserve"> es</w:t>
      </w:r>
      <w:r>
        <w:rPr>
          <w:rFonts w:ascii="Bookman Old Style" w:hAnsi="Bookman Old Style"/>
        </w:rPr>
        <w:t>tablece en el presente artículo, por una cantidad suficiente para cubrir la OEF.</w:t>
      </w:r>
    </w:p>
    <w:p w:rsidR="001376B5" w:rsidRPr="002A782A" w:rsidRDefault="001376B5" w:rsidP="001376B5">
      <w:pPr>
        <w:ind w:left="0"/>
        <w:rPr>
          <w:rFonts w:ascii="Bookman Old Style" w:hAnsi="Bookman Old Style"/>
          <w:b/>
        </w:rPr>
      </w:pPr>
    </w:p>
    <w:p w:rsidR="001376B5" w:rsidRDefault="001376B5" w:rsidP="001376B5">
      <w:pPr>
        <w:ind w:left="0"/>
        <w:jc w:val="both"/>
        <w:rPr>
          <w:rFonts w:ascii="Bookman Old Style" w:hAnsi="Bookman Old Style"/>
        </w:rPr>
      </w:pPr>
      <w:r>
        <w:rPr>
          <w:rFonts w:ascii="Bookman Old Style" w:hAnsi="Bookman Old Style"/>
          <w:b/>
        </w:rPr>
        <w:t>Artículo 4. Condiciones para respaldar las OEF con</w:t>
      </w:r>
      <w:r w:rsidRPr="00F420E6">
        <w:rPr>
          <w:rFonts w:ascii="Bookman Old Style" w:hAnsi="Bookman Old Style"/>
          <w:b/>
        </w:rPr>
        <w:t xml:space="preserve"> infraestructura </w:t>
      </w:r>
      <w:r>
        <w:rPr>
          <w:rFonts w:ascii="Bookman Old Style" w:hAnsi="Bookman Old Style"/>
          <w:b/>
        </w:rPr>
        <w:t xml:space="preserve">existente </w:t>
      </w:r>
      <w:r w:rsidRPr="00F420E6">
        <w:rPr>
          <w:rFonts w:ascii="Bookman Old Style" w:hAnsi="Bookman Old Style"/>
          <w:b/>
        </w:rPr>
        <w:t>de importación</w:t>
      </w:r>
      <w:r>
        <w:rPr>
          <w:rFonts w:ascii="Bookman Old Style" w:hAnsi="Bookman Old Style"/>
          <w:b/>
        </w:rPr>
        <w:t xml:space="preserve"> de gas natural</w:t>
      </w:r>
      <w:r>
        <w:rPr>
          <w:rFonts w:ascii="Bookman Old Style" w:hAnsi="Bookman Old Style"/>
        </w:rPr>
        <w:t xml:space="preserve">. </w:t>
      </w:r>
      <w:r w:rsidRPr="00F420E6">
        <w:rPr>
          <w:rFonts w:ascii="Bookman Old Style" w:hAnsi="Bookman Old Style"/>
        </w:rPr>
        <w:t xml:space="preserve">En caso de contar con la infraestructura para importar el gas natural </w:t>
      </w:r>
      <w:r>
        <w:rPr>
          <w:rFonts w:ascii="Bookman Old Style" w:hAnsi="Bookman Old Style"/>
        </w:rPr>
        <w:t xml:space="preserve">y con el acceso a la misma, el </w:t>
      </w:r>
      <w:r w:rsidRPr="00F420E6">
        <w:rPr>
          <w:rFonts w:ascii="Bookman Old Style" w:hAnsi="Bookman Old Style"/>
        </w:rPr>
        <w:t>representante de la</w:t>
      </w:r>
      <w:r>
        <w:rPr>
          <w:rFonts w:ascii="Bookman Old Style" w:hAnsi="Bookman Old Style"/>
        </w:rPr>
        <w:t>s</w:t>
      </w:r>
      <w:r w:rsidRPr="00F420E6">
        <w:rPr>
          <w:rFonts w:ascii="Bookman Old Style" w:hAnsi="Bookman Old Style"/>
        </w:rPr>
        <w:t xml:space="preserve"> planta</w:t>
      </w:r>
      <w:r>
        <w:rPr>
          <w:rFonts w:ascii="Bookman Old Style" w:hAnsi="Bookman Old Style"/>
        </w:rPr>
        <w:t>s</w:t>
      </w:r>
      <w:r w:rsidRPr="00F420E6">
        <w:rPr>
          <w:rFonts w:ascii="Bookman Old Style" w:hAnsi="Bookman Old Style"/>
        </w:rPr>
        <w:t xml:space="preserve"> y/o unidad</w:t>
      </w:r>
      <w:r>
        <w:rPr>
          <w:rFonts w:ascii="Bookman Old Style" w:hAnsi="Bookman Old Style"/>
        </w:rPr>
        <w:t>es</w:t>
      </w:r>
      <w:r w:rsidRPr="00F420E6">
        <w:rPr>
          <w:rFonts w:ascii="Bookman Old Style" w:hAnsi="Bookman Old Style"/>
        </w:rPr>
        <w:t xml:space="preserve"> de generación térmica </w:t>
      </w:r>
      <w:r>
        <w:rPr>
          <w:rFonts w:ascii="Bookman Old Style" w:hAnsi="Bookman Old Style"/>
        </w:rPr>
        <w:t xml:space="preserve">que deseen acogerse a la opción definida en el artículo 1 </w:t>
      </w:r>
      <w:r w:rsidRPr="00F420E6">
        <w:rPr>
          <w:rFonts w:ascii="Bookman Old Style" w:hAnsi="Bookman Old Style"/>
        </w:rPr>
        <w:t>deberá</w:t>
      </w:r>
      <w:r>
        <w:rPr>
          <w:rFonts w:ascii="Bookman Old Style" w:hAnsi="Bookman Old Style"/>
        </w:rPr>
        <w:t>n</w:t>
      </w:r>
      <w:r w:rsidRPr="00F420E6">
        <w:rPr>
          <w:rFonts w:ascii="Bookman Old Style" w:hAnsi="Bookman Old Style"/>
        </w:rPr>
        <w:t xml:space="preserve"> </w:t>
      </w:r>
      <w:r>
        <w:rPr>
          <w:rFonts w:ascii="Bookman Old Style" w:hAnsi="Bookman Old Style"/>
        </w:rPr>
        <w:t>cumplir los siguientes requisitos:</w:t>
      </w:r>
    </w:p>
    <w:p w:rsidR="00A020F1" w:rsidRDefault="00A020F1" w:rsidP="001376B5">
      <w:pPr>
        <w:ind w:left="0"/>
        <w:jc w:val="both"/>
        <w:rPr>
          <w:rFonts w:ascii="Bookman Old Style" w:hAnsi="Bookman Old Style"/>
        </w:rPr>
      </w:pPr>
    </w:p>
    <w:p w:rsidR="001376B5" w:rsidRPr="00C97086" w:rsidRDefault="001376B5" w:rsidP="001376B5">
      <w:pPr>
        <w:pStyle w:val="Prrafodelista"/>
        <w:numPr>
          <w:ilvl w:val="0"/>
          <w:numId w:val="18"/>
        </w:numPr>
        <w:jc w:val="both"/>
        <w:rPr>
          <w:rFonts w:ascii="Bookman Old Style" w:hAnsi="Bookman Old Style"/>
        </w:rPr>
      </w:pPr>
      <w:r w:rsidRPr="00C97086">
        <w:rPr>
          <w:rFonts w:ascii="Bookman Old Style" w:hAnsi="Bookman Old Style"/>
          <w:sz w:val="24"/>
          <w:szCs w:val="24"/>
        </w:rPr>
        <w:t xml:space="preserve">Entregar, en la fecha de la declaración, </w:t>
      </w:r>
      <w:r>
        <w:rPr>
          <w:rFonts w:ascii="Bookman Old Style" w:hAnsi="Bookman Old Style"/>
          <w:sz w:val="24"/>
          <w:szCs w:val="24"/>
        </w:rPr>
        <w:t xml:space="preserve">debidamente auditado, </w:t>
      </w:r>
      <w:r w:rsidRPr="00C97086">
        <w:rPr>
          <w:rFonts w:ascii="Bookman Old Style" w:hAnsi="Bookman Old Style"/>
          <w:sz w:val="24"/>
          <w:szCs w:val="24"/>
        </w:rPr>
        <w:t>el contrato celebrado con propietario o representante de la infraestructura de importación. En el contrato deberá definirse la capacidad en firme contratada.</w:t>
      </w:r>
    </w:p>
    <w:p w:rsidR="001376B5" w:rsidRPr="00C516DD" w:rsidRDefault="001376B5" w:rsidP="001376B5">
      <w:pPr>
        <w:ind w:left="0"/>
        <w:jc w:val="both"/>
        <w:rPr>
          <w:rFonts w:ascii="Bookman Old Style" w:hAnsi="Bookman Old Style"/>
        </w:rPr>
      </w:pPr>
    </w:p>
    <w:p w:rsidR="001376B5" w:rsidRDefault="001376B5" w:rsidP="001376B5">
      <w:pPr>
        <w:pStyle w:val="Prrafodelista"/>
        <w:numPr>
          <w:ilvl w:val="0"/>
          <w:numId w:val="18"/>
        </w:numPr>
        <w:jc w:val="both"/>
        <w:rPr>
          <w:rFonts w:ascii="Bookman Old Style" w:hAnsi="Bookman Old Style"/>
        </w:rPr>
      </w:pPr>
      <w:r w:rsidRPr="00C97086">
        <w:rPr>
          <w:rFonts w:ascii="Bookman Old Style" w:hAnsi="Bookman Old Style"/>
          <w:sz w:val="24"/>
          <w:szCs w:val="24"/>
        </w:rPr>
        <w:t xml:space="preserve">Entregar, un año </w:t>
      </w:r>
      <w:r w:rsidRPr="00C516DD">
        <w:rPr>
          <w:rFonts w:ascii="Bookman Old Style" w:hAnsi="Bookman Old Style"/>
          <w:sz w:val="24"/>
          <w:szCs w:val="24"/>
        </w:rPr>
        <w:t>antes del inicio de cada año del Período de Vigencia de la Obligación de Energía Firme</w:t>
      </w:r>
      <w:r w:rsidRPr="00C97086">
        <w:rPr>
          <w:rFonts w:ascii="Bookman Old Style" w:hAnsi="Bookman Old Style"/>
          <w:sz w:val="24"/>
          <w:szCs w:val="24"/>
        </w:rPr>
        <w:t xml:space="preserve">, </w:t>
      </w:r>
      <w:r>
        <w:rPr>
          <w:rFonts w:ascii="Bookman Old Style" w:hAnsi="Bookman Old Style"/>
          <w:sz w:val="24"/>
          <w:szCs w:val="24"/>
        </w:rPr>
        <w:t>debidamente auditado,</w:t>
      </w:r>
      <w:r w:rsidRPr="00C516DD">
        <w:rPr>
          <w:rFonts w:ascii="Bookman Old Style" w:hAnsi="Bookman Old Style"/>
          <w:sz w:val="24"/>
          <w:szCs w:val="24"/>
        </w:rPr>
        <w:t xml:space="preserve"> </w:t>
      </w:r>
      <w:r w:rsidRPr="00C97086">
        <w:rPr>
          <w:rFonts w:ascii="Bookman Old Style" w:hAnsi="Bookman Old Style"/>
          <w:sz w:val="24"/>
          <w:szCs w:val="24"/>
        </w:rPr>
        <w:t>el contrato celebrado con comercializador de gas importado de un mercado líquido para el suministro de gas.</w:t>
      </w:r>
    </w:p>
    <w:p w:rsidR="001376B5" w:rsidRPr="00C97086" w:rsidRDefault="001376B5" w:rsidP="001376B5">
      <w:pPr>
        <w:pStyle w:val="Prrafodelista"/>
        <w:rPr>
          <w:rFonts w:ascii="Bookman Old Style" w:hAnsi="Bookman Old Style"/>
          <w:sz w:val="24"/>
          <w:szCs w:val="24"/>
        </w:rPr>
      </w:pPr>
    </w:p>
    <w:p w:rsidR="001376B5" w:rsidRPr="00C97086" w:rsidRDefault="001376B5" w:rsidP="001376B5">
      <w:pPr>
        <w:pStyle w:val="Prrafodelista"/>
        <w:numPr>
          <w:ilvl w:val="0"/>
          <w:numId w:val="18"/>
        </w:numPr>
        <w:jc w:val="both"/>
        <w:rPr>
          <w:rFonts w:ascii="Bookman Old Style" w:hAnsi="Bookman Old Style"/>
        </w:rPr>
      </w:pPr>
      <w:r>
        <w:rPr>
          <w:rFonts w:ascii="Bookman Old Style" w:hAnsi="Bookman Old Style"/>
          <w:sz w:val="24"/>
          <w:szCs w:val="24"/>
        </w:rPr>
        <w:t>Entregar</w:t>
      </w:r>
      <w:r w:rsidRPr="00C516DD">
        <w:rPr>
          <w:rFonts w:ascii="Bookman Old Style" w:hAnsi="Bookman Old Style"/>
          <w:sz w:val="24"/>
          <w:szCs w:val="24"/>
        </w:rPr>
        <w:t xml:space="preserve">, </w:t>
      </w:r>
      <w:r>
        <w:rPr>
          <w:rFonts w:ascii="Bookman Old Style" w:hAnsi="Bookman Old Style"/>
          <w:sz w:val="24"/>
          <w:szCs w:val="24"/>
        </w:rPr>
        <w:t xml:space="preserve">debidamente auditado, el </w:t>
      </w:r>
      <w:r w:rsidRPr="00C97086">
        <w:rPr>
          <w:rFonts w:ascii="Bookman Old Style" w:hAnsi="Bookman Old Style"/>
          <w:sz w:val="24"/>
          <w:szCs w:val="24"/>
        </w:rPr>
        <w:t xml:space="preserve">contrato de transporte </w:t>
      </w:r>
      <w:r>
        <w:rPr>
          <w:rFonts w:ascii="Bookman Old Style" w:hAnsi="Bookman Old Style"/>
          <w:sz w:val="24"/>
          <w:szCs w:val="24"/>
        </w:rPr>
        <w:t xml:space="preserve">en el SNT </w:t>
      </w:r>
      <w:r w:rsidRPr="00C97086">
        <w:rPr>
          <w:rFonts w:ascii="Bookman Old Style" w:hAnsi="Bookman Old Style"/>
          <w:sz w:val="24"/>
          <w:szCs w:val="24"/>
        </w:rPr>
        <w:t>con capacidad en firme</w:t>
      </w:r>
      <w:r>
        <w:rPr>
          <w:rFonts w:ascii="Bookman Old Style" w:hAnsi="Bookman Old Style"/>
          <w:sz w:val="24"/>
          <w:szCs w:val="24"/>
        </w:rPr>
        <w:t xml:space="preserve"> hasta la planta,</w:t>
      </w:r>
      <w:r w:rsidRPr="00C97086">
        <w:rPr>
          <w:rFonts w:ascii="Bookman Old Style" w:hAnsi="Bookman Old Style"/>
          <w:sz w:val="24"/>
          <w:szCs w:val="24"/>
        </w:rPr>
        <w:t xml:space="preserve"> al menos un año antes del inicio de cada año del Período de Vigencia de la Obligación de Energía Firme. </w:t>
      </w:r>
    </w:p>
    <w:p w:rsidR="001376B5" w:rsidRPr="003C1EF8" w:rsidRDefault="001376B5" w:rsidP="001376B5">
      <w:pPr>
        <w:ind w:left="0"/>
        <w:jc w:val="both"/>
        <w:rPr>
          <w:rFonts w:ascii="Bookman Old Style" w:hAnsi="Bookman Old Style"/>
          <w:highlight w:val="yellow"/>
          <w:lang w:val="es-CO"/>
        </w:rPr>
      </w:pPr>
    </w:p>
    <w:p w:rsidR="001376B5" w:rsidRDefault="001376B5" w:rsidP="001376B5">
      <w:pPr>
        <w:ind w:left="0"/>
        <w:jc w:val="both"/>
        <w:rPr>
          <w:rFonts w:ascii="Bookman Old Style" w:hAnsi="Bookman Old Style"/>
        </w:rPr>
      </w:pPr>
      <w:r w:rsidRPr="00C97086">
        <w:rPr>
          <w:rFonts w:ascii="Bookman Old Style" w:hAnsi="Bookman Old Style"/>
        </w:rPr>
        <w:t>El incumplimiento en la entrega oportuna de alguno de los documentos definidos en este artículo dará lugar a la pérdida de los derechos a la asignación de la Obligación de Energía Firme  que fueron respaldadas con gas importado.</w:t>
      </w:r>
    </w:p>
    <w:p w:rsidR="001376B5" w:rsidRPr="00F420E6"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sidRPr="002C6449">
        <w:rPr>
          <w:rFonts w:ascii="Bookman Old Style" w:hAnsi="Bookman Old Style"/>
          <w:b/>
        </w:rPr>
        <w:t>Parágrafo</w:t>
      </w:r>
      <w:r w:rsidRPr="00F420E6">
        <w:rPr>
          <w:rFonts w:ascii="Bookman Old Style" w:hAnsi="Bookman Old Style"/>
        </w:rPr>
        <w:t>. A quienes se acojan a la opción de que trata el artículo</w:t>
      </w:r>
      <w:r>
        <w:rPr>
          <w:rFonts w:ascii="Bookman Old Style" w:hAnsi="Bookman Old Style"/>
        </w:rPr>
        <w:t xml:space="preserve"> 1 haciendo uso de infraestructura de importación de gas natural existente</w:t>
      </w:r>
      <w:r w:rsidRPr="00F420E6">
        <w:rPr>
          <w:rFonts w:ascii="Bookman Old Style" w:hAnsi="Bookman Old Style"/>
        </w:rPr>
        <w:t>, no les aplicará</w:t>
      </w:r>
      <w:r w:rsidR="00060101">
        <w:rPr>
          <w:rFonts w:ascii="Bookman Old Style" w:hAnsi="Bookman Old Style"/>
        </w:rPr>
        <w:t>n</w:t>
      </w:r>
      <w:r w:rsidRPr="00F420E6">
        <w:rPr>
          <w:rFonts w:ascii="Bookman Old Style" w:hAnsi="Bookman Old Style"/>
        </w:rPr>
        <w:t xml:space="preserve"> lo</w:t>
      </w:r>
      <w:r w:rsidR="00060101">
        <w:rPr>
          <w:rFonts w:ascii="Bookman Old Style" w:hAnsi="Bookman Old Style"/>
        </w:rPr>
        <w:t xml:space="preserve">s siguientes aspectos del </w:t>
      </w:r>
      <w:r w:rsidRPr="00F420E6">
        <w:rPr>
          <w:rFonts w:ascii="Bookman Old Style" w:hAnsi="Bookman Old Style"/>
        </w:rPr>
        <w:t>Reglamento de Garantías para el Cargo por Confiabilidad</w:t>
      </w:r>
      <w:r w:rsidR="00060101">
        <w:rPr>
          <w:rFonts w:ascii="Bookman Old Style" w:hAnsi="Bookman Old Style"/>
        </w:rPr>
        <w:t>,</w:t>
      </w:r>
      <w:r w:rsidRPr="00F420E6">
        <w:rPr>
          <w:rFonts w:ascii="Bookman Old Style" w:hAnsi="Bookman Old Style"/>
        </w:rPr>
        <w:t xml:space="preserve"> adoptado mediante la Res</w:t>
      </w:r>
      <w:r>
        <w:rPr>
          <w:rFonts w:ascii="Bookman Old Style" w:hAnsi="Bookman Old Style"/>
        </w:rPr>
        <w:t xml:space="preserve">olución CREG </w:t>
      </w:r>
      <w:r w:rsidRPr="00F420E6">
        <w:rPr>
          <w:rFonts w:ascii="Bookman Old Style" w:hAnsi="Bookman Old Style"/>
        </w:rPr>
        <w:t>061 de 2007: i) Garantía para amparar la disponibilidad de contratos de combustible durante el período de planeación, ii) Garantía para amparar la continuidad de contratos de combustible cuando su duración sea inferior al período de vigencia de la obligación.</w:t>
      </w:r>
    </w:p>
    <w:p w:rsidR="001376B5" w:rsidRPr="0033685A" w:rsidRDefault="001376B5" w:rsidP="001376B5">
      <w:pPr>
        <w:ind w:left="0"/>
        <w:rPr>
          <w:rFonts w:ascii="Bookman Old Style" w:hAnsi="Bookman Old Style"/>
          <w:sz w:val="32"/>
        </w:rPr>
      </w:pPr>
    </w:p>
    <w:p w:rsidR="001376B5" w:rsidRDefault="001376B5" w:rsidP="001376B5">
      <w:pPr>
        <w:ind w:left="0"/>
        <w:jc w:val="both"/>
        <w:rPr>
          <w:rFonts w:ascii="Bookman Old Style" w:hAnsi="Bookman Old Style"/>
        </w:rPr>
      </w:pPr>
      <w:r>
        <w:rPr>
          <w:rFonts w:ascii="Bookman Old Style" w:hAnsi="Bookman Old Style"/>
          <w:b/>
        </w:rPr>
        <w:t xml:space="preserve">Artículo 5. Asignación de Obligaciones de Energía Firme del Cargo por Confiabilidad a plantas térmicas que se acogieron a la opción del artículo 1 con nueva infraestructura de importación. </w:t>
      </w:r>
      <w:r>
        <w:rPr>
          <w:rFonts w:ascii="Bookman Old Style" w:hAnsi="Bookman Old Style"/>
        </w:rPr>
        <w:t xml:space="preserve">Las plantas térmicas que se </w:t>
      </w:r>
      <w:r w:rsidR="00615473">
        <w:rPr>
          <w:rFonts w:ascii="Bookman Old Style" w:hAnsi="Bookman Old Style"/>
        </w:rPr>
        <w:t xml:space="preserve">acojan </w:t>
      </w:r>
      <w:r>
        <w:rPr>
          <w:rFonts w:ascii="Bookman Old Style" w:hAnsi="Bookman Old Style"/>
        </w:rPr>
        <w:t xml:space="preserve">a la opción del artículo 1 de la presente resolución con nueva infraestructura de importación podrán seleccionar el Período de Vigencia de la Obligación entre uno (1) y tres (3) años, </w:t>
      </w:r>
      <w:r w:rsidRPr="0063328D">
        <w:rPr>
          <w:rFonts w:ascii="Bookman Old Style" w:hAnsi="Bookman Old Style"/>
        </w:rPr>
        <w:t>contados a partir de la fecha de finalización del Período de Planeación de la asignación. La asignación de OEF se hará por la ENFICC.</w:t>
      </w:r>
      <w:r w:rsidR="00615473">
        <w:rPr>
          <w:rFonts w:ascii="Bookman Old Style" w:hAnsi="Bookman Old Style"/>
        </w:rPr>
        <w:t xml:space="preserve"> </w:t>
      </w:r>
    </w:p>
    <w:p w:rsidR="001376B5" w:rsidRDefault="001376B5" w:rsidP="001376B5">
      <w:pPr>
        <w:ind w:left="0"/>
        <w:jc w:val="both"/>
        <w:rPr>
          <w:rFonts w:ascii="Bookman Old Style" w:hAnsi="Bookman Old Style"/>
        </w:rPr>
      </w:pPr>
    </w:p>
    <w:p w:rsidR="001376B5" w:rsidRDefault="001376B5" w:rsidP="001376B5">
      <w:pPr>
        <w:ind w:left="0"/>
        <w:jc w:val="both"/>
        <w:rPr>
          <w:rFonts w:ascii="Bookman Old Style" w:hAnsi="Bookman Old Style"/>
        </w:rPr>
      </w:pPr>
      <w:r w:rsidRPr="006E550B">
        <w:rPr>
          <w:rFonts w:ascii="Bookman Old Style" w:hAnsi="Bookman Old Style"/>
          <w:b/>
        </w:rPr>
        <w:t>Parágrafo</w:t>
      </w:r>
      <w:r>
        <w:rPr>
          <w:rFonts w:ascii="Bookman Old Style" w:hAnsi="Bookman Old Style"/>
        </w:rPr>
        <w:t xml:space="preserve">. Para que pueda seleccionar el Período de Vigencia de la Obligación de </w:t>
      </w:r>
      <w:r w:rsidR="00674D59">
        <w:rPr>
          <w:rFonts w:ascii="Bookman Old Style" w:hAnsi="Bookman Old Style"/>
        </w:rPr>
        <w:t xml:space="preserve">que </w:t>
      </w:r>
      <w:r>
        <w:rPr>
          <w:rFonts w:ascii="Bookman Old Style" w:hAnsi="Bookman Old Style"/>
        </w:rPr>
        <w:t xml:space="preserve">trata </w:t>
      </w:r>
      <w:r w:rsidR="00E41B40">
        <w:rPr>
          <w:rFonts w:ascii="Bookman Old Style" w:hAnsi="Bookman Old Style"/>
        </w:rPr>
        <w:t>este artículo</w:t>
      </w:r>
      <w:r>
        <w:rPr>
          <w:rFonts w:ascii="Bookman Old Style" w:hAnsi="Bookman Old Style"/>
        </w:rPr>
        <w:t>, el gas natural importado deberá representar por lo menos el 50% del combustible requerido para la ENFICC de la planta.</w:t>
      </w:r>
    </w:p>
    <w:p w:rsidR="001376B5" w:rsidRPr="0033685A" w:rsidRDefault="001376B5" w:rsidP="001376B5">
      <w:pPr>
        <w:ind w:left="0"/>
        <w:jc w:val="both"/>
        <w:rPr>
          <w:rFonts w:ascii="Bookman Old Style" w:hAnsi="Bookman Old Style"/>
          <w:sz w:val="28"/>
        </w:rPr>
      </w:pPr>
    </w:p>
    <w:p w:rsidR="001376B5" w:rsidRDefault="001376B5" w:rsidP="001376B5">
      <w:pPr>
        <w:ind w:left="0"/>
        <w:jc w:val="both"/>
        <w:rPr>
          <w:rFonts w:ascii="Bookman Old Style" w:hAnsi="Bookman Old Style"/>
        </w:rPr>
      </w:pPr>
      <w:r>
        <w:rPr>
          <w:rFonts w:ascii="Bookman Old Style" w:hAnsi="Bookman Old Style"/>
          <w:b/>
        </w:rPr>
        <w:t xml:space="preserve">Artículo 6. Combustible para las pruebas de disponibilidad de plantas térmicas que utilizan gas natural importado. </w:t>
      </w:r>
      <w:r>
        <w:rPr>
          <w:rFonts w:ascii="Bookman Old Style" w:hAnsi="Bookman Old Style"/>
        </w:rPr>
        <w:t>Las plantas de generación térmica que hayan declarado gas natural importado como único combustible para respaldar Obligaciones de Energía Firme, podrán optar por hacer las pruebas de que tratan las Resoluciones CREG</w:t>
      </w:r>
      <w:r w:rsidR="001974B8">
        <w:rPr>
          <w:rFonts w:ascii="Bookman Old Style" w:hAnsi="Bookman Old Style"/>
        </w:rPr>
        <w:t xml:space="preserve"> </w:t>
      </w:r>
      <w:r>
        <w:rPr>
          <w:rFonts w:ascii="Bookman Old Style" w:hAnsi="Bookman Old Style"/>
        </w:rPr>
        <w:t>085 de 2007 y CREG</w:t>
      </w:r>
      <w:r w:rsidR="001974B8">
        <w:rPr>
          <w:rFonts w:ascii="Bookman Old Style" w:hAnsi="Bookman Old Style"/>
        </w:rPr>
        <w:t xml:space="preserve"> </w:t>
      </w:r>
      <w:r>
        <w:rPr>
          <w:rFonts w:ascii="Bookman Old Style" w:hAnsi="Bookman Old Style"/>
        </w:rPr>
        <w:t>177 de 2008 con un combustible alterno al gas natural importado.</w:t>
      </w:r>
    </w:p>
    <w:p w:rsidR="0033685A" w:rsidRDefault="0033685A" w:rsidP="001376B5">
      <w:pPr>
        <w:ind w:left="0"/>
        <w:jc w:val="both"/>
        <w:rPr>
          <w:rFonts w:ascii="Bookman Old Style" w:hAnsi="Bookman Old Style"/>
        </w:rPr>
      </w:pPr>
    </w:p>
    <w:p w:rsidR="001376B5" w:rsidRDefault="001376B5" w:rsidP="001376B5">
      <w:pPr>
        <w:ind w:left="0"/>
        <w:jc w:val="both"/>
        <w:rPr>
          <w:rFonts w:ascii="Bookman Old Style" w:hAnsi="Bookman Old Style"/>
        </w:rPr>
      </w:pPr>
    </w:p>
    <w:p w:rsidR="0033685A" w:rsidRDefault="0033685A" w:rsidP="001376B5">
      <w:pPr>
        <w:ind w:left="0"/>
        <w:jc w:val="both"/>
        <w:rPr>
          <w:rFonts w:ascii="Bookman Old Style" w:hAnsi="Bookman Old Style"/>
          <w:b/>
        </w:rPr>
      </w:pPr>
    </w:p>
    <w:p w:rsidR="008F0AE2" w:rsidRDefault="008F0AE2" w:rsidP="001376B5">
      <w:pPr>
        <w:ind w:left="0"/>
        <w:jc w:val="both"/>
        <w:rPr>
          <w:rFonts w:ascii="Bookman Old Style" w:hAnsi="Bookman Old Style"/>
          <w:b/>
        </w:rPr>
      </w:pPr>
    </w:p>
    <w:p w:rsidR="001376B5" w:rsidRDefault="001376B5" w:rsidP="001376B5">
      <w:pPr>
        <w:ind w:left="0"/>
        <w:jc w:val="both"/>
        <w:rPr>
          <w:rFonts w:ascii="Bookman Old Style" w:hAnsi="Bookman Old Style"/>
        </w:rPr>
      </w:pPr>
      <w:r>
        <w:rPr>
          <w:rFonts w:ascii="Bookman Old Style" w:hAnsi="Bookman Old Style"/>
          <w:b/>
        </w:rPr>
        <w:t xml:space="preserve">Artículo 7. Verificación de cumplimiento de Obligaciones de Energía Firme de plantas térmicas con gas natural importado. </w:t>
      </w:r>
      <w:r>
        <w:rPr>
          <w:rFonts w:ascii="Bookman Old Style" w:hAnsi="Bookman Old Style"/>
        </w:rPr>
        <w:t>Las plantas de generación térmica que hayan declarado gas natural importado como único combustible para respaldar Obligaciones de Energía Firme, podrán generar con un combustible alterno y la verificación del cumplimiento de las Obligaciones de Energía Firme con respecto a la Capacidad Efectiva Neta para períodos fuera del período de riesgo de desabastecimiento declarado por el Ministerio de Minas y Energía y Pruebas de Calentamiento, se hará de la siguiente forma:</w:t>
      </w:r>
    </w:p>
    <w:p w:rsidR="001376B5" w:rsidRDefault="001376B5" w:rsidP="001376B5">
      <w:pPr>
        <w:ind w:left="0"/>
        <w:jc w:val="both"/>
        <w:rPr>
          <w:rFonts w:ascii="Bookman Old Style" w:hAnsi="Bookman Old Style"/>
        </w:rPr>
      </w:pPr>
    </w:p>
    <w:p w:rsidR="007B67AB" w:rsidRDefault="001376B5" w:rsidP="007B67AB">
      <w:pPr>
        <w:pStyle w:val="Prrafodelista"/>
        <w:numPr>
          <w:ilvl w:val="0"/>
          <w:numId w:val="21"/>
        </w:numPr>
        <w:jc w:val="both"/>
        <w:rPr>
          <w:rFonts w:ascii="Bookman Old Style" w:hAnsi="Bookman Old Style"/>
          <w:sz w:val="24"/>
        </w:rPr>
      </w:pPr>
      <w:r>
        <w:rPr>
          <w:rFonts w:ascii="Bookman Old Style" w:hAnsi="Bookman Old Style"/>
          <w:sz w:val="24"/>
        </w:rPr>
        <w:t>Se determina</w:t>
      </w:r>
      <w:r w:rsidR="00916C4B">
        <w:rPr>
          <w:rFonts w:ascii="Bookman Old Style" w:hAnsi="Bookman Old Style"/>
          <w:sz w:val="24"/>
        </w:rPr>
        <w:t>rá</w:t>
      </w:r>
      <w:r>
        <w:rPr>
          <w:rFonts w:ascii="Bookman Old Style" w:hAnsi="Bookman Old Style"/>
          <w:sz w:val="24"/>
        </w:rPr>
        <w:t xml:space="preserve"> la relación entre la Capacidad Efectiva Neta con el combustible alterno y la Capacidad Efectiva Neta con gas natural importado, factor que multiplicará, siempre que sea menor que uno (1), las Obligaciones de Energía Firme para efectos de aplicar la Resolución CREG</w:t>
      </w:r>
      <w:r w:rsidR="00916C4B">
        <w:rPr>
          <w:rFonts w:ascii="Bookman Old Style" w:hAnsi="Bookman Old Style"/>
          <w:sz w:val="24"/>
        </w:rPr>
        <w:t xml:space="preserve">  </w:t>
      </w:r>
      <w:r>
        <w:rPr>
          <w:rFonts w:ascii="Bookman Old Style" w:hAnsi="Bookman Old Style"/>
          <w:sz w:val="24"/>
        </w:rPr>
        <w:t>071 de 2006 o aquellas que la modifiquen, adicionen o sustituyan.</w:t>
      </w:r>
    </w:p>
    <w:p w:rsidR="001376B5" w:rsidRPr="00822498" w:rsidRDefault="001376B5" w:rsidP="001376B5">
      <w:pPr>
        <w:ind w:left="0"/>
        <w:jc w:val="both"/>
        <w:rPr>
          <w:rFonts w:ascii="Bookman Old Style" w:hAnsi="Bookman Old Style"/>
        </w:rPr>
      </w:pPr>
    </w:p>
    <w:p w:rsidR="007B67AB" w:rsidRDefault="001376B5" w:rsidP="007B67AB">
      <w:pPr>
        <w:pStyle w:val="Prrafodelista"/>
        <w:numPr>
          <w:ilvl w:val="0"/>
          <w:numId w:val="21"/>
        </w:numPr>
        <w:jc w:val="both"/>
        <w:rPr>
          <w:rFonts w:ascii="Bookman Old Style" w:hAnsi="Bookman Old Style"/>
          <w:sz w:val="24"/>
        </w:rPr>
      </w:pPr>
      <w:r>
        <w:rPr>
          <w:rFonts w:ascii="Bookman Old Style" w:hAnsi="Bookman Old Style"/>
          <w:sz w:val="24"/>
        </w:rPr>
        <w:t xml:space="preserve">El factor anteriormente definido </w:t>
      </w:r>
      <w:r w:rsidR="008F344F">
        <w:rPr>
          <w:rFonts w:ascii="Bookman Old Style" w:hAnsi="Bookman Old Style"/>
          <w:sz w:val="24"/>
        </w:rPr>
        <w:t>multiplicará</w:t>
      </w:r>
      <w:r>
        <w:rPr>
          <w:rFonts w:ascii="Bookman Old Style" w:hAnsi="Bookman Old Style"/>
          <w:sz w:val="24"/>
        </w:rPr>
        <w:t xml:space="preserve"> a la variable Obligación Diaria de Energía Firme respaldada por la planta o unidad de generación i en el día d del mes m (</w:t>
      </w:r>
      <w:proofErr w:type="spellStart"/>
      <w:r>
        <w:rPr>
          <w:rFonts w:ascii="Bookman Old Style" w:hAnsi="Bookman Old Style"/>
          <w:sz w:val="24"/>
        </w:rPr>
        <w:t>ODEFR</w:t>
      </w:r>
      <w:r w:rsidRPr="008C0D0A">
        <w:rPr>
          <w:rFonts w:ascii="Bookman Old Style" w:hAnsi="Bookman Old Style"/>
          <w:sz w:val="24"/>
          <w:vertAlign w:val="subscript"/>
        </w:rPr>
        <w:t>i</w:t>
      </w:r>
      <w:proofErr w:type="gramStart"/>
      <w:r w:rsidRPr="008C0D0A">
        <w:rPr>
          <w:rFonts w:ascii="Bookman Old Style" w:hAnsi="Bookman Old Style"/>
          <w:sz w:val="24"/>
          <w:vertAlign w:val="subscript"/>
        </w:rPr>
        <w:t>,d,m</w:t>
      </w:r>
      <w:proofErr w:type="spellEnd"/>
      <w:proofErr w:type="gramEnd"/>
      <w:r>
        <w:rPr>
          <w:rFonts w:ascii="Bookman Old Style" w:hAnsi="Bookman Old Style"/>
          <w:sz w:val="24"/>
        </w:rPr>
        <w:t xml:space="preserve">) </w:t>
      </w:r>
      <w:r w:rsidR="008F344F">
        <w:rPr>
          <w:rFonts w:ascii="Bookman Old Style" w:hAnsi="Bookman Old Style"/>
          <w:sz w:val="24"/>
        </w:rPr>
        <w:t>en las ecuaciones d</w:t>
      </w:r>
      <w:r>
        <w:rPr>
          <w:rFonts w:ascii="Bookman Old Style" w:hAnsi="Bookman Old Style"/>
          <w:sz w:val="24"/>
        </w:rPr>
        <w:t xml:space="preserve">el numeral 8.1.1 del </w:t>
      </w:r>
      <w:r w:rsidR="00916C4B">
        <w:rPr>
          <w:rFonts w:ascii="Bookman Old Style" w:hAnsi="Bookman Old Style"/>
          <w:sz w:val="24"/>
        </w:rPr>
        <w:t xml:space="preserve">Anexo </w:t>
      </w:r>
      <w:r>
        <w:rPr>
          <w:rFonts w:ascii="Bookman Old Style" w:hAnsi="Bookman Old Style"/>
          <w:sz w:val="24"/>
        </w:rPr>
        <w:t>8 de la Resolución CREG</w:t>
      </w:r>
      <w:r w:rsidR="00916C4B">
        <w:rPr>
          <w:rFonts w:ascii="Bookman Old Style" w:hAnsi="Bookman Old Style"/>
          <w:sz w:val="24"/>
        </w:rPr>
        <w:t xml:space="preserve"> </w:t>
      </w:r>
      <w:r>
        <w:rPr>
          <w:rFonts w:ascii="Bookman Old Style" w:hAnsi="Bookman Old Style"/>
          <w:sz w:val="24"/>
        </w:rPr>
        <w:t>071 de 2006.</w:t>
      </w:r>
    </w:p>
    <w:p w:rsidR="001376B5" w:rsidRPr="008C0D0A" w:rsidRDefault="001376B5" w:rsidP="001376B5">
      <w:pPr>
        <w:pStyle w:val="Prrafodelista"/>
        <w:rPr>
          <w:rFonts w:ascii="Bookman Old Style" w:hAnsi="Bookman Old Style"/>
          <w:sz w:val="24"/>
        </w:rPr>
      </w:pPr>
    </w:p>
    <w:p w:rsidR="001376B5" w:rsidRPr="008C0D0A" w:rsidRDefault="001376B5" w:rsidP="001376B5">
      <w:pPr>
        <w:ind w:left="0"/>
        <w:jc w:val="both"/>
        <w:rPr>
          <w:rFonts w:ascii="Bookman Old Style" w:hAnsi="Bookman Old Style"/>
        </w:rPr>
      </w:pPr>
      <w:r w:rsidRPr="008C0D0A">
        <w:rPr>
          <w:rFonts w:ascii="Bookman Old Style" w:hAnsi="Bookman Old Style"/>
          <w:b/>
        </w:rPr>
        <w:t>Parágrafo</w:t>
      </w:r>
      <w:r>
        <w:rPr>
          <w:rFonts w:ascii="Bookman Old Style" w:hAnsi="Bookman Old Style"/>
        </w:rPr>
        <w:t xml:space="preserve">. </w:t>
      </w:r>
      <w:r w:rsidR="0046472E">
        <w:rPr>
          <w:rFonts w:ascii="Bookman Old Style" w:hAnsi="Bookman Old Style"/>
        </w:rPr>
        <w:t>En el caso</w:t>
      </w:r>
      <w:r>
        <w:rPr>
          <w:rFonts w:ascii="Bookman Old Style" w:hAnsi="Bookman Old Style"/>
        </w:rPr>
        <w:t xml:space="preserve"> las plantas térmicas que hayan declarado gas natural importado como único combustible para respaldar Obligaciones de Energía Firme, pero que para los períodos </w:t>
      </w:r>
      <w:r w:rsidR="009875B4">
        <w:rPr>
          <w:rFonts w:ascii="Bookman Old Style" w:hAnsi="Bookman Old Style"/>
        </w:rPr>
        <w:t>diferentes al</w:t>
      </w:r>
      <w:r>
        <w:rPr>
          <w:rFonts w:ascii="Bookman Old Style" w:hAnsi="Bookman Old Style"/>
        </w:rPr>
        <w:t xml:space="preserve"> período de riesgo de desabastecimiento</w:t>
      </w:r>
      <w:r w:rsidR="009875B4">
        <w:rPr>
          <w:rFonts w:ascii="Bookman Old Style" w:hAnsi="Bookman Old Style"/>
        </w:rPr>
        <w:t xml:space="preserve"> o de</w:t>
      </w:r>
      <w:r w:rsidR="00AA3269">
        <w:rPr>
          <w:rFonts w:ascii="Bookman Old Style" w:hAnsi="Bookman Old Style"/>
        </w:rPr>
        <w:t xml:space="preserve"> Pruebas de Calentamiento, definidos en resolución aparte,</w:t>
      </w:r>
      <w:r>
        <w:rPr>
          <w:rFonts w:ascii="Bookman Old Style" w:hAnsi="Bookman Old Style"/>
        </w:rPr>
        <w:t xml:space="preserve"> operaron con combustible alterno, </w:t>
      </w:r>
      <w:r w:rsidR="0046472E">
        <w:rPr>
          <w:rFonts w:ascii="Bookman Old Style" w:hAnsi="Bookman Old Style"/>
        </w:rPr>
        <w:t>en</w:t>
      </w:r>
      <w:r w:rsidR="009875B4">
        <w:rPr>
          <w:rFonts w:ascii="Bookman Old Style" w:hAnsi="Bookman Old Style"/>
        </w:rPr>
        <w:t xml:space="preserve"> el cálculo del IHF</w:t>
      </w:r>
      <w:r w:rsidR="0046472E">
        <w:rPr>
          <w:rFonts w:ascii="Bookman Old Style" w:hAnsi="Bookman Old Style"/>
        </w:rPr>
        <w:t>,</w:t>
      </w:r>
      <w:r w:rsidR="009875B4">
        <w:rPr>
          <w:rFonts w:ascii="Bookman Old Style" w:hAnsi="Bookman Old Style"/>
        </w:rPr>
        <w:t xml:space="preserve"> se considera</w:t>
      </w:r>
      <w:r w:rsidR="0046472E">
        <w:rPr>
          <w:rFonts w:ascii="Bookman Old Style" w:hAnsi="Bookman Old Style"/>
        </w:rPr>
        <w:t>rá</w:t>
      </w:r>
      <w:r w:rsidR="009875B4">
        <w:rPr>
          <w:rFonts w:ascii="Bookman Old Style" w:hAnsi="Bookman Old Style"/>
        </w:rPr>
        <w:t xml:space="preserve"> la disponibi</w:t>
      </w:r>
      <w:r w:rsidR="0046472E">
        <w:rPr>
          <w:rFonts w:ascii="Bookman Old Style" w:hAnsi="Bookman Old Style"/>
        </w:rPr>
        <w:t xml:space="preserve">lidad con combustible declarado. Para tal efecto, se utilizará la relación establecida en el numeral 1. </w:t>
      </w:r>
      <w:proofErr w:type="gramStart"/>
      <w:r w:rsidR="0046472E">
        <w:rPr>
          <w:rFonts w:ascii="Bookman Old Style" w:hAnsi="Bookman Old Style"/>
        </w:rPr>
        <w:t>anterior</w:t>
      </w:r>
      <w:proofErr w:type="gramEnd"/>
      <w:r w:rsidR="0046472E">
        <w:rPr>
          <w:rFonts w:ascii="Bookman Old Style" w:hAnsi="Bookman Old Style"/>
        </w:rPr>
        <w:t>.</w:t>
      </w:r>
      <w:r w:rsidR="009875B4">
        <w:rPr>
          <w:rFonts w:ascii="Bookman Old Style" w:hAnsi="Bookman Old Style"/>
        </w:rPr>
        <w:t xml:space="preserve"> </w:t>
      </w:r>
    </w:p>
    <w:p w:rsidR="001376B5" w:rsidRPr="0033685A" w:rsidRDefault="001376B5" w:rsidP="001376B5">
      <w:pPr>
        <w:ind w:left="0"/>
        <w:jc w:val="both"/>
        <w:rPr>
          <w:rFonts w:ascii="Bookman Old Style" w:hAnsi="Bookman Old Style"/>
          <w:sz w:val="28"/>
        </w:rPr>
      </w:pPr>
    </w:p>
    <w:p w:rsidR="00835EBC" w:rsidRDefault="001376B5" w:rsidP="001376B5">
      <w:pPr>
        <w:widowControl w:val="0"/>
        <w:adjustRightInd w:val="0"/>
        <w:ind w:left="0"/>
        <w:jc w:val="both"/>
        <w:textAlignment w:val="baseline"/>
        <w:rPr>
          <w:rFonts w:ascii="Bookman Old Style" w:hAnsi="Bookman Old Style"/>
          <w:highlight w:val="yellow"/>
        </w:rPr>
      </w:pPr>
      <w:r>
        <w:rPr>
          <w:rFonts w:ascii="Bookman Old Style" w:hAnsi="Bookman Old Style"/>
          <w:b/>
        </w:rPr>
        <w:t>Artículo 8. Límites a la propiedad de infraestructura y comercialización de gas natural importado.</w:t>
      </w:r>
      <w:r>
        <w:rPr>
          <w:rFonts w:ascii="Bookman Old Style" w:hAnsi="Bookman Old Style"/>
        </w:rPr>
        <w:t xml:space="preserve"> A partir de la expedición de la presente resolución, en lo que respecta a la propiedad de la infraestructura de importación de gas natural y la comercialización del mismo, no podrán participar los productores-comercializadores que transan en el mercado de comercialización de gas natural a usuarios finales, regulados y no regulados</w:t>
      </w:r>
      <w:r w:rsidR="007B67AB" w:rsidRPr="00835EBC">
        <w:rPr>
          <w:rFonts w:ascii="Bookman Old Style" w:hAnsi="Bookman Old Style"/>
        </w:rPr>
        <w:t xml:space="preserve">. </w:t>
      </w:r>
      <w:r w:rsidR="007B67AB" w:rsidRPr="007B67AB">
        <w:rPr>
          <w:rFonts w:ascii="Bookman Old Style" w:hAnsi="Bookman Old Style"/>
          <w:highlight w:val="yellow"/>
        </w:rPr>
        <w:t xml:space="preserve"> </w:t>
      </w:r>
    </w:p>
    <w:p w:rsidR="00835EBC" w:rsidRPr="0033685A" w:rsidRDefault="00835EBC" w:rsidP="001376B5">
      <w:pPr>
        <w:widowControl w:val="0"/>
        <w:adjustRightInd w:val="0"/>
        <w:ind w:left="0"/>
        <w:jc w:val="both"/>
        <w:textAlignment w:val="baseline"/>
        <w:rPr>
          <w:rFonts w:ascii="Bookman Old Style" w:hAnsi="Bookman Old Style"/>
          <w:sz w:val="28"/>
          <w:highlight w:val="yellow"/>
        </w:rPr>
      </w:pPr>
    </w:p>
    <w:p w:rsidR="001376B5" w:rsidRPr="004024E5" w:rsidRDefault="001376B5" w:rsidP="001376B5">
      <w:pPr>
        <w:widowControl w:val="0"/>
        <w:adjustRightInd w:val="0"/>
        <w:ind w:left="0"/>
        <w:jc w:val="both"/>
        <w:textAlignment w:val="baseline"/>
        <w:rPr>
          <w:rFonts w:ascii="Bookman Old Style" w:hAnsi="Bookman Old Style"/>
        </w:rPr>
      </w:pPr>
      <w:r>
        <w:rPr>
          <w:rFonts w:ascii="Bookman Old Style" w:hAnsi="Bookman Old Style"/>
          <w:b/>
        </w:rPr>
        <w:t>Artículo 9. Comercialización de excedentes de gas natural importado.</w:t>
      </w:r>
      <w:r>
        <w:rPr>
          <w:rFonts w:ascii="Bookman Old Style" w:hAnsi="Bookman Old Style"/>
        </w:rPr>
        <w:t xml:space="preserve"> La comercialización de gas natural importado a usuarios diferentes a los agentes generadores térmicos que hicieron uso de la opción de que trata el artículo 1 de la presente resolución, se hará a través de los mecanismos regulados por la CREG para la comercialización de gas natural.</w:t>
      </w:r>
    </w:p>
    <w:p w:rsidR="001376B5" w:rsidRPr="0033685A" w:rsidRDefault="001376B5" w:rsidP="001376B5">
      <w:pPr>
        <w:widowControl w:val="0"/>
        <w:adjustRightInd w:val="0"/>
        <w:ind w:left="0"/>
        <w:textAlignment w:val="baseline"/>
        <w:rPr>
          <w:rFonts w:ascii="Bookman Old Style" w:hAnsi="Bookman Old Style"/>
          <w:sz w:val="28"/>
        </w:rPr>
      </w:pPr>
    </w:p>
    <w:p w:rsidR="001376B5" w:rsidRDefault="001376B5" w:rsidP="001376B5">
      <w:pPr>
        <w:widowControl w:val="0"/>
        <w:adjustRightInd w:val="0"/>
        <w:ind w:left="0"/>
        <w:jc w:val="both"/>
        <w:textAlignment w:val="baseline"/>
        <w:rPr>
          <w:rFonts w:ascii="Bookman Old Style" w:hAnsi="Bookman Old Style"/>
        </w:rPr>
      </w:pPr>
      <w:r>
        <w:rPr>
          <w:rFonts w:ascii="Bookman Old Style" w:hAnsi="Bookman Old Style"/>
          <w:b/>
        </w:rPr>
        <w:t>Artículo 10. Traslado de plantas de generación térmica.</w:t>
      </w:r>
      <w:r>
        <w:rPr>
          <w:rFonts w:ascii="Bookman Old Style" w:hAnsi="Bookman Old Style"/>
        </w:rPr>
        <w:t xml:space="preserve"> Aquell</w:t>
      </w:r>
      <w:r w:rsidR="006363E2">
        <w:rPr>
          <w:rFonts w:ascii="Bookman Old Style" w:hAnsi="Bookman Old Style"/>
        </w:rPr>
        <w:t xml:space="preserve">os agentes </w:t>
      </w:r>
      <w:r>
        <w:rPr>
          <w:rFonts w:ascii="Bookman Old Style" w:hAnsi="Bookman Old Style"/>
        </w:rPr>
        <w:t xml:space="preserve">que realicen el traslado de la planta de la ubicación </w:t>
      </w:r>
      <w:r w:rsidR="0063328D">
        <w:rPr>
          <w:rFonts w:ascii="Bookman Old Style" w:hAnsi="Bookman Old Style"/>
        </w:rPr>
        <w:t xml:space="preserve">en la que se encuentra al momento de asignación de la OEF </w:t>
      </w:r>
      <w:r>
        <w:rPr>
          <w:rFonts w:ascii="Bookman Old Style" w:hAnsi="Bookman Old Style"/>
        </w:rPr>
        <w:t>a otro sitio del Sistema Interconectado Nacional, SIN, para garantizar el abastecimiento de combustibles</w:t>
      </w:r>
      <w:r w:rsidR="0063328D">
        <w:rPr>
          <w:rFonts w:ascii="Bookman Old Style" w:hAnsi="Bookman Old Style"/>
        </w:rPr>
        <w:t>,</w:t>
      </w:r>
      <w:r>
        <w:rPr>
          <w:rFonts w:ascii="Bookman Old Style" w:hAnsi="Bookman Old Style"/>
        </w:rPr>
        <w:t xml:space="preserve"> podrán seleccionar el Período de Vigencia de la Obligación entre uno (1) y tres (3) años, </w:t>
      </w:r>
      <w:r w:rsidRPr="007B5E6F">
        <w:rPr>
          <w:rFonts w:ascii="Bookman Old Style" w:hAnsi="Bookman Old Style"/>
        </w:rPr>
        <w:t>contados a partir de la fecha de finalización del Período de Planeación de la asignación</w:t>
      </w:r>
      <w:r>
        <w:rPr>
          <w:rFonts w:ascii="Bookman Old Style" w:hAnsi="Bookman Old Style"/>
        </w:rPr>
        <w:t>. La asignación de OEF se hará por la ENFICC.</w:t>
      </w:r>
    </w:p>
    <w:p w:rsidR="0033685A" w:rsidRDefault="0033685A" w:rsidP="001376B5">
      <w:pPr>
        <w:widowControl w:val="0"/>
        <w:adjustRightInd w:val="0"/>
        <w:ind w:left="0"/>
        <w:jc w:val="both"/>
        <w:textAlignment w:val="baseline"/>
        <w:rPr>
          <w:rFonts w:ascii="Bookman Old Style" w:hAnsi="Bookman Old Style"/>
        </w:rPr>
      </w:pPr>
    </w:p>
    <w:p w:rsidR="0033685A" w:rsidRDefault="0033685A" w:rsidP="001376B5">
      <w:pPr>
        <w:widowControl w:val="0"/>
        <w:adjustRightInd w:val="0"/>
        <w:ind w:left="0"/>
        <w:jc w:val="both"/>
        <w:textAlignment w:val="baseline"/>
        <w:rPr>
          <w:rFonts w:ascii="Bookman Old Style" w:hAnsi="Bookman Old Style"/>
        </w:rPr>
      </w:pPr>
    </w:p>
    <w:p w:rsidR="001376B5" w:rsidRPr="0033685A" w:rsidRDefault="001376B5" w:rsidP="001376B5">
      <w:pPr>
        <w:widowControl w:val="0"/>
        <w:adjustRightInd w:val="0"/>
        <w:ind w:left="0"/>
        <w:jc w:val="both"/>
        <w:textAlignment w:val="baseline"/>
        <w:rPr>
          <w:rFonts w:ascii="Bookman Old Style" w:hAnsi="Bookman Old Style"/>
          <w:sz w:val="22"/>
        </w:rPr>
      </w:pPr>
    </w:p>
    <w:p w:rsidR="001376B5" w:rsidRDefault="001376B5" w:rsidP="001376B5">
      <w:pPr>
        <w:widowControl w:val="0"/>
        <w:adjustRightInd w:val="0"/>
        <w:ind w:left="0"/>
        <w:jc w:val="both"/>
        <w:textAlignment w:val="baseline"/>
        <w:rPr>
          <w:rFonts w:ascii="Bookman Old Style" w:hAnsi="Bookman Old Style"/>
        </w:rPr>
      </w:pPr>
      <w:r w:rsidRPr="00E70CC4">
        <w:rPr>
          <w:rFonts w:ascii="Bookman Old Style" w:hAnsi="Bookman Old Style"/>
        </w:rPr>
        <w:t xml:space="preserve">Para </w:t>
      </w:r>
      <w:r>
        <w:rPr>
          <w:rFonts w:ascii="Bookman Old Style" w:hAnsi="Bookman Old Style"/>
        </w:rPr>
        <w:t>acoger</w:t>
      </w:r>
      <w:r w:rsidR="004D1116">
        <w:rPr>
          <w:rFonts w:ascii="Bookman Old Style" w:hAnsi="Bookman Old Style"/>
        </w:rPr>
        <w:t>se</w:t>
      </w:r>
      <w:r>
        <w:rPr>
          <w:rFonts w:ascii="Bookman Old Style" w:hAnsi="Bookman Old Style"/>
        </w:rPr>
        <w:t xml:space="preserve"> a la opción planteada en este artículo, </w:t>
      </w:r>
      <w:r w:rsidR="0063328D">
        <w:rPr>
          <w:rFonts w:ascii="Bookman Old Style" w:hAnsi="Bookman Old Style"/>
        </w:rPr>
        <w:t>e</w:t>
      </w:r>
      <w:r>
        <w:rPr>
          <w:rFonts w:ascii="Bookman Old Style" w:hAnsi="Bookman Old Style"/>
        </w:rPr>
        <w:t>l agente generador deberá entregar lo</w:t>
      </w:r>
      <w:r w:rsidR="004D1116">
        <w:rPr>
          <w:rFonts w:ascii="Bookman Old Style" w:hAnsi="Bookman Old Style"/>
        </w:rPr>
        <w:t>s</w:t>
      </w:r>
      <w:r>
        <w:rPr>
          <w:rFonts w:ascii="Bookman Old Style" w:hAnsi="Bookman Old Style"/>
        </w:rPr>
        <w:t xml:space="preserve"> siguiente</w:t>
      </w:r>
      <w:r w:rsidR="004D1116">
        <w:rPr>
          <w:rFonts w:ascii="Bookman Old Style" w:hAnsi="Bookman Old Style"/>
        </w:rPr>
        <w:t>s  documentos</w:t>
      </w:r>
      <w:r>
        <w:rPr>
          <w:rFonts w:ascii="Bookman Old Style" w:hAnsi="Bookman Old Style"/>
        </w:rPr>
        <w:t>:</w:t>
      </w:r>
    </w:p>
    <w:p w:rsidR="001376B5" w:rsidRPr="0033685A" w:rsidRDefault="001376B5" w:rsidP="001376B5">
      <w:pPr>
        <w:widowControl w:val="0"/>
        <w:adjustRightInd w:val="0"/>
        <w:ind w:left="0"/>
        <w:jc w:val="both"/>
        <w:textAlignment w:val="baseline"/>
        <w:rPr>
          <w:rFonts w:ascii="Bookman Old Style" w:hAnsi="Bookman Old Style"/>
          <w:sz w:val="20"/>
        </w:rPr>
      </w:pPr>
    </w:p>
    <w:p w:rsidR="007B67AB" w:rsidRDefault="001376B5" w:rsidP="007B67AB">
      <w:pPr>
        <w:pStyle w:val="Prrafodelista"/>
        <w:widowControl w:val="0"/>
        <w:numPr>
          <w:ilvl w:val="0"/>
          <w:numId w:val="22"/>
        </w:numPr>
        <w:adjustRightInd w:val="0"/>
        <w:jc w:val="both"/>
        <w:textAlignment w:val="baseline"/>
        <w:rPr>
          <w:rFonts w:ascii="Bookman Old Style" w:hAnsi="Bookman Old Style"/>
          <w:sz w:val="24"/>
        </w:rPr>
      </w:pPr>
      <w:r w:rsidRPr="00E70CC4">
        <w:rPr>
          <w:rFonts w:ascii="Bookman Old Style" w:hAnsi="Bookman Old Style"/>
          <w:sz w:val="24"/>
        </w:rPr>
        <w:t>Co</w:t>
      </w:r>
      <w:r>
        <w:rPr>
          <w:rFonts w:ascii="Bookman Old Style" w:hAnsi="Bookman Old Style"/>
          <w:sz w:val="24"/>
        </w:rPr>
        <w:t>municación suscrita por el representante de la planta en la cual manifiesta acogerse a la opción y seleccionando seleccionado el Período de Vigencia de la Obligación.</w:t>
      </w:r>
    </w:p>
    <w:p w:rsidR="001376B5" w:rsidRPr="0033685A" w:rsidRDefault="001376B5" w:rsidP="001376B5">
      <w:pPr>
        <w:widowControl w:val="0"/>
        <w:adjustRightInd w:val="0"/>
        <w:ind w:left="0"/>
        <w:jc w:val="both"/>
        <w:textAlignment w:val="baseline"/>
        <w:rPr>
          <w:rFonts w:ascii="Bookman Old Style" w:hAnsi="Bookman Old Style"/>
          <w:sz w:val="16"/>
        </w:rPr>
      </w:pPr>
    </w:p>
    <w:p w:rsidR="007B67AB" w:rsidRDefault="001376B5" w:rsidP="007B67AB">
      <w:pPr>
        <w:pStyle w:val="Prrafodelista"/>
        <w:widowControl w:val="0"/>
        <w:numPr>
          <w:ilvl w:val="0"/>
          <w:numId w:val="22"/>
        </w:numPr>
        <w:adjustRightInd w:val="0"/>
        <w:jc w:val="both"/>
        <w:textAlignment w:val="baseline"/>
        <w:rPr>
          <w:rFonts w:ascii="Bookman Old Style" w:hAnsi="Bookman Old Style"/>
          <w:sz w:val="24"/>
        </w:rPr>
      </w:pPr>
      <w:r>
        <w:rPr>
          <w:rFonts w:ascii="Bookman Old Style" w:hAnsi="Bookman Old Style"/>
          <w:sz w:val="24"/>
        </w:rPr>
        <w:t>Garantía para amparar el traslado de la planta, tal como se define la garantía prevista en el Capítulo 4 del Reglamento de Garantías para el Cargo por Confiabilidad contenido en la Resolución CREG</w:t>
      </w:r>
      <w:r w:rsidR="0063328D">
        <w:rPr>
          <w:rFonts w:ascii="Bookman Old Style" w:hAnsi="Bookman Old Style"/>
          <w:sz w:val="24"/>
        </w:rPr>
        <w:t xml:space="preserve"> </w:t>
      </w:r>
      <w:r>
        <w:rPr>
          <w:rFonts w:ascii="Bookman Old Style" w:hAnsi="Bookman Old Style"/>
          <w:sz w:val="24"/>
        </w:rPr>
        <w:t>061 de 2007. El cumplimiento del traslado se dará a partir de la fecha en que la planta se encuentre localizada en su nueva ubicación y que una firma auditora reconocida, contratada por el generador, haga la auditoria de los parámetros declarados para el Cargo por Confiabilidad y cumpla lo definido en la Resolución CREG</w:t>
      </w:r>
      <w:r w:rsidR="0063328D">
        <w:rPr>
          <w:rFonts w:ascii="Bookman Old Style" w:hAnsi="Bookman Old Style"/>
          <w:sz w:val="24"/>
        </w:rPr>
        <w:t xml:space="preserve"> </w:t>
      </w:r>
      <w:r>
        <w:rPr>
          <w:rFonts w:ascii="Bookman Old Style" w:hAnsi="Bookman Old Style"/>
          <w:sz w:val="24"/>
        </w:rPr>
        <w:t>071 de 2006.</w:t>
      </w:r>
    </w:p>
    <w:p w:rsidR="001376B5" w:rsidRPr="0033685A" w:rsidRDefault="001376B5" w:rsidP="001376B5">
      <w:pPr>
        <w:pStyle w:val="Prrafodelista"/>
        <w:rPr>
          <w:rFonts w:ascii="Bookman Old Style" w:hAnsi="Bookman Old Style"/>
        </w:rPr>
      </w:pPr>
    </w:p>
    <w:p w:rsidR="007B67AB" w:rsidRDefault="001376B5" w:rsidP="007B67AB">
      <w:pPr>
        <w:pStyle w:val="Prrafodelista"/>
        <w:widowControl w:val="0"/>
        <w:numPr>
          <w:ilvl w:val="0"/>
          <w:numId w:val="22"/>
        </w:numPr>
        <w:adjustRightInd w:val="0"/>
        <w:jc w:val="both"/>
        <w:textAlignment w:val="baseline"/>
        <w:rPr>
          <w:rFonts w:ascii="Bookman Old Style" w:hAnsi="Bookman Old Style"/>
          <w:sz w:val="24"/>
        </w:rPr>
      </w:pPr>
      <w:r>
        <w:rPr>
          <w:rFonts w:ascii="Bookman Old Style" w:hAnsi="Bookman Old Style"/>
          <w:sz w:val="24"/>
        </w:rPr>
        <w:t>Cronograma de traslado, cuya duración no podrá ser superior a un período de cargo, es decir de diciembre de año t a noviembre del año t+1.</w:t>
      </w:r>
    </w:p>
    <w:p w:rsidR="007B67AB" w:rsidRPr="0033685A" w:rsidRDefault="007B67AB" w:rsidP="007B67AB">
      <w:pPr>
        <w:pStyle w:val="Prrafodelista"/>
        <w:widowControl w:val="0"/>
        <w:adjustRightInd w:val="0"/>
        <w:ind w:left="360"/>
        <w:jc w:val="both"/>
        <w:textAlignment w:val="baseline"/>
        <w:rPr>
          <w:rFonts w:ascii="Bookman Old Style" w:hAnsi="Bookman Old Style"/>
        </w:rPr>
      </w:pPr>
    </w:p>
    <w:p w:rsidR="007B67AB" w:rsidRDefault="001376B5" w:rsidP="007B67AB">
      <w:pPr>
        <w:pStyle w:val="Prrafodelista"/>
        <w:widowControl w:val="0"/>
        <w:numPr>
          <w:ilvl w:val="0"/>
          <w:numId w:val="22"/>
        </w:numPr>
        <w:adjustRightInd w:val="0"/>
        <w:jc w:val="both"/>
        <w:textAlignment w:val="baseline"/>
        <w:rPr>
          <w:rFonts w:ascii="Bookman Old Style" w:hAnsi="Bookman Old Style"/>
          <w:sz w:val="24"/>
        </w:rPr>
      </w:pPr>
      <w:r>
        <w:rPr>
          <w:rFonts w:ascii="Bookman Old Style" w:hAnsi="Bookman Old Style"/>
          <w:sz w:val="24"/>
        </w:rPr>
        <w:t>Curva S.</w:t>
      </w:r>
    </w:p>
    <w:p w:rsidR="00835EBC" w:rsidRPr="0033685A" w:rsidRDefault="00835EBC" w:rsidP="00835EBC">
      <w:pPr>
        <w:widowControl w:val="0"/>
        <w:adjustRightInd w:val="0"/>
        <w:ind w:left="0"/>
        <w:jc w:val="both"/>
        <w:textAlignment w:val="baseline"/>
        <w:rPr>
          <w:rFonts w:ascii="Bookman Old Style" w:hAnsi="Bookman Old Style"/>
          <w:sz w:val="20"/>
        </w:rPr>
      </w:pPr>
    </w:p>
    <w:p w:rsidR="001376B5" w:rsidRDefault="00835EBC" w:rsidP="00835EBC">
      <w:pPr>
        <w:pStyle w:val="Prrafodelista"/>
        <w:ind w:left="0"/>
        <w:jc w:val="both"/>
        <w:rPr>
          <w:rFonts w:ascii="Bookman Old Style" w:hAnsi="Bookman Old Style"/>
          <w:sz w:val="24"/>
          <w:szCs w:val="24"/>
          <w:lang w:val="es-ES"/>
        </w:rPr>
      </w:pPr>
      <w:r>
        <w:rPr>
          <w:rFonts w:ascii="Bookman Old Style" w:hAnsi="Bookman Old Style"/>
          <w:sz w:val="24"/>
          <w:szCs w:val="24"/>
          <w:lang w:val="es-ES"/>
        </w:rPr>
        <w:t>Adicionalmente, c</w:t>
      </w:r>
      <w:r w:rsidRPr="00835EBC">
        <w:rPr>
          <w:rFonts w:ascii="Bookman Old Style" w:hAnsi="Bookman Old Style"/>
          <w:sz w:val="24"/>
          <w:szCs w:val="24"/>
          <w:lang w:val="es-ES"/>
        </w:rPr>
        <w:t xml:space="preserve">uando el traslado se haga durante un Período de Vigencia de la Obligación, la planta deberá cubrir sus OEF con contratos en el Mercado Secundario o cualquier otro Anillo de Seguridad y la variable </w:t>
      </w:r>
      <w:proofErr w:type="spellStart"/>
      <w:r w:rsidRPr="00835EBC">
        <w:rPr>
          <w:rFonts w:ascii="Bookman Old Style" w:hAnsi="Bookman Old Style"/>
          <w:sz w:val="24"/>
          <w:szCs w:val="24"/>
          <w:lang w:val="es-ES"/>
        </w:rPr>
        <w:t>CmttP</w:t>
      </w:r>
      <w:proofErr w:type="spellEnd"/>
      <w:r w:rsidR="008F0AE2">
        <w:rPr>
          <w:rFonts w:ascii="Bookman Old Style" w:hAnsi="Bookman Old Style"/>
          <w:sz w:val="24"/>
          <w:szCs w:val="24"/>
          <w:lang w:val="es-ES"/>
        </w:rPr>
        <w:t>,</w:t>
      </w:r>
      <w:r w:rsidRPr="00835EBC">
        <w:rPr>
          <w:rFonts w:ascii="Bookman Old Style" w:hAnsi="Bookman Old Style"/>
          <w:sz w:val="24"/>
          <w:szCs w:val="24"/>
          <w:lang w:val="es-ES"/>
        </w:rPr>
        <w:t xml:space="preserve"> de que trata el artículo 8 de la Resolución CREG 148 de 2010</w:t>
      </w:r>
      <w:r w:rsidR="00723495">
        <w:rPr>
          <w:rFonts w:ascii="Bookman Old Style" w:hAnsi="Bookman Old Style"/>
          <w:sz w:val="24"/>
          <w:szCs w:val="24"/>
          <w:lang w:val="es-ES"/>
        </w:rPr>
        <w:t>,</w:t>
      </w:r>
      <w:r w:rsidRPr="00835EBC">
        <w:rPr>
          <w:rFonts w:ascii="Bookman Old Style" w:hAnsi="Bookman Old Style"/>
          <w:sz w:val="24"/>
          <w:szCs w:val="24"/>
          <w:lang w:val="es-ES"/>
        </w:rPr>
        <w:t xml:space="preserve"> podrá ser igual al máximo valor entre los contratos registrados para cubrir las OEF y el cálculo definido para ésta variable en el citado artículo.</w:t>
      </w:r>
    </w:p>
    <w:p w:rsidR="00835EBC" w:rsidRPr="00835EBC" w:rsidRDefault="00835EBC" w:rsidP="00835EBC">
      <w:pPr>
        <w:pStyle w:val="Prrafodelista"/>
        <w:ind w:left="0"/>
        <w:jc w:val="both"/>
        <w:rPr>
          <w:rFonts w:ascii="Bookman Old Style" w:hAnsi="Bookman Old Style"/>
          <w:sz w:val="24"/>
          <w:szCs w:val="24"/>
          <w:lang w:val="es-ES"/>
        </w:rPr>
      </w:pPr>
    </w:p>
    <w:p w:rsidR="001376B5" w:rsidRPr="00E70CC4" w:rsidRDefault="001376B5" w:rsidP="001376B5">
      <w:pPr>
        <w:widowControl w:val="0"/>
        <w:adjustRightInd w:val="0"/>
        <w:ind w:left="0"/>
        <w:jc w:val="both"/>
        <w:textAlignment w:val="baseline"/>
        <w:rPr>
          <w:rFonts w:ascii="Bookman Old Style" w:hAnsi="Bookman Old Style"/>
        </w:rPr>
      </w:pPr>
      <w:r>
        <w:rPr>
          <w:rFonts w:ascii="Bookman Old Style" w:hAnsi="Bookman Old Style"/>
        </w:rPr>
        <w:t xml:space="preserve">Los documentos anteriores se deben entregar en la fecha establecida para entrega de los contratos de acuerdo con el cronograma que para tal efecto define la CREG en cumplimiento del </w:t>
      </w:r>
      <w:r w:rsidR="009A7E56">
        <w:rPr>
          <w:rFonts w:ascii="Bookman Old Style" w:hAnsi="Bookman Old Style"/>
        </w:rPr>
        <w:t xml:space="preserve">artículo </w:t>
      </w:r>
      <w:r>
        <w:rPr>
          <w:rFonts w:ascii="Bookman Old Style" w:hAnsi="Bookman Old Style"/>
        </w:rPr>
        <w:t>18 de la Resolución CREG</w:t>
      </w:r>
      <w:r w:rsidR="009A7E56">
        <w:rPr>
          <w:rFonts w:ascii="Bookman Old Style" w:hAnsi="Bookman Old Style"/>
        </w:rPr>
        <w:t xml:space="preserve"> </w:t>
      </w:r>
      <w:r>
        <w:rPr>
          <w:rFonts w:ascii="Bookman Old Style" w:hAnsi="Bookman Old Style"/>
        </w:rPr>
        <w:t>071 de 2006 o aquellas que la modifiquen, adicionen o sustituyan.</w:t>
      </w:r>
    </w:p>
    <w:p w:rsidR="001376B5" w:rsidRDefault="001376B5" w:rsidP="001376B5">
      <w:pPr>
        <w:widowControl w:val="0"/>
        <w:adjustRightInd w:val="0"/>
        <w:ind w:left="0"/>
        <w:jc w:val="both"/>
        <w:textAlignment w:val="baseline"/>
        <w:rPr>
          <w:rFonts w:ascii="Bookman Old Style" w:hAnsi="Bookman Old Style"/>
          <w:highlight w:val="yellow"/>
        </w:rPr>
      </w:pPr>
    </w:p>
    <w:p w:rsidR="001376B5" w:rsidRPr="009632B0" w:rsidRDefault="001376B5" w:rsidP="001376B5">
      <w:pPr>
        <w:widowControl w:val="0"/>
        <w:adjustRightInd w:val="0"/>
        <w:ind w:left="0"/>
        <w:jc w:val="both"/>
        <w:textAlignment w:val="baseline"/>
        <w:rPr>
          <w:rFonts w:ascii="Bookman Old Style" w:hAnsi="Bookman Old Style"/>
        </w:rPr>
      </w:pPr>
      <w:r w:rsidRPr="009632B0">
        <w:rPr>
          <w:rFonts w:ascii="Bookman Old Style" w:hAnsi="Bookman Old Style"/>
        </w:rPr>
        <w:t>Quien no</w:t>
      </w:r>
      <w:r>
        <w:rPr>
          <w:rFonts w:ascii="Bookman Old Style" w:hAnsi="Bookman Old Style"/>
        </w:rPr>
        <w:t xml:space="preserve"> entregue oportunamente los documentos anteriores, perderá el derecho a la asignación de la Obligación de Energía Firme para los años declarados en la manifestación escrita.</w:t>
      </w:r>
    </w:p>
    <w:p w:rsidR="001376B5" w:rsidRDefault="001376B5" w:rsidP="001376B5">
      <w:pPr>
        <w:widowControl w:val="0"/>
        <w:adjustRightInd w:val="0"/>
        <w:ind w:left="0"/>
        <w:jc w:val="both"/>
        <w:textAlignment w:val="baseline"/>
        <w:rPr>
          <w:rFonts w:ascii="Bookman Old Style" w:hAnsi="Bookman Old Style"/>
          <w:b/>
        </w:rPr>
      </w:pPr>
    </w:p>
    <w:p w:rsidR="001376B5" w:rsidRPr="00F420E6" w:rsidRDefault="001376B5" w:rsidP="001376B5">
      <w:pPr>
        <w:ind w:left="0"/>
        <w:jc w:val="both"/>
        <w:rPr>
          <w:rFonts w:ascii="Bookman Old Style" w:hAnsi="Bookman Old Style"/>
        </w:rPr>
      </w:pPr>
      <w:r w:rsidRPr="00C97086">
        <w:rPr>
          <w:rFonts w:ascii="Bookman Old Style" w:hAnsi="Bookman Old Style"/>
          <w:b/>
        </w:rPr>
        <w:t xml:space="preserve">Artículo </w:t>
      </w:r>
      <w:r>
        <w:rPr>
          <w:rFonts w:ascii="Bookman Old Style" w:hAnsi="Bookman Old Style"/>
          <w:b/>
        </w:rPr>
        <w:t>11</w:t>
      </w:r>
      <w:r w:rsidRPr="00C97086">
        <w:rPr>
          <w:rFonts w:ascii="Bookman Old Style" w:hAnsi="Bookman Old Style"/>
          <w:b/>
        </w:rPr>
        <w:t>. Vigencia.</w:t>
      </w:r>
      <w:r w:rsidRPr="00F420E6">
        <w:rPr>
          <w:rFonts w:ascii="Bookman Old Style" w:hAnsi="Bookman Old Style"/>
        </w:rPr>
        <w:t xml:space="preserve"> Esta resolución rige a partir de su publicación en el Diario Oficial y deroga las normas que le sean contrarias.</w:t>
      </w:r>
    </w:p>
    <w:p w:rsidR="001376B5" w:rsidRDefault="001376B5" w:rsidP="001376B5">
      <w:pPr>
        <w:widowControl w:val="0"/>
        <w:adjustRightInd w:val="0"/>
        <w:ind w:left="0"/>
        <w:textAlignment w:val="baseline"/>
        <w:rPr>
          <w:rFonts w:ascii="Bookman Old Style" w:hAnsi="Bookman Old Style"/>
        </w:rPr>
      </w:pPr>
    </w:p>
    <w:p w:rsidR="001376B5" w:rsidRPr="00C435C3" w:rsidRDefault="001376B5" w:rsidP="001376B5">
      <w:pPr>
        <w:jc w:val="center"/>
        <w:rPr>
          <w:rFonts w:ascii="Bookman Old Style" w:hAnsi="Bookman Old Style"/>
          <w:b/>
        </w:rPr>
      </w:pP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rsidR="001376B5" w:rsidRPr="00C435C3" w:rsidRDefault="001376B5" w:rsidP="001376B5">
      <w:pPr>
        <w:rPr>
          <w:rFonts w:ascii="Bookman Old Style" w:hAnsi="Bookman Old Style"/>
        </w:rPr>
      </w:pPr>
    </w:p>
    <w:p w:rsidR="001376B5" w:rsidRPr="00C435C3" w:rsidRDefault="008F0AE2" w:rsidP="001376B5">
      <w:pPr>
        <w:ind w:left="0"/>
        <w:rPr>
          <w:rFonts w:ascii="Bookman Old Style" w:hAnsi="Bookman Old Style"/>
        </w:rPr>
      </w:pPr>
      <w:r>
        <w:rPr>
          <w:rFonts w:ascii="Bookman Old Style" w:hAnsi="Bookman Old Style"/>
        </w:rPr>
        <w:t>Firmas del proyecto;</w:t>
      </w:r>
    </w:p>
    <w:p w:rsidR="001376B5" w:rsidRPr="00C435C3" w:rsidRDefault="001376B5" w:rsidP="001376B5">
      <w:pPr>
        <w:ind w:left="0"/>
        <w:rPr>
          <w:rFonts w:ascii="Bookman Old Style" w:hAnsi="Bookman Old Style"/>
        </w:rPr>
      </w:pPr>
    </w:p>
    <w:p w:rsidR="001376B5" w:rsidRDefault="001376B5" w:rsidP="001376B5">
      <w:pPr>
        <w:ind w:left="0"/>
        <w:rPr>
          <w:rFonts w:ascii="Bookman Old Style" w:hAnsi="Bookman Old Style"/>
        </w:rPr>
      </w:pPr>
    </w:p>
    <w:p w:rsidR="0033685A" w:rsidRDefault="0033685A" w:rsidP="001376B5">
      <w:pPr>
        <w:ind w:left="0"/>
        <w:rPr>
          <w:rFonts w:ascii="Bookman Old Style" w:hAnsi="Bookman Old Style"/>
        </w:rPr>
      </w:pPr>
    </w:p>
    <w:tbl>
      <w:tblPr>
        <w:tblW w:w="9761" w:type="dxa"/>
        <w:jc w:val="right"/>
        <w:tblLayout w:type="fixed"/>
        <w:tblCellMar>
          <w:left w:w="70" w:type="dxa"/>
          <w:right w:w="70" w:type="dxa"/>
        </w:tblCellMar>
        <w:tblLook w:val="0000" w:firstRow="0" w:lastRow="0" w:firstColumn="0" w:lastColumn="0" w:noHBand="0" w:noVBand="0"/>
      </w:tblPr>
      <w:tblGrid>
        <w:gridCol w:w="4503"/>
        <w:gridCol w:w="5258"/>
      </w:tblGrid>
      <w:tr w:rsidR="001376B5" w:rsidRPr="00720520" w:rsidTr="008F344F">
        <w:trPr>
          <w:jc w:val="right"/>
        </w:trPr>
        <w:tc>
          <w:tcPr>
            <w:tcW w:w="4503" w:type="dxa"/>
          </w:tcPr>
          <w:p w:rsidR="001376B5" w:rsidRPr="00720520" w:rsidRDefault="001376B5" w:rsidP="008F344F">
            <w:pPr>
              <w:ind w:left="204"/>
              <w:rPr>
                <w:rFonts w:ascii="Bookman Old Style" w:hAnsi="Bookman Old Style" w:cs="Arial"/>
                <w:b/>
                <w:spacing w:val="-3"/>
                <w:lang w:val="es-ES_tradnl"/>
              </w:rPr>
            </w:pPr>
            <w:r>
              <w:rPr>
                <w:rFonts w:ascii="Bookman Old Style" w:hAnsi="Bookman Old Style" w:cs="Arial"/>
                <w:b/>
                <w:spacing w:val="-3"/>
              </w:rPr>
              <w:t xml:space="preserve">  TOMÁS GONZÁLEZ ESTRADA</w:t>
            </w:r>
          </w:p>
        </w:tc>
        <w:tc>
          <w:tcPr>
            <w:tcW w:w="5258" w:type="dxa"/>
          </w:tcPr>
          <w:p w:rsidR="001376B5" w:rsidRPr="00720520" w:rsidRDefault="001376B5" w:rsidP="008F344F">
            <w:pPr>
              <w:ind w:left="161" w:right="567"/>
              <w:jc w:val="right"/>
              <w:rPr>
                <w:rFonts w:ascii="Bookman Old Style" w:hAnsi="Bookman Old Style" w:cs="Arial"/>
                <w:b/>
                <w:spacing w:val="-3"/>
                <w:lang w:val="es-ES_tradnl"/>
              </w:rPr>
            </w:pPr>
            <w:r w:rsidRPr="00720520">
              <w:rPr>
                <w:rFonts w:ascii="Bookman Old Style" w:hAnsi="Bookman Old Style" w:cs="Arial"/>
                <w:b/>
                <w:spacing w:val="-3"/>
                <w:lang w:val="es-ES_tradnl"/>
              </w:rPr>
              <w:t>JAVIER AUGUSTO DÍAZ VELASCO</w:t>
            </w:r>
          </w:p>
        </w:tc>
      </w:tr>
      <w:tr w:rsidR="001376B5" w:rsidRPr="00720520" w:rsidTr="008F344F">
        <w:trPr>
          <w:jc w:val="right"/>
        </w:trPr>
        <w:tc>
          <w:tcPr>
            <w:tcW w:w="4503" w:type="dxa"/>
          </w:tcPr>
          <w:p w:rsidR="001376B5" w:rsidRPr="00720520" w:rsidRDefault="001376B5" w:rsidP="008F344F">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Viceministr</w:t>
            </w:r>
            <w:r>
              <w:rPr>
                <w:rFonts w:ascii="Bookman Old Style" w:hAnsi="Bookman Old Style" w:cs="Arial"/>
                <w:spacing w:val="-3"/>
                <w:lang w:val="es-ES_tradnl"/>
              </w:rPr>
              <w:t>o</w:t>
            </w:r>
            <w:r w:rsidRPr="00720520">
              <w:rPr>
                <w:rFonts w:ascii="Bookman Old Style" w:hAnsi="Bookman Old Style" w:cs="Arial"/>
                <w:spacing w:val="-3"/>
                <w:lang w:val="es-ES_tradnl"/>
              </w:rPr>
              <w:t xml:space="preserve"> de Minas y Energía</w:t>
            </w:r>
          </w:p>
          <w:p w:rsidR="001376B5" w:rsidRPr="00720520" w:rsidRDefault="001376B5" w:rsidP="008F344F">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Delegad</w:t>
            </w:r>
            <w:r>
              <w:rPr>
                <w:rFonts w:ascii="Bookman Old Style" w:hAnsi="Bookman Old Style" w:cs="Arial"/>
                <w:spacing w:val="-3"/>
                <w:lang w:val="es-ES_tradnl"/>
              </w:rPr>
              <w:t>o</w:t>
            </w:r>
            <w:r w:rsidRPr="00720520">
              <w:rPr>
                <w:rFonts w:ascii="Bookman Old Style" w:hAnsi="Bookman Old Style" w:cs="Arial"/>
                <w:spacing w:val="-3"/>
                <w:lang w:val="es-ES_tradnl"/>
              </w:rPr>
              <w:t xml:space="preserve"> del Ministro de Minas y Energía</w:t>
            </w:r>
          </w:p>
        </w:tc>
        <w:tc>
          <w:tcPr>
            <w:tcW w:w="5258" w:type="dxa"/>
          </w:tcPr>
          <w:p w:rsidR="001376B5" w:rsidRPr="00720520" w:rsidRDefault="001376B5" w:rsidP="008F344F">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1376B5" w:rsidRPr="00720520" w:rsidTr="008F344F">
        <w:trPr>
          <w:jc w:val="right"/>
        </w:trPr>
        <w:tc>
          <w:tcPr>
            <w:tcW w:w="4503" w:type="dxa"/>
          </w:tcPr>
          <w:p w:rsidR="001376B5" w:rsidRPr="00720520" w:rsidRDefault="001376B5" w:rsidP="008F344F">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5258" w:type="dxa"/>
          </w:tcPr>
          <w:p w:rsidR="001376B5" w:rsidRPr="00720520" w:rsidRDefault="001376B5" w:rsidP="008F344F">
            <w:pPr>
              <w:rPr>
                <w:rFonts w:ascii="Bookman Old Style" w:hAnsi="Bookman Old Style" w:cs="Arial"/>
                <w:spacing w:val="-3"/>
              </w:rPr>
            </w:pPr>
          </w:p>
        </w:tc>
      </w:tr>
    </w:tbl>
    <w:p w:rsidR="00B351B4" w:rsidRPr="001376B5" w:rsidRDefault="00B351B4" w:rsidP="0033685A">
      <w:pPr>
        <w:ind w:left="0"/>
      </w:pPr>
    </w:p>
    <w:sectPr w:rsidR="00B351B4" w:rsidRPr="001376B5" w:rsidSect="00D41611">
      <w:headerReference w:type="default" r:id="rId12"/>
      <w:headerReference w:type="first" r:id="rId13"/>
      <w:type w:val="continuous"/>
      <w:pgSz w:w="12242" w:h="18722" w:code="123"/>
      <w:pgMar w:top="2341" w:right="1185" w:bottom="1758"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1A9" w:rsidRDefault="008E71A9">
      <w:r>
        <w:separator/>
      </w:r>
    </w:p>
  </w:endnote>
  <w:endnote w:type="continuationSeparator" w:id="0">
    <w:p w:rsidR="008E71A9" w:rsidRDefault="008E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1A9" w:rsidRDefault="008E71A9">
      <w:r>
        <w:separator/>
      </w:r>
    </w:p>
  </w:footnote>
  <w:footnote w:type="continuationSeparator" w:id="0">
    <w:p w:rsidR="008E71A9" w:rsidRDefault="008E7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2E" w:rsidRDefault="0046472E" w:rsidP="00951F79">
    <w:pPr>
      <w:pStyle w:val="Ttulo1"/>
      <w:ind w:right="6"/>
      <w:jc w:val="left"/>
      <w:rPr>
        <w:rFonts w:ascii="Bookman Old Style" w:hAnsi="Bookman Old Style" w:cs="Arial"/>
        <w:b w:val="0"/>
        <w:sz w:val="22"/>
        <w:szCs w:val="22"/>
      </w:rPr>
    </w:pPr>
  </w:p>
  <w:p w:rsidR="0046472E" w:rsidRPr="00951F79" w:rsidRDefault="0046472E"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00B24649"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00B24649" w:rsidRPr="00654384">
      <w:rPr>
        <w:rFonts w:ascii="Bookman Old Style" w:hAnsi="Bookman Old Style" w:cs="Arial"/>
        <w:b w:val="0"/>
        <w:sz w:val="22"/>
        <w:szCs w:val="22"/>
      </w:rPr>
      <w:fldChar w:fldCharType="separate"/>
    </w:r>
    <w:r w:rsidR="001350B2">
      <w:rPr>
        <w:rFonts w:ascii="Bookman Old Style" w:hAnsi="Bookman Old Style" w:cs="Arial"/>
        <w:b w:val="0"/>
        <w:noProof/>
        <w:sz w:val="22"/>
        <w:szCs w:val="22"/>
      </w:rPr>
      <w:t>9</w:t>
    </w:r>
    <w:r w:rsidR="00B24649"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1350B2">
      <w:fldChar w:fldCharType="begin"/>
    </w:r>
    <w:r w:rsidR="001350B2">
      <w:instrText xml:space="preserve"> NUMPAGES  \* MERGEFORMAT </w:instrText>
    </w:r>
    <w:r w:rsidR="001350B2">
      <w:fldChar w:fldCharType="separate"/>
    </w:r>
    <w:r w:rsidR="001350B2" w:rsidRPr="001350B2">
      <w:rPr>
        <w:rFonts w:ascii="Bookman Old Style" w:hAnsi="Bookman Old Style" w:cs="Arial"/>
        <w:b w:val="0"/>
        <w:noProof/>
        <w:sz w:val="22"/>
        <w:szCs w:val="22"/>
      </w:rPr>
      <w:t>9</w:t>
    </w:r>
    <w:r w:rsidR="001350B2">
      <w:rPr>
        <w:rFonts w:ascii="Bookman Old Style" w:hAnsi="Bookman Old Style" w:cs="Arial"/>
        <w:b w:val="0"/>
        <w:noProof/>
        <w:sz w:val="22"/>
        <w:szCs w:val="22"/>
      </w:rPr>
      <w:fldChar w:fldCharType="end"/>
    </w:r>
  </w:p>
  <w:p w:rsidR="0046472E" w:rsidRDefault="004066D9"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120D6558" wp14:editId="26F588D5">
              <wp:simplePos x="0" y="0"/>
              <wp:positionH relativeFrom="column">
                <wp:posOffset>-175260</wp:posOffset>
              </wp:positionH>
              <wp:positionV relativeFrom="paragraph">
                <wp:posOffset>139065</wp:posOffset>
              </wp:positionV>
              <wp:extent cx="6267450" cy="9900920"/>
              <wp:effectExtent l="15240" t="15240" r="13335" b="1841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CpdfuzegIA&#10;AP0EAAAOAAAAAAAAAAAAAAAAAC4CAABkcnMvZTJvRG9jLnhtbFBLAQItABQABgAIAAAAIQBXFkFY&#10;4wAAAAsBAAAPAAAAAAAAAAAAAAAAANQEAABkcnMvZG93bnJldi54bWxQSwUGAAAAAAQABADzAAAA&#10;5AUAAAAA&#10;" filled="f" strokeweight="1.5pt"/>
          </w:pict>
        </mc:Fallback>
      </mc:AlternateContent>
    </w:r>
  </w:p>
  <w:p w:rsidR="0046472E" w:rsidRPr="00D41611" w:rsidRDefault="0046472E" w:rsidP="00D41611">
    <w:pPr>
      <w:pBdr>
        <w:bottom w:val="single" w:sz="4" w:space="1" w:color="auto"/>
      </w:pBdr>
      <w:ind w:left="0" w:right="148"/>
      <w:rPr>
        <w:b/>
        <w:sz w:val="12"/>
        <w:lang w:val="es-CO"/>
      </w:rPr>
    </w:pPr>
    <w:r w:rsidRPr="008504E3">
      <w:rPr>
        <w:rFonts w:ascii="Bookman Old Style" w:hAnsi="Bookman Old Style"/>
        <w:sz w:val="22"/>
        <w:szCs w:val="22"/>
        <w:lang w:val="es-CO"/>
      </w:rPr>
      <w:t>Por la cual se ordena hacer público un proyecto de resolución de carácter general, “Por la cual se define una opción con gas natural importado para respaldar Obligaciones de Energía Firme del Cargo por Confiabilidad”.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2E" w:rsidRDefault="0046472E"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46472E" w:rsidRDefault="0046472E">
    <w:pPr>
      <w:pStyle w:val="Encabezado"/>
      <w:jc w:val="center"/>
      <w:rPr>
        <w:rFonts w:ascii="Arial" w:hAnsi="Arial" w:cs="Arial"/>
        <w:spacing w:val="20"/>
        <w:sz w:val="20"/>
      </w:rPr>
    </w:pPr>
  </w:p>
  <w:p w:rsidR="0046472E" w:rsidRDefault="004066D9"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377190</wp:posOffset>
              </wp:positionV>
              <wp:extent cx="6343650" cy="9839325"/>
              <wp:effectExtent l="15240" t="15240" r="1333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2D8732B"/>
    <w:multiLevelType w:val="hybridMultilevel"/>
    <w:tmpl w:val="11EE32F4"/>
    <w:lvl w:ilvl="0" w:tplc="382079D2">
      <w:numFmt w:val="bullet"/>
      <w:lvlText w:val="-"/>
      <w:lvlJc w:val="left"/>
      <w:pPr>
        <w:ind w:left="360" w:hanging="360"/>
      </w:pPr>
      <w:rPr>
        <w:rFonts w:ascii="Bookman Old Style" w:eastAsia="Times New Roman" w:hAnsi="Bookman Old Style"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4BF62D4"/>
    <w:multiLevelType w:val="hybridMultilevel"/>
    <w:tmpl w:val="4F362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874C70"/>
    <w:multiLevelType w:val="hybridMultilevel"/>
    <w:tmpl w:val="2E32A232"/>
    <w:lvl w:ilvl="0" w:tplc="0409000F">
      <w:start w:val="1"/>
      <w:numFmt w:val="decimal"/>
      <w:lvlText w:val="%1."/>
      <w:lvlJc w:val="left"/>
      <w:pPr>
        <w:ind w:left="360" w:hanging="360"/>
      </w:pPr>
      <w:rPr>
        <w:rFonts w:hint="default"/>
        <w:sz w:val="24"/>
        <w:szCs w:val="24"/>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8039C1"/>
    <w:multiLevelType w:val="hybridMultilevel"/>
    <w:tmpl w:val="A81AA1D4"/>
    <w:lvl w:ilvl="0" w:tplc="0C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E7C540C"/>
    <w:multiLevelType w:val="hybridMultilevel"/>
    <w:tmpl w:val="3FFC0F5E"/>
    <w:lvl w:ilvl="0" w:tplc="99E2EDAA">
      <w:numFmt w:val="bullet"/>
      <w:lvlText w:val="-"/>
      <w:lvlJc w:val="left"/>
      <w:pPr>
        <w:ind w:left="360" w:hanging="360"/>
      </w:pPr>
      <w:rPr>
        <w:rFonts w:ascii="Bookman Old Style" w:eastAsia="Times New Roman" w:hAnsi="Bookman Old Style"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6E020619"/>
    <w:multiLevelType w:val="hybridMultilevel"/>
    <w:tmpl w:val="0A92EECE"/>
    <w:lvl w:ilvl="0" w:tplc="736EA40C">
      <w:start w:val="1"/>
      <w:numFmt w:val="low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FBB283C"/>
    <w:multiLevelType w:val="hybridMultilevel"/>
    <w:tmpl w:val="65FC14C6"/>
    <w:lvl w:ilvl="0" w:tplc="0C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745F3BF1"/>
    <w:multiLevelType w:val="hybridMultilevel"/>
    <w:tmpl w:val="B72ED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1"/>
  </w:num>
  <w:num w:numId="4">
    <w:abstractNumId w:val="6"/>
  </w:num>
  <w:num w:numId="5">
    <w:abstractNumId w:val="14"/>
  </w:num>
  <w:num w:numId="6">
    <w:abstractNumId w:val="2"/>
  </w:num>
  <w:num w:numId="7">
    <w:abstractNumId w:val="1"/>
  </w:num>
  <w:num w:numId="8">
    <w:abstractNumId w:val="16"/>
  </w:num>
  <w:num w:numId="9">
    <w:abstractNumId w:val="15"/>
  </w:num>
  <w:num w:numId="10">
    <w:abstractNumId w:val="12"/>
  </w:num>
  <w:num w:numId="11">
    <w:abstractNumId w:val="22"/>
  </w:num>
  <w:num w:numId="12">
    <w:abstractNumId w:val="18"/>
  </w:num>
  <w:num w:numId="13">
    <w:abstractNumId w:val="8"/>
  </w:num>
  <w:num w:numId="14">
    <w:abstractNumId w:val="0"/>
  </w:num>
  <w:num w:numId="15">
    <w:abstractNumId w:val="13"/>
  </w:num>
  <w:num w:numId="16">
    <w:abstractNumId w:val="5"/>
  </w:num>
  <w:num w:numId="17">
    <w:abstractNumId w:val="17"/>
  </w:num>
  <w:num w:numId="18">
    <w:abstractNumId w:val="20"/>
  </w:num>
  <w:num w:numId="19">
    <w:abstractNumId w:val="10"/>
  </w:num>
  <w:num w:numId="20">
    <w:abstractNumId w:val="4"/>
  </w:num>
  <w:num w:numId="21">
    <w:abstractNumId w:val="7"/>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6AE2"/>
    <w:rsid w:val="000076A1"/>
    <w:rsid w:val="00012259"/>
    <w:rsid w:val="00025383"/>
    <w:rsid w:val="00026A3A"/>
    <w:rsid w:val="00060101"/>
    <w:rsid w:val="00062F2F"/>
    <w:rsid w:val="00063657"/>
    <w:rsid w:val="00076680"/>
    <w:rsid w:val="0008073E"/>
    <w:rsid w:val="00091CDB"/>
    <w:rsid w:val="00094ACC"/>
    <w:rsid w:val="000A19AC"/>
    <w:rsid w:val="000D26F8"/>
    <w:rsid w:val="000F14DA"/>
    <w:rsid w:val="00111DAE"/>
    <w:rsid w:val="00113754"/>
    <w:rsid w:val="001350B2"/>
    <w:rsid w:val="001376B5"/>
    <w:rsid w:val="001405C6"/>
    <w:rsid w:val="00141013"/>
    <w:rsid w:val="0015324E"/>
    <w:rsid w:val="00163EFA"/>
    <w:rsid w:val="00192CBF"/>
    <w:rsid w:val="00192FF1"/>
    <w:rsid w:val="001974B8"/>
    <w:rsid w:val="001A5F1B"/>
    <w:rsid w:val="001B1C22"/>
    <w:rsid w:val="001B34C6"/>
    <w:rsid w:val="001D7832"/>
    <w:rsid w:val="00202B24"/>
    <w:rsid w:val="00211D34"/>
    <w:rsid w:val="00214F04"/>
    <w:rsid w:val="00260965"/>
    <w:rsid w:val="002651CC"/>
    <w:rsid w:val="00266CD6"/>
    <w:rsid w:val="002742D7"/>
    <w:rsid w:val="00275DAB"/>
    <w:rsid w:val="002A29EB"/>
    <w:rsid w:val="002A782A"/>
    <w:rsid w:val="002B11E2"/>
    <w:rsid w:val="002B1627"/>
    <w:rsid w:val="002B24B8"/>
    <w:rsid w:val="002D3AE9"/>
    <w:rsid w:val="002D4510"/>
    <w:rsid w:val="002E4679"/>
    <w:rsid w:val="002F0734"/>
    <w:rsid w:val="002F07B9"/>
    <w:rsid w:val="002F41F2"/>
    <w:rsid w:val="002F46E7"/>
    <w:rsid w:val="003101DA"/>
    <w:rsid w:val="00314757"/>
    <w:rsid w:val="003211CE"/>
    <w:rsid w:val="00323577"/>
    <w:rsid w:val="0033685A"/>
    <w:rsid w:val="0035403A"/>
    <w:rsid w:val="0036394B"/>
    <w:rsid w:val="003709B5"/>
    <w:rsid w:val="003759C2"/>
    <w:rsid w:val="00397365"/>
    <w:rsid w:val="003A31F6"/>
    <w:rsid w:val="003C3447"/>
    <w:rsid w:val="003D076C"/>
    <w:rsid w:val="003D775E"/>
    <w:rsid w:val="003E78B5"/>
    <w:rsid w:val="004024E5"/>
    <w:rsid w:val="004066D9"/>
    <w:rsid w:val="00415BAB"/>
    <w:rsid w:val="00415ED2"/>
    <w:rsid w:val="00417971"/>
    <w:rsid w:val="0042068C"/>
    <w:rsid w:val="00425FD4"/>
    <w:rsid w:val="00451EB0"/>
    <w:rsid w:val="00454C97"/>
    <w:rsid w:val="0046472E"/>
    <w:rsid w:val="004700E6"/>
    <w:rsid w:val="0047122B"/>
    <w:rsid w:val="00473B7A"/>
    <w:rsid w:val="004960E9"/>
    <w:rsid w:val="00497D3F"/>
    <w:rsid w:val="004A2E88"/>
    <w:rsid w:val="004A5305"/>
    <w:rsid w:val="004D1116"/>
    <w:rsid w:val="004D7634"/>
    <w:rsid w:val="004F37B9"/>
    <w:rsid w:val="005300D3"/>
    <w:rsid w:val="00544F82"/>
    <w:rsid w:val="00564614"/>
    <w:rsid w:val="00593C4F"/>
    <w:rsid w:val="005946A8"/>
    <w:rsid w:val="005A4407"/>
    <w:rsid w:val="005A59EF"/>
    <w:rsid w:val="005E438B"/>
    <w:rsid w:val="005F57D4"/>
    <w:rsid w:val="005F6F41"/>
    <w:rsid w:val="00615473"/>
    <w:rsid w:val="00625DC6"/>
    <w:rsid w:val="0063328D"/>
    <w:rsid w:val="006363E2"/>
    <w:rsid w:val="006433A4"/>
    <w:rsid w:val="0064391D"/>
    <w:rsid w:val="00651821"/>
    <w:rsid w:val="00654384"/>
    <w:rsid w:val="006635CA"/>
    <w:rsid w:val="006675CD"/>
    <w:rsid w:val="00674D59"/>
    <w:rsid w:val="00684D9B"/>
    <w:rsid w:val="00697556"/>
    <w:rsid w:val="006A4D20"/>
    <w:rsid w:val="006B4C2B"/>
    <w:rsid w:val="006B6D47"/>
    <w:rsid w:val="006C5AFE"/>
    <w:rsid w:val="006E550B"/>
    <w:rsid w:val="006F6D95"/>
    <w:rsid w:val="006F7AAC"/>
    <w:rsid w:val="00704A40"/>
    <w:rsid w:val="00706F13"/>
    <w:rsid w:val="007072E8"/>
    <w:rsid w:val="0071618D"/>
    <w:rsid w:val="00723495"/>
    <w:rsid w:val="00725FA4"/>
    <w:rsid w:val="00740446"/>
    <w:rsid w:val="00740621"/>
    <w:rsid w:val="007438A9"/>
    <w:rsid w:val="0074491E"/>
    <w:rsid w:val="00775964"/>
    <w:rsid w:val="007876B7"/>
    <w:rsid w:val="00795BFB"/>
    <w:rsid w:val="007A1F3C"/>
    <w:rsid w:val="007B2760"/>
    <w:rsid w:val="007B5E6F"/>
    <w:rsid w:val="007B67AB"/>
    <w:rsid w:val="007C74ED"/>
    <w:rsid w:val="00803380"/>
    <w:rsid w:val="00806C01"/>
    <w:rsid w:val="008148CC"/>
    <w:rsid w:val="008211A4"/>
    <w:rsid w:val="00835EBC"/>
    <w:rsid w:val="008504E3"/>
    <w:rsid w:val="00873150"/>
    <w:rsid w:val="0087657D"/>
    <w:rsid w:val="008807D5"/>
    <w:rsid w:val="00880832"/>
    <w:rsid w:val="00886EE1"/>
    <w:rsid w:val="0088727D"/>
    <w:rsid w:val="00897C75"/>
    <w:rsid w:val="008C1130"/>
    <w:rsid w:val="008C370A"/>
    <w:rsid w:val="008D18E6"/>
    <w:rsid w:val="008D7A9B"/>
    <w:rsid w:val="008E71A9"/>
    <w:rsid w:val="008E76AC"/>
    <w:rsid w:val="008F0AE2"/>
    <w:rsid w:val="008F21F6"/>
    <w:rsid w:val="008F344F"/>
    <w:rsid w:val="0091163B"/>
    <w:rsid w:val="0091512B"/>
    <w:rsid w:val="00916C4B"/>
    <w:rsid w:val="00951F79"/>
    <w:rsid w:val="00973715"/>
    <w:rsid w:val="00974AB5"/>
    <w:rsid w:val="0098706D"/>
    <w:rsid w:val="009875B4"/>
    <w:rsid w:val="009935FB"/>
    <w:rsid w:val="009A7E56"/>
    <w:rsid w:val="009F4A54"/>
    <w:rsid w:val="009F4BEC"/>
    <w:rsid w:val="00A020F1"/>
    <w:rsid w:val="00A25FD7"/>
    <w:rsid w:val="00A43AFF"/>
    <w:rsid w:val="00A7793A"/>
    <w:rsid w:val="00A85EF5"/>
    <w:rsid w:val="00A93C9D"/>
    <w:rsid w:val="00A947CB"/>
    <w:rsid w:val="00AA175F"/>
    <w:rsid w:val="00AA3269"/>
    <w:rsid w:val="00AA4CC7"/>
    <w:rsid w:val="00AA5E8E"/>
    <w:rsid w:val="00AB6CA7"/>
    <w:rsid w:val="00AD01E4"/>
    <w:rsid w:val="00AD0858"/>
    <w:rsid w:val="00AE7340"/>
    <w:rsid w:val="00AF1BBD"/>
    <w:rsid w:val="00B10207"/>
    <w:rsid w:val="00B141E7"/>
    <w:rsid w:val="00B203CE"/>
    <w:rsid w:val="00B24649"/>
    <w:rsid w:val="00B351B4"/>
    <w:rsid w:val="00B46BCA"/>
    <w:rsid w:val="00B47ACE"/>
    <w:rsid w:val="00B7075B"/>
    <w:rsid w:val="00B87806"/>
    <w:rsid w:val="00B87EC9"/>
    <w:rsid w:val="00BC38FD"/>
    <w:rsid w:val="00BE5616"/>
    <w:rsid w:val="00C034CB"/>
    <w:rsid w:val="00C051A8"/>
    <w:rsid w:val="00C054BC"/>
    <w:rsid w:val="00C17897"/>
    <w:rsid w:val="00C409D5"/>
    <w:rsid w:val="00C435C3"/>
    <w:rsid w:val="00C6234B"/>
    <w:rsid w:val="00C63EAE"/>
    <w:rsid w:val="00C7629F"/>
    <w:rsid w:val="00C8661B"/>
    <w:rsid w:val="00C90DFD"/>
    <w:rsid w:val="00CA139A"/>
    <w:rsid w:val="00CA2899"/>
    <w:rsid w:val="00CA3A3D"/>
    <w:rsid w:val="00CA77FB"/>
    <w:rsid w:val="00CB379B"/>
    <w:rsid w:val="00CB5DD0"/>
    <w:rsid w:val="00CC0730"/>
    <w:rsid w:val="00CC51D4"/>
    <w:rsid w:val="00CC65DA"/>
    <w:rsid w:val="00CF21B9"/>
    <w:rsid w:val="00CF6BF9"/>
    <w:rsid w:val="00D03800"/>
    <w:rsid w:val="00D065D3"/>
    <w:rsid w:val="00D14C94"/>
    <w:rsid w:val="00D342A6"/>
    <w:rsid w:val="00D34D8B"/>
    <w:rsid w:val="00D41611"/>
    <w:rsid w:val="00D464BF"/>
    <w:rsid w:val="00D53E26"/>
    <w:rsid w:val="00D61B66"/>
    <w:rsid w:val="00D668A3"/>
    <w:rsid w:val="00D71896"/>
    <w:rsid w:val="00D728D7"/>
    <w:rsid w:val="00DA3697"/>
    <w:rsid w:val="00DB0F0C"/>
    <w:rsid w:val="00DB4F37"/>
    <w:rsid w:val="00DD4F0E"/>
    <w:rsid w:val="00E05E0A"/>
    <w:rsid w:val="00E31386"/>
    <w:rsid w:val="00E36B60"/>
    <w:rsid w:val="00E41B40"/>
    <w:rsid w:val="00E534CF"/>
    <w:rsid w:val="00E706DD"/>
    <w:rsid w:val="00E8036F"/>
    <w:rsid w:val="00E81CB4"/>
    <w:rsid w:val="00E8585B"/>
    <w:rsid w:val="00EA3F15"/>
    <w:rsid w:val="00EA7847"/>
    <w:rsid w:val="00EB631D"/>
    <w:rsid w:val="00EE2E6E"/>
    <w:rsid w:val="00EE53A9"/>
    <w:rsid w:val="00F0759E"/>
    <w:rsid w:val="00F267A4"/>
    <w:rsid w:val="00F46625"/>
    <w:rsid w:val="00F76453"/>
    <w:rsid w:val="00F821A3"/>
    <w:rsid w:val="00F9314A"/>
    <w:rsid w:val="00FC58EF"/>
    <w:rsid w:val="00FD1193"/>
    <w:rsid w:val="00FD33DF"/>
    <w:rsid w:val="00FE264D"/>
    <w:rsid w:val="00FE39D7"/>
    <w:rsid w:val="00FE6336"/>
    <w:rsid w:val="00FF28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Mapadeldocumento">
    <w:name w:val="Document Map"/>
    <w:basedOn w:val="Normal"/>
    <w:link w:val="MapadeldocumentoCar"/>
    <w:uiPriority w:val="99"/>
    <w:semiHidden/>
    <w:unhideWhenUsed/>
    <w:rsid w:val="006433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433A4"/>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4D1116"/>
    <w:rPr>
      <w:sz w:val="16"/>
      <w:szCs w:val="16"/>
    </w:rPr>
  </w:style>
  <w:style w:type="paragraph" w:styleId="Textocomentario">
    <w:name w:val="annotation text"/>
    <w:basedOn w:val="Normal"/>
    <w:link w:val="TextocomentarioCar"/>
    <w:uiPriority w:val="99"/>
    <w:semiHidden/>
    <w:unhideWhenUsed/>
    <w:rsid w:val="004D1116"/>
    <w:rPr>
      <w:sz w:val="20"/>
      <w:szCs w:val="20"/>
    </w:rPr>
  </w:style>
  <w:style w:type="character" w:customStyle="1" w:styleId="TextocomentarioCar">
    <w:name w:val="Texto comentario Car"/>
    <w:basedOn w:val="Fuentedeprrafopredeter"/>
    <w:link w:val="Textocomentario"/>
    <w:uiPriority w:val="99"/>
    <w:semiHidden/>
    <w:rsid w:val="004D1116"/>
    <w:rPr>
      <w:lang w:val="es-ES" w:eastAsia="es-ES"/>
    </w:rPr>
  </w:style>
  <w:style w:type="paragraph" w:styleId="Asuntodelcomentario">
    <w:name w:val="annotation subject"/>
    <w:basedOn w:val="Textocomentario"/>
    <w:next w:val="Textocomentario"/>
    <w:link w:val="AsuntodelcomentarioCar"/>
    <w:uiPriority w:val="99"/>
    <w:semiHidden/>
    <w:unhideWhenUsed/>
    <w:rsid w:val="004D1116"/>
    <w:rPr>
      <w:b/>
      <w:bCs/>
    </w:rPr>
  </w:style>
  <w:style w:type="character" w:customStyle="1" w:styleId="AsuntodelcomentarioCar">
    <w:name w:val="Asunto del comentario Car"/>
    <w:basedOn w:val="TextocomentarioCar"/>
    <w:link w:val="Asuntodelcomentario"/>
    <w:uiPriority w:val="99"/>
    <w:semiHidden/>
    <w:rsid w:val="004D1116"/>
    <w:rPr>
      <w:b/>
      <w:bCs/>
      <w:lang w:val="es-ES" w:eastAsia="es-ES"/>
    </w:rPr>
  </w:style>
  <w:style w:type="paragraph" w:customStyle="1" w:styleId="Textodebloque1">
    <w:name w:val="Texto de bloque1"/>
    <w:basedOn w:val="Normal"/>
    <w:rsid w:val="008504E3"/>
    <w:pPr>
      <w:suppressAutoHyphens/>
      <w:ind w:left="1701" w:right="1468"/>
      <w:jc w:val="both"/>
    </w:pPr>
    <w:rPr>
      <w:rFonts w:ascii="Arial" w:hAnsi="Arial"/>
      <w:szCs w:val="20"/>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Mapadeldocumento">
    <w:name w:val="Document Map"/>
    <w:basedOn w:val="Normal"/>
    <w:link w:val="MapadeldocumentoCar"/>
    <w:uiPriority w:val="99"/>
    <w:semiHidden/>
    <w:unhideWhenUsed/>
    <w:rsid w:val="006433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433A4"/>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4D1116"/>
    <w:rPr>
      <w:sz w:val="16"/>
      <w:szCs w:val="16"/>
    </w:rPr>
  </w:style>
  <w:style w:type="paragraph" w:styleId="Textocomentario">
    <w:name w:val="annotation text"/>
    <w:basedOn w:val="Normal"/>
    <w:link w:val="TextocomentarioCar"/>
    <w:uiPriority w:val="99"/>
    <w:semiHidden/>
    <w:unhideWhenUsed/>
    <w:rsid w:val="004D1116"/>
    <w:rPr>
      <w:sz w:val="20"/>
      <w:szCs w:val="20"/>
    </w:rPr>
  </w:style>
  <w:style w:type="character" w:customStyle="1" w:styleId="TextocomentarioCar">
    <w:name w:val="Texto comentario Car"/>
    <w:basedOn w:val="Fuentedeprrafopredeter"/>
    <w:link w:val="Textocomentario"/>
    <w:uiPriority w:val="99"/>
    <w:semiHidden/>
    <w:rsid w:val="004D1116"/>
    <w:rPr>
      <w:lang w:val="es-ES" w:eastAsia="es-ES"/>
    </w:rPr>
  </w:style>
  <w:style w:type="paragraph" w:styleId="Asuntodelcomentario">
    <w:name w:val="annotation subject"/>
    <w:basedOn w:val="Textocomentario"/>
    <w:next w:val="Textocomentario"/>
    <w:link w:val="AsuntodelcomentarioCar"/>
    <w:uiPriority w:val="99"/>
    <w:semiHidden/>
    <w:unhideWhenUsed/>
    <w:rsid w:val="004D1116"/>
    <w:rPr>
      <w:b/>
      <w:bCs/>
    </w:rPr>
  </w:style>
  <w:style w:type="character" w:customStyle="1" w:styleId="AsuntodelcomentarioCar">
    <w:name w:val="Asunto del comentario Car"/>
    <w:basedOn w:val="TextocomentarioCar"/>
    <w:link w:val="Asuntodelcomentario"/>
    <w:uiPriority w:val="99"/>
    <w:semiHidden/>
    <w:rsid w:val="004D1116"/>
    <w:rPr>
      <w:b/>
      <w:bCs/>
      <w:lang w:val="es-ES" w:eastAsia="es-ES"/>
    </w:rPr>
  </w:style>
  <w:style w:type="paragraph" w:customStyle="1" w:styleId="Textodebloque1">
    <w:name w:val="Texto de bloque1"/>
    <w:basedOn w:val="Normal"/>
    <w:rsid w:val="008504E3"/>
    <w:pPr>
      <w:suppressAutoHyphens/>
      <w:ind w:left="1701" w:right="1468"/>
      <w:jc w:val="both"/>
    </w:pPr>
    <w:rPr>
      <w:rFonts w:ascii="Arial" w:hAnsi="Arial"/>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13643-FD54-451A-B335-2B8EDBA1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0</TotalTime>
  <Pages>9</Pages>
  <Words>3084</Words>
  <Characters>16968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2011-02-11T17:17:00Z</cp:lastPrinted>
  <dcterms:created xsi:type="dcterms:W3CDTF">2011-02-11T22:21:00Z</dcterms:created>
  <dcterms:modified xsi:type="dcterms:W3CDTF">2011-02-11T22:21:00Z</dcterms:modified>
</cp:coreProperties>
</file>