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C6" w:rsidRPr="003B187B" w:rsidRDefault="001D5B95"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216" fillcolor="#0c9">
            <v:imagedata r:id="rId8" o:title=""/>
          </v:shape>
          <o:OLEObject Type="Embed" ProgID="PBrush" ShapeID="_x0000_s1026" DrawAspect="Content" ObjectID="_1355117170" r:id="rId9"/>
        </w:pict>
      </w:r>
    </w:p>
    <w:p w:rsidR="00625DC6" w:rsidRPr="003B187B"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3B187B" w:rsidRDefault="00CA77FB" w:rsidP="00012259">
      <w:pPr>
        <w:pStyle w:val="Ttulo4"/>
        <w:tabs>
          <w:tab w:val="left" w:pos="0"/>
          <w:tab w:val="right" w:pos="9356"/>
        </w:tabs>
        <w:ind w:left="0"/>
        <w:rPr>
          <w:rFonts w:ascii="Bookman Old Style" w:hAnsi="Bookman Old Style"/>
          <w:b w:val="0"/>
          <w:bCs/>
          <w:noProof/>
          <w:sz w:val="24"/>
          <w:szCs w:val="24"/>
          <w:lang w:val="es-ES"/>
        </w:rPr>
      </w:pPr>
      <w:r w:rsidRPr="003B187B">
        <w:rPr>
          <w:rFonts w:ascii="Bookman Old Style" w:hAnsi="Bookman Old Style"/>
          <w:b w:val="0"/>
          <w:bCs/>
          <w:sz w:val="24"/>
          <w:szCs w:val="24"/>
        </w:rPr>
        <w:t>Ministerio de Minas y Energía</w:t>
      </w:r>
    </w:p>
    <w:p w:rsidR="00CA77FB" w:rsidRPr="003B187B" w:rsidRDefault="00CA77FB" w:rsidP="00012259">
      <w:pPr>
        <w:pStyle w:val="Ttulo4"/>
        <w:tabs>
          <w:tab w:val="left" w:pos="0"/>
          <w:tab w:val="right" w:pos="9356"/>
        </w:tabs>
        <w:ind w:left="0"/>
        <w:rPr>
          <w:rFonts w:ascii="Bookman Old Style" w:hAnsi="Bookman Old Style"/>
          <w:b w:val="0"/>
          <w:bCs/>
          <w:sz w:val="24"/>
          <w:szCs w:val="24"/>
        </w:rPr>
      </w:pPr>
    </w:p>
    <w:p w:rsidR="00C8069E" w:rsidRPr="003B187B" w:rsidRDefault="00C8069E" w:rsidP="00012259">
      <w:pPr>
        <w:pStyle w:val="Ttulo3"/>
        <w:tabs>
          <w:tab w:val="left" w:pos="0"/>
          <w:tab w:val="right" w:pos="9356"/>
        </w:tabs>
        <w:ind w:left="0"/>
        <w:rPr>
          <w:rFonts w:ascii="Bookman Old Style" w:hAnsi="Bookman Old Style" w:cs="Arial"/>
          <w:spacing w:val="20"/>
          <w:szCs w:val="24"/>
        </w:rPr>
      </w:pPr>
    </w:p>
    <w:p w:rsidR="00C8069E" w:rsidRPr="003B187B" w:rsidRDefault="00C8069E" w:rsidP="00012259">
      <w:pPr>
        <w:pStyle w:val="Ttulo3"/>
        <w:tabs>
          <w:tab w:val="left" w:pos="0"/>
          <w:tab w:val="right" w:pos="9356"/>
        </w:tabs>
        <w:ind w:left="0"/>
        <w:rPr>
          <w:rFonts w:ascii="Bookman Old Style" w:hAnsi="Bookman Old Style" w:cs="Arial"/>
          <w:spacing w:val="20"/>
          <w:szCs w:val="24"/>
        </w:rPr>
      </w:pPr>
    </w:p>
    <w:p w:rsidR="00CA77FB" w:rsidRPr="003B187B" w:rsidRDefault="00CA77FB" w:rsidP="00012259">
      <w:pPr>
        <w:pStyle w:val="Ttulo3"/>
        <w:tabs>
          <w:tab w:val="left" w:pos="0"/>
          <w:tab w:val="right" w:pos="9356"/>
        </w:tabs>
        <w:ind w:left="0"/>
        <w:rPr>
          <w:rFonts w:ascii="Bookman Old Style" w:hAnsi="Bookman Old Style" w:cs="Arial"/>
          <w:spacing w:val="20"/>
          <w:szCs w:val="24"/>
        </w:rPr>
      </w:pPr>
      <w:r w:rsidRPr="003B187B">
        <w:rPr>
          <w:rFonts w:ascii="Bookman Old Style" w:hAnsi="Bookman Old Style" w:cs="Arial"/>
          <w:spacing w:val="20"/>
          <w:szCs w:val="24"/>
        </w:rPr>
        <w:t>COMISIÓN DE REGULACIÓN DE ENERGÍA Y GAS</w:t>
      </w:r>
    </w:p>
    <w:p w:rsidR="00CA77FB" w:rsidRPr="003B187B" w:rsidRDefault="00CA77FB" w:rsidP="00012259">
      <w:pPr>
        <w:pStyle w:val="Ttulo5"/>
        <w:tabs>
          <w:tab w:val="left" w:pos="0"/>
          <w:tab w:val="right" w:pos="9356"/>
        </w:tabs>
        <w:ind w:left="0"/>
        <w:rPr>
          <w:rFonts w:ascii="Bookman Old Style" w:hAnsi="Bookman Old Style"/>
          <w:sz w:val="24"/>
          <w:szCs w:val="24"/>
        </w:rPr>
      </w:pPr>
    </w:p>
    <w:p w:rsidR="00CA77FB" w:rsidRPr="003B187B" w:rsidRDefault="00CA77FB" w:rsidP="00012259">
      <w:pPr>
        <w:pStyle w:val="Ttulo5"/>
        <w:tabs>
          <w:tab w:val="left" w:pos="0"/>
          <w:tab w:val="right" w:pos="9356"/>
        </w:tabs>
        <w:ind w:left="0"/>
        <w:rPr>
          <w:rFonts w:ascii="Bookman Old Style" w:hAnsi="Bookman Old Style"/>
          <w:sz w:val="24"/>
          <w:szCs w:val="24"/>
        </w:rPr>
      </w:pPr>
    </w:p>
    <w:p w:rsidR="00C8069E" w:rsidRPr="003B187B" w:rsidRDefault="00C8069E" w:rsidP="00C8069E">
      <w:pPr>
        <w:rPr>
          <w:rFonts w:ascii="Bookman Old Style" w:hAnsi="Bookman Old Style"/>
          <w:lang w:val="es-ES_tradnl"/>
        </w:rPr>
      </w:pPr>
    </w:p>
    <w:p w:rsidR="00CA77FB" w:rsidRPr="003B187B" w:rsidRDefault="00CA77FB" w:rsidP="00012259">
      <w:pPr>
        <w:pStyle w:val="Ttulo5"/>
        <w:tabs>
          <w:tab w:val="left" w:pos="0"/>
          <w:tab w:val="right" w:pos="9356"/>
        </w:tabs>
        <w:ind w:left="0"/>
        <w:rPr>
          <w:rFonts w:ascii="Bookman Old Style" w:hAnsi="Bookman Old Style"/>
          <w:sz w:val="24"/>
          <w:szCs w:val="24"/>
        </w:rPr>
      </w:pPr>
      <w:r w:rsidRPr="003B187B">
        <w:rPr>
          <w:rFonts w:ascii="Bookman Old Style" w:hAnsi="Bookman Old Style"/>
          <w:sz w:val="24"/>
          <w:szCs w:val="24"/>
        </w:rPr>
        <w:t xml:space="preserve">RESOLUCIÓN No. </w:t>
      </w:r>
      <w:r w:rsidR="00795BFB" w:rsidRPr="003B187B">
        <w:rPr>
          <w:rFonts w:ascii="Bookman Old Style" w:hAnsi="Bookman Old Style"/>
          <w:sz w:val="24"/>
          <w:szCs w:val="24"/>
        </w:rPr>
        <w:t xml:space="preserve">                  </w:t>
      </w:r>
      <w:r w:rsidRPr="003B187B">
        <w:rPr>
          <w:rFonts w:ascii="Bookman Old Style" w:hAnsi="Bookman Old Style"/>
          <w:sz w:val="24"/>
          <w:szCs w:val="24"/>
        </w:rPr>
        <w:t>DE 20</w:t>
      </w:r>
      <w:r w:rsidR="00795BFB" w:rsidRPr="003B187B">
        <w:rPr>
          <w:rFonts w:ascii="Bookman Old Style" w:hAnsi="Bookman Old Style"/>
          <w:sz w:val="24"/>
          <w:szCs w:val="24"/>
        </w:rPr>
        <w:t>10</w:t>
      </w:r>
    </w:p>
    <w:p w:rsidR="00CA77FB" w:rsidRPr="003B187B"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8069E" w:rsidRPr="003B187B" w:rsidRDefault="00C8069E" w:rsidP="00012259">
      <w:pPr>
        <w:tabs>
          <w:tab w:val="left" w:pos="0"/>
          <w:tab w:val="right" w:pos="9356"/>
        </w:tabs>
        <w:ind w:left="0"/>
        <w:jc w:val="center"/>
        <w:rPr>
          <w:rFonts w:ascii="Bookman Old Style" w:hAnsi="Bookman Old Style" w:cs="Arial"/>
          <w:b/>
          <w:snapToGrid w:val="0"/>
          <w:color w:val="000000"/>
          <w:lang w:val="es-ES_tradnl"/>
        </w:rPr>
      </w:pPr>
    </w:p>
    <w:p w:rsidR="00CA77FB" w:rsidRPr="003B187B" w:rsidRDefault="00CA77FB" w:rsidP="00012259">
      <w:pPr>
        <w:pStyle w:val="Ttulo3"/>
        <w:tabs>
          <w:tab w:val="left" w:pos="0"/>
          <w:tab w:val="right" w:pos="9356"/>
        </w:tabs>
        <w:ind w:left="0"/>
        <w:rPr>
          <w:rFonts w:ascii="Bookman Old Style" w:hAnsi="Bookman Old Style"/>
          <w:b w:val="0"/>
          <w:szCs w:val="24"/>
        </w:rPr>
      </w:pPr>
      <w:r w:rsidRPr="003B187B">
        <w:rPr>
          <w:rFonts w:ascii="Bookman Old Style" w:hAnsi="Bookman Old Style"/>
          <w:b w:val="0"/>
          <w:szCs w:val="24"/>
        </w:rPr>
        <w:t>(                                  )</w:t>
      </w:r>
    </w:p>
    <w:p w:rsidR="00CA77FB" w:rsidRPr="003B187B" w:rsidRDefault="00CA77FB" w:rsidP="00012259">
      <w:pPr>
        <w:tabs>
          <w:tab w:val="left" w:pos="0"/>
          <w:tab w:val="right" w:pos="9356"/>
        </w:tabs>
        <w:ind w:left="0"/>
        <w:jc w:val="center"/>
        <w:rPr>
          <w:rFonts w:ascii="Bookman Old Style" w:hAnsi="Bookman Old Style"/>
          <w:lang w:val="es-ES_tradnl"/>
        </w:rPr>
      </w:pPr>
    </w:p>
    <w:p w:rsidR="00C034CB" w:rsidRPr="003B187B" w:rsidRDefault="00C034CB" w:rsidP="00012259">
      <w:pPr>
        <w:ind w:left="0"/>
        <w:rPr>
          <w:rFonts w:ascii="Bookman Old Style" w:hAnsi="Bookman Old Style"/>
          <w:bCs/>
          <w:lang w:val="es-CO"/>
        </w:rPr>
      </w:pPr>
    </w:p>
    <w:p w:rsidR="009D4A5A" w:rsidRPr="003B187B" w:rsidRDefault="009D4A5A" w:rsidP="009D4A5A">
      <w:pPr>
        <w:spacing w:after="240"/>
        <w:jc w:val="center"/>
        <w:rPr>
          <w:rFonts w:ascii="Bookman Old Style" w:hAnsi="Bookman Old Style" w:cs="Arial"/>
          <w:color w:val="000000"/>
          <w:szCs w:val="27"/>
        </w:rPr>
      </w:pPr>
      <w:r w:rsidRPr="003B187B">
        <w:rPr>
          <w:rFonts w:ascii="Bookman Old Style" w:hAnsi="Bookman Old Style" w:cs="Arial"/>
          <w:color w:val="000000"/>
          <w:szCs w:val="27"/>
        </w:rPr>
        <w:t>Por la cual se adicionan y modifican disposiciones de la Resolución  CREG 085 de 2007 y se dictan otras normas sobre el Cargo por Confiabilidad</w:t>
      </w:r>
      <w:r w:rsidRPr="003B187B">
        <w:rPr>
          <w:rFonts w:ascii="Bookman Old Style" w:hAnsi="Bookman Old Style" w:cs="Arial"/>
          <w:szCs w:val="20"/>
        </w:rPr>
        <w:t>.</w:t>
      </w:r>
    </w:p>
    <w:p w:rsidR="00853198" w:rsidRPr="003B187B" w:rsidRDefault="00853198" w:rsidP="00853198">
      <w:pPr>
        <w:ind w:left="0"/>
        <w:jc w:val="both"/>
        <w:rPr>
          <w:rFonts w:ascii="Bookman Old Style" w:hAnsi="Bookman Old Style" w:cs="Arial"/>
        </w:rPr>
      </w:pPr>
    </w:p>
    <w:p w:rsidR="00E43031" w:rsidRPr="003B187B" w:rsidRDefault="00E43031" w:rsidP="00E43031">
      <w:pPr>
        <w:ind w:left="0"/>
        <w:jc w:val="both"/>
        <w:rPr>
          <w:rFonts w:ascii="Bookman Old Style" w:hAnsi="Bookman Old Style"/>
        </w:rPr>
      </w:pPr>
    </w:p>
    <w:p w:rsidR="00E43031" w:rsidRPr="003B187B" w:rsidRDefault="00E43031" w:rsidP="00E43031">
      <w:pPr>
        <w:ind w:left="0"/>
        <w:jc w:val="center"/>
        <w:rPr>
          <w:rFonts w:ascii="Bookman Old Style" w:hAnsi="Bookman Old Style"/>
          <w:b/>
        </w:rPr>
      </w:pPr>
      <w:r w:rsidRPr="003B187B">
        <w:rPr>
          <w:rFonts w:ascii="Bookman Old Style" w:hAnsi="Bookman Old Style"/>
          <w:b/>
        </w:rPr>
        <w:t>LA COMISIÓN DE REGULACIÓN DE ENERGÍA Y GAS</w:t>
      </w:r>
    </w:p>
    <w:p w:rsidR="00E43031" w:rsidRPr="003B187B" w:rsidRDefault="00E43031" w:rsidP="00E43031">
      <w:pPr>
        <w:ind w:left="0"/>
        <w:jc w:val="both"/>
        <w:rPr>
          <w:rFonts w:ascii="Bookman Old Style" w:hAnsi="Bookman Old Style"/>
        </w:rPr>
      </w:pPr>
    </w:p>
    <w:p w:rsidR="009D4A5A" w:rsidRPr="003B187B" w:rsidRDefault="009D4A5A" w:rsidP="009D4A5A">
      <w:pPr>
        <w:jc w:val="center"/>
        <w:rPr>
          <w:rFonts w:ascii="Bookman Old Style" w:hAnsi="Bookman Old Style"/>
        </w:rPr>
      </w:pPr>
      <w:r w:rsidRPr="003B187B">
        <w:rPr>
          <w:rFonts w:ascii="Bookman Old Style" w:hAnsi="Bookman Old Style"/>
        </w:rPr>
        <w:t>En  ejercicio de sus atribuciones constitucionales y legales, en especial las conferidas por las Leyes 142 y 143 de 1994, y en desarrollo de los Decretos 1524 y  2253 de 1994, y</w:t>
      </w:r>
    </w:p>
    <w:p w:rsidR="009D4A5A" w:rsidRPr="003B187B" w:rsidRDefault="009D4A5A" w:rsidP="009D4A5A">
      <w:pPr>
        <w:jc w:val="center"/>
        <w:rPr>
          <w:rFonts w:ascii="Bookman Old Style" w:hAnsi="Bookman Old Style"/>
        </w:rPr>
      </w:pPr>
    </w:p>
    <w:p w:rsidR="009D4A5A" w:rsidRPr="003B187B" w:rsidRDefault="009D4A5A" w:rsidP="009D4A5A">
      <w:pPr>
        <w:jc w:val="center"/>
        <w:rPr>
          <w:rFonts w:ascii="Bookman Old Style" w:hAnsi="Bookman Old Style"/>
        </w:rPr>
      </w:pPr>
    </w:p>
    <w:p w:rsidR="009D4A5A" w:rsidRPr="003B187B" w:rsidRDefault="009D4A5A" w:rsidP="009D4A5A">
      <w:pPr>
        <w:jc w:val="center"/>
        <w:outlineLvl w:val="0"/>
        <w:rPr>
          <w:rFonts w:ascii="Bookman Old Style" w:hAnsi="Bookman Old Style"/>
          <w:b/>
        </w:rPr>
      </w:pPr>
      <w:r w:rsidRPr="003B187B">
        <w:rPr>
          <w:rFonts w:ascii="Bookman Old Style" w:hAnsi="Bookman Old Style"/>
          <w:b/>
        </w:rPr>
        <w:t>C O N S I D E R A N D O  Q U E:</w:t>
      </w:r>
    </w:p>
    <w:p w:rsidR="009D4A5A" w:rsidRPr="003B187B" w:rsidRDefault="009D4A5A" w:rsidP="009D4A5A">
      <w:pPr>
        <w:jc w:val="center"/>
        <w:rPr>
          <w:rFonts w:ascii="Bookman Old Style" w:hAnsi="Bookman Old Style"/>
        </w:rPr>
      </w:pPr>
    </w:p>
    <w:p w:rsidR="009D4A5A" w:rsidRPr="003B187B" w:rsidRDefault="009D4A5A" w:rsidP="009D4A5A">
      <w:pPr>
        <w:jc w:val="center"/>
        <w:rPr>
          <w:rFonts w:ascii="Bookman Old Style" w:hAnsi="Bookman Old Style"/>
        </w:rPr>
      </w:pPr>
    </w:p>
    <w:p w:rsidR="009D4A5A" w:rsidRPr="003B187B" w:rsidRDefault="009D4A5A" w:rsidP="00C8069E">
      <w:pPr>
        <w:ind w:left="0"/>
        <w:jc w:val="both"/>
        <w:rPr>
          <w:rFonts w:ascii="Bookman Old Style" w:hAnsi="Bookman Old Style"/>
        </w:rPr>
      </w:pPr>
      <w:r w:rsidRPr="003B187B">
        <w:rPr>
          <w:rFonts w:ascii="Bookman Old Style" w:hAnsi="Bookman Old Style"/>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9D4A5A" w:rsidRPr="003B187B" w:rsidRDefault="009D4A5A" w:rsidP="00C8069E">
      <w:pPr>
        <w:ind w:left="0"/>
        <w:jc w:val="both"/>
        <w:rPr>
          <w:rFonts w:ascii="Bookman Old Style" w:hAnsi="Bookman Old Style"/>
        </w:rPr>
      </w:pPr>
      <w:r w:rsidRPr="003B187B">
        <w:rPr>
          <w:rFonts w:ascii="Bookman Old Style" w:hAnsi="Bookman Old Style"/>
        </w:rPr>
        <w:br/>
        <w:t xml:space="preserve">Para el cumplimiento del objetivo señalado, la Ley 143 de 1994, artículo 23, le atribuyó a la Comisión de Regulación de Energía y Gas, entre otras, las funciones de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 valorar la capacidad de generación de respaldo de la oferta eficiente; definir y hacer operativos los criterios técnicos de calidad, confiabilidad y seguridad del servicio de energía; y determinar las condiciones para la liberación gradual del mercado hacia la libre competencia. </w:t>
      </w:r>
    </w:p>
    <w:p w:rsidR="009D4A5A" w:rsidRPr="003B187B" w:rsidRDefault="009D4A5A" w:rsidP="00C8069E">
      <w:pPr>
        <w:ind w:left="0"/>
        <w:jc w:val="both"/>
        <w:rPr>
          <w:rFonts w:ascii="Bookman Old Style" w:hAnsi="Bookman Old Style"/>
        </w:rPr>
      </w:pPr>
      <w:r w:rsidRPr="003B187B">
        <w:rPr>
          <w:rFonts w:ascii="Bookman Old Style" w:hAnsi="Bookman Old Style"/>
        </w:rPr>
        <w:br/>
        <w:t>De acuerdo con lo establecido en el literal c) del artículo 74.1 de la ley 142 de 1994, le corresponde a la CREG establecer el Reglamento de Operación, para regular el funcionamiento del Mercado Mayorista.</w:t>
      </w:r>
    </w:p>
    <w:p w:rsidR="009D4A5A" w:rsidRPr="003B187B" w:rsidRDefault="009D4A5A" w:rsidP="00C8069E">
      <w:pPr>
        <w:ind w:left="0"/>
        <w:jc w:val="both"/>
        <w:rPr>
          <w:rFonts w:ascii="Bookman Old Style" w:hAnsi="Bookman Old Style"/>
        </w:rPr>
      </w:pPr>
      <w:r w:rsidRPr="003B187B">
        <w:rPr>
          <w:rFonts w:ascii="Bookman Old Style" w:hAnsi="Bookman Old Style"/>
        </w:rPr>
        <w:lastRenderedPageBreak/>
        <w:t>La CREG mediante Resolución CREG 071 de 2006, adoptó la metodología para la remuneración del Cargo por Confiabilidad en el Mercado Mayorista de Energía.</w:t>
      </w:r>
    </w:p>
    <w:p w:rsidR="009D4A5A" w:rsidRPr="003B187B" w:rsidRDefault="009D4A5A" w:rsidP="008F2F9F">
      <w:pPr>
        <w:jc w:val="both"/>
        <w:rPr>
          <w:rFonts w:ascii="Bookman Old Style" w:hAnsi="Bookman Old Style"/>
        </w:rPr>
      </w:pPr>
    </w:p>
    <w:p w:rsidR="009D4A5A" w:rsidRPr="003B187B" w:rsidRDefault="009D4A5A" w:rsidP="00C8069E">
      <w:pPr>
        <w:ind w:left="0"/>
        <w:jc w:val="both"/>
        <w:rPr>
          <w:rFonts w:ascii="Bookman Old Style" w:hAnsi="Bookman Old Style"/>
        </w:rPr>
      </w:pPr>
      <w:r w:rsidRPr="003B187B">
        <w:rPr>
          <w:rFonts w:ascii="Bookman Old Style" w:hAnsi="Bookman Old Style"/>
        </w:rPr>
        <w:t>La CREG expidió la Resolución 085 de 2007 mediante la cual, entre otros, se reglamentaron reglas para participar en la asignación de Obligaciones de Energía Firme con plantas o unidades térmicas que utilicen combustible líquido.</w:t>
      </w:r>
    </w:p>
    <w:p w:rsidR="009D4A5A" w:rsidRPr="003B187B" w:rsidRDefault="009D4A5A" w:rsidP="008F2F9F">
      <w:pPr>
        <w:jc w:val="both"/>
        <w:rPr>
          <w:rFonts w:ascii="Bookman Old Style" w:hAnsi="Bookman Old Style"/>
        </w:rPr>
      </w:pPr>
    </w:p>
    <w:p w:rsidR="009D4A5A" w:rsidRPr="003B187B" w:rsidRDefault="009D4A5A" w:rsidP="00C8069E">
      <w:pPr>
        <w:ind w:left="0"/>
        <w:jc w:val="both"/>
        <w:rPr>
          <w:rFonts w:ascii="Bookman Old Style" w:hAnsi="Bookman Old Style"/>
        </w:rPr>
      </w:pPr>
      <w:r w:rsidRPr="003B187B">
        <w:rPr>
          <w:rFonts w:ascii="Bookman Old Style" w:hAnsi="Bookman Old Style"/>
        </w:rPr>
        <w:t>La CREG expidió la Resolución CREG 098 de 2010 mediante la cual se publicó para comentarios de agentes del sector eléctrico y terceros interesados normas sobre contratación de combustibles líquidos, pruebas y cobertura en el Mercado Secundario de Energía Firme.</w:t>
      </w:r>
    </w:p>
    <w:p w:rsidR="009D4A5A" w:rsidRPr="003B187B" w:rsidRDefault="009D4A5A" w:rsidP="008F2F9F">
      <w:pPr>
        <w:jc w:val="both"/>
        <w:rPr>
          <w:rFonts w:ascii="Bookman Old Style" w:hAnsi="Bookman Old Style"/>
        </w:rPr>
      </w:pPr>
    </w:p>
    <w:p w:rsidR="009D4A5A" w:rsidRPr="003B187B" w:rsidRDefault="009D4A5A" w:rsidP="00C8069E">
      <w:pPr>
        <w:ind w:left="0"/>
        <w:jc w:val="both"/>
        <w:rPr>
          <w:rFonts w:ascii="Bookman Old Style" w:hAnsi="Bookman Old Style"/>
        </w:rPr>
      </w:pPr>
      <w:r w:rsidRPr="003B187B">
        <w:rPr>
          <w:rFonts w:ascii="Bookman Old Style" w:hAnsi="Bookman Old Style"/>
        </w:rPr>
        <w:t>La CREG expidió la Resolución CREG 148 de 2010 en donde se definieron aspectos relativos a la opción a la entrega de combustibles, pruebas, cálculo del IHF y pruebas de disponibilidad.</w:t>
      </w:r>
    </w:p>
    <w:p w:rsidR="009D4A5A" w:rsidRPr="003B187B" w:rsidRDefault="009D4A5A" w:rsidP="008F2F9F">
      <w:pPr>
        <w:jc w:val="both"/>
        <w:rPr>
          <w:rFonts w:ascii="Bookman Old Style" w:hAnsi="Bookman Old Style"/>
        </w:rPr>
      </w:pPr>
    </w:p>
    <w:p w:rsidR="009D4A5A" w:rsidRPr="003B187B" w:rsidRDefault="009D4A5A" w:rsidP="00C8069E">
      <w:pPr>
        <w:ind w:left="0"/>
        <w:jc w:val="both"/>
        <w:rPr>
          <w:rFonts w:ascii="Bookman Old Style" w:hAnsi="Bookman Old Style"/>
        </w:rPr>
      </w:pPr>
      <w:r w:rsidRPr="003B187B">
        <w:rPr>
          <w:rFonts w:ascii="Bookman Old Style" w:hAnsi="Bookman Old Style"/>
        </w:rPr>
        <w:t xml:space="preserve">La CREG realizó reuniones con los agentes generadores: Empresas Públicas de Medellín el 25/08/10, </w:t>
      </w:r>
      <w:proofErr w:type="spellStart"/>
      <w:r w:rsidRPr="003B187B">
        <w:rPr>
          <w:rFonts w:ascii="Bookman Old Style" w:hAnsi="Bookman Old Style"/>
        </w:rPr>
        <w:t>Isagen</w:t>
      </w:r>
      <w:proofErr w:type="spellEnd"/>
      <w:r w:rsidRPr="003B187B">
        <w:rPr>
          <w:rFonts w:ascii="Bookman Old Style" w:hAnsi="Bookman Old Style"/>
        </w:rPr>
        <w:t xml:space="preserve"> el 27/08/10, </w:t>
      </w:r>
      <w:proofErr w:type="spellStart"/>
      <w:r w:rsidRPr="003B187B">
        <w:rPr>
          <w:rFonts w:ascii="Bookman Old Style" w:hAnsi="Bookman Old Style"/>
        </w:rPr>
        <w:t>Gecelca</w:t>
      </w:r>
      <w:proofErr w:type="spellEnd"/>
      <w:r w:rsidRPr="003B187B">
        <w:rPr>
          <w:rFonts w:ascii="Bookman Old Style" w:hAnsi="Bookman Old Style"/>
        </w:rPr>
        <w:t xml:space="preserve"> el 31/08/10, </w:t>
      </w:r>
      <w:proofErr w:type="spellStart"/>
      <w:r w:rsidRPr="003B187B">
        <w:rPr>
          <w:rFonts w:ascii="Bookman Old Style" w:hAnsi="Bookman Old Style"/>
        </w:rPr>
        <w:t>Emgesa</w:t>
      </w:r>
      <w:proofErr w:type="spellEnd"/>
      <w:r w:rsidRPr="003B187B">
        <w:rPr>
          <w:rFonts w:ascii="Bookman Old Style" w:hAnsi="Bookman Old Style"/>
        </w:rPr>
        <w:t xml:space="preserve"> el 01/09/10, </w:t>
      </w:r>
      <w:proofErr w:type="spellStart"/>
      <w:r w:rsidRPr="003B187B">
        <w:rPr>
          <w:rFonts w:ascii="Bookman Old Style" w:hAnsi="Bookman Old Style"/>
        </w:rPr>
        <w:t>Termocandelaria</w:t>
      </w:r>
      <w:proofErr w:type="spellEnd"/>
      <w:r w:rsidRPr="003B187B">
        <w:rPr>
          <w:rFonts w:ascii="Bookman Old Style" w:hAnsi="Bookman Old Style"/>
        </w:rPr>
        <w:t xml:space="preserve"> el 02/09/10, </w:t>
      </w:r>
      <w:proofErr w:type="spellStart"/>
      <w:r w:rsidRPr="003B187B">
        <w:rPr>
          <w:rFonts w:ascii="Bookman Old Style" w:hAnsi="Bookman Old Style"/>
        </w:rPr>
        <w:t>Colinversiones</w:t>
      </w:r>
      <w:proofErr w:type="spellEnd"/>
      <w:r w:rsidRPr="003B187B">
        <w:rPr>
          <w:rFonts w:ascii="Bookman Old Style" w:hAnsi="Bookman Old Style"/>
        </w:rPr>
        <w:t xml:space="preserve"> el 03/09/10 y </w:t>
      </w:r>
      <w:proofErr w:type="spellStart"/>
      <w:r w:rsidRPr="003B187B">
        <w:rPr>
          <w:rFonts w:ascii="Bookman Old Style" w:hAnsi="Bookman Old Style"/>
        </w:rPr>
        <w:t>Termoemcali</w:t>
      </w:r>
      <w:proofErr w:type="spellEnd"/>
      <w:r w:rsidRPr="003B187B">
        <w:rPr>
          <w:rFonts w:ascii="Bookman Old Style" w:hAnsi="Bookman Old Style"/>
        </w:rPr>
        <w:t xml:space="preserve"> el 09/09/10. Adicionalmente se adelantó reunión con Ecopetrol el 08/09/10 con el fin conocer la problemática de la operación y contratación con combustible líquidos.</w:t>
      </w:r>
    </w:p>
    <w:p w:rsidR="009D4A5A" w:rsidRPr="003B187B" w:rsidRDefault="009D4A5A" w:rsidP="008F2F9F">
      <w:pPr>
        <w:jc w:val="both"/>
        <w:rPr>
          <w:rFonts w:ascii="Bookman Old Style" w:hAnsi="Bookman Old Style"/>
        </w:rPr>
      </w:pPr>
    </w:p>
    <w:p w:rsidR="009D4A5A" w:rsidRDefault="009D4A5A" w:rsidP="00C8069E">
      <w:pPr>
        <w:ind w:left="0"/>
        <w:jc w:val="both"/>
        <w:rPr>
          <w:rFonts w:ascii="Bookman Old Style" w:hAnsi="Bookman Old Style"/>
        </w:rPr>
      </w:pPr>
      <w:r w:rsidRPr="003B187B">
        <w:rPr>
          <w:rFonts w:ascii="Bookman Old Style" w:hAnsi="Bookman Old Style"/>
        </w:rPr>
        <w:t>El Documento CREG 143 de 2010 contiene los análisis y la respuesta a los comentarios formulados por los agentes, en los cuales se fundamenta esta resolución</w:t>
      </w:r>
      <w:r w:rsidR="002B0F11">
        <w:rPr>
          <w:rFonts w:ascii="Bookman Old Style" w:hAnsi="Bookman Old Style"/>
        </w:rPr>
        <w:t xml:space="preserve"> y en </w:t>
      </w:r>
      <w:r w:rsidR="003F43EB">
        <w:rPr>
          <w:rFonts w:ascii="Bookman Old Style" w:hAnsi="Bookman Old Style"/>
        </w:rPr>
        <w:t>é</w:t>
      </w:r>
      <w:r w:rsidR="002B0F11">
        <w:rPr>
          <w:rFonts w:ascii="Bookman Old Style" w:hAnsi="Bookman Old Style"/>
        </w:rPr>
        <w:t>l se responde el cuestionario del que trata el Decreto 2897 de 2010.</w:t>
      </w:r>
    </w:p>
    <w:p w:rsidR="002B0F11" w:rsidRDefault="002B0F11" w:rsidP="00C8069E">
      <w:pPr>
        <w:ind w:left="0"/>
        <w:jc w:val="both"/>
        <w:rPr>
          <w:rFonts w:ascii="Bookman Old Style" w:hAnsi="Bookman Old Style"/>
        </w:rPr>
      </w:pPr>
    </w:p>
    <w:p w:rsidR="002B0F11" w:rsidRPr="003B187B" w:rsidRDefault="008A75CD" w:rsidP="00C8069E">
      <w:pPr>
        <w:ind w:left="0"/>
        <w:jc w:val="both"/>
        <w:rPr>
          <w:rFonts w:ascii="Bookman Old Style" w:hAnsi="Bookman Old Style"/>
        </w:rPr>
      </w:pPr>
      <w:r>
        <w:rPr>
          <w:rFonts w:ascii="Bookman Old Style" w:hAnsi="Bookman Old Style"/>
        </w:rPr>
        <w:t xml:space="preserve">No se informó este acto a la </w:t>
      </w:r>
      <w:proofErr w:type="spellStart"/>
      <w:r>
        <w:rPr>
          <w:rFonts w:ascii="Bookman Old Style" w:hAnsi="Bookman Old Style"/>
        </w:rPr>
        <w:t>Superitendencia</w:t>
      </w:r>
      <w:proofErr w:type="spellEnd"/>
      <w:r>
        <w:rPr>
          <w:rFonts w:ascii="Bookman Old Style" w:hAnsi="Bookman Old Style"/>
        </w:rPr>
        <w:t xml:space="preserve"> de Industria y Comercio por cuanto se evaluó que no tiene incidencia sobre la libre competencia. </w:t>
      </w:r>
    </w:p>
    <w:p w:rsidR="009D4A5A" w:rsidRPr="003B187B" w:rsidRDefault="009D4A5A" w:rsidP="008F2F9F">
      <w:pPr>
        <w:jc w:val="both"/>
        <w:rPr>
          <w:rFonts w:ascii="Bookman Old Style" w:hAnsi="Bookman Old Style"/>
        </w:rPr>
      </w:pPr>
    </w:p>
    <w:p w:rsidR="009D4A5A" w:rsidRPr="003B187B" w:rsidRDefault="009D4A5A" w:rsidP="00C8069E">
      <w:pPr>
        <w:ind w:left="0"/>
        <w:jc w:val="both"/>
        <w:rPr>
          <w:rFonts w:ascii="Bookman Old Style" w:hAnsi="Bookman Old Style"/>
        </w:rPr>
      </w:pPr>
      <w:r w:rsidRPr="003B187B">
        <w:rPr>
          <w:rFonts w:ascii="Bookman Old Style" w:hAnsi="Bookman Old Style"/>
        </w:rPr>
        <w:t>La Comisión de Regulación de Energía y Gas, en su Sesión 476 del 20 de diciembre de 2010, acordó expedir esta resolución.</w:t>
      </w:r>
    </w:p>
    <w:p w:rsidR="009D4A5A" w:rsidRPr="003B187B" w:rsidRDefault="009D4A5A" w:rsidP="008F2F9F">
      <w:pPr>
        <w:pStyle w:val="Textoindependiente"/>
        <w:jc w:val="both"/>
        <w:rPr>
          <w:rFonts w:ascii="Bookman Old Style" w:hAnsi="Bookman Old Style"/>
          <w:color w:val="000000"/>
        </w:rPr>
      </w:pPr>
    </w:p>
    <w:p w:rsidR="009D4A5A" w:rsidRPr="003B187B" w:rsidRDefault="009D4A5A" w:rsidP="008F2F9F">
      <w:pPr>
        <w:pStyle w:val="Textoindependiente"/>
        <w:jc w:val="both"/>
        <w:rPr>
          <w:rFonts w:ascii="Bookman Old Style" w:hAnsi="Bookman Old Style"/>
          <w:color w:val="000000"/>
        </w:rPr>
      </w:pPr>
    </w:p>
    <w:p w:rsidR="00F420E6" w:rsidRPr="003B187B" w:rsidRDefault="009D4A5A" w:rsidP="009D4A5A">
      <w:pPr>
        <w:ind w:left="0"/>
        <w:jc w:val="center"/>
        <w:rPr>
          <w:rFonts w:ascii="Bookman Old Style" w:hAnsi="Bookman Old Style"/>
        </w:rPr>
      </w:pPr>
      <w:r w:rsidRPr="003B187B">
        <w:rPr>
          <w:rFonts w:ascii="Bookman Old Style" w:hAnsi="Bookman Old Style"/>
          <w:b/>
        </w:rPr>
        <w:t xml:space="preserve">R E S U E L V </w:t>
      </w:r>
      <w:proofErr w:type="gramStart"/>
      <w:r w:rsidRPr="003B187B">
        <w:rPr>
          <w:rFonts w:ascii="Bookman Old Style" w:hAnsi="Bookman Old Style"/>
          <w:b/>
        </w:rPr>
        <w:t>E :</w:t>
      </w:r>
      <w:proofErr w:type="gramEnd"/>
    </w:p>
    <w:p w:rsidR="009D4A5A" w:rsidRDefault="009D4A5A" w:rsidP="009D4A5A">
      <w:pPr>
        <w:ind w:left="0"/>
        <w:jc w:val="both"/>
        <w:rPr>
          <w:rFonts w:ascii="Bookman Old Style" w:hAnsi="Bookman Old Style" w:cs="Arial"/>
        </w:rPr>
      </w:pPr>
    </w:p>
    <w:p w:rsidR="00C8069E" w:rsidRPr="003B187B" w:rsidRDefault="00C8069E" w:rsidP="005225B7">
      <w:pPr>
        <w:ind w:left="0"/>
        <w:jc w:val="both"/>
        <w:rPr>
          <w:rFonts w:ascii="Bookman Old Style" w:hAnsi="Bookman Old Style" w:cs="Arial"/>
          <w:color w:val="000000"/>
        </w:rPr>
      </w:pPr>
      <w:r w:rsidRPr="003B187B">
        <w:rPr>
          <w:rFonts w:ascii="Bookman Old Style" w:hAnsi="Bookman Old Style" w:cs="Arial"/>
          <w:b/>
          <w:color w:val="000000"/>
        </w:rPr>
        <w:t>Artículo 1. Modificación del primer inciso del Ar</w:t>
      </w:r>
      <w:r w:rsidR="005225B7" w:rsidRPr="003B187B">
        <w:rPr>
          <w:rFonts w:ascii="Bookman Old Style" w:hAnsi="Bookman Old Style" w:cs="Arial"/>
          <w:b/>
          <w:color w:val="000000"/>
        </w:rPr>
        <w:t xml:space="preserve">tículo 13 de la Resolución CREG </w:t>
      </w:r>
      <w:r w:rsidRPr="003B187B">
        <w:rPr>
          <w:rFonts w:ascii="Bookman Old Style" w:hAnsi="Bookman Old Style" w:cs="Arial"/>
          <w:b/>
          <w:color w:val="000000"/>
        </w:rPr>
        <w:t>085 de 2007.</w:t>
      </w:r>
      <w:r w:rsidRPr="003B187B">
        <w:rPr>
          <w:rFonts w:ascii="Bookman Old Style" w:hAnsi="Bookman Old Style" w:cs="Arial"/>
          <w:color w:val="000000"/>
        </w:rPr>
        <w:t xml:space="preserve"> El primer inciso del Artículo 13 de la Resolución CREG 085 de 2007 quedará así:</w:t>
      </w:r>
    </w:p>
    <w:p w:rsidR="00C8069E" w:rsidRPr="003B187B" w:rsidRDefault="00C8069E" w:rsidP="00C8069E">
      <w:pPr>
        <w:rPr>
          <w:rFonts w:ascii="Bookman Old Style" w:hAnsi="Bookman Old Style" w:cs="Arial"/>
          <w:color w:val="000000"/>
        </w:rPr>
      </w:pPr>
    </w:p>
    <w:p w:rsidR="00C8069E" w:rsidRPr="003B187B" w:rsidRDefault="00C8069E" w:rsidP="005225B7">
      <w:pPr>
        <w:ind w:left="708"/>
        <w:jc w:val="both"/>
        <w:rPr>
          <w:rFonts w:ascii="Bookman Old Style" w:hAnsi="Bookman Old Style" w:cs="Arial"/>
          <w:i/>
          <w:color w:val="000000"/>
          <w:sz w:val="22"/>
        </w:rPr>
      </w:pPr>
      <w:r w:rsidRPr="003B187B">
        <w:rPr>
          <w:rFonts w:ascii="Bookman Old Style" w:hAnsi="Bookman Old Style" w:cs="Arial"/>
          <w:b/>
          <w:color w:val="000000"/>
        </w:rPr>
        <w:t xml:space="preserve"> </w:t>
      </w:r>
      <w:r w:rsidRPr="003B187B">
        <w:rPr>
          <w:rFonts w:ascii="Bookman Old Style" w:hAnsi="Bookman Old Style" w:cs="Arial"/>
          <w:i/>
          <w:color w:val="000000"/>
          <w:sz w:val="22"/>
        </w:rPr>
        <w:t>“</w:t>
      </w:r>
      <w:r w:rsidRPr="003B187B">
        <w:rPr>
          <w:rFonts w:ascii="Bookman Old Style" w:hAnsi="Bookman Old Style" w:cs="Arial"/>
          <w:b/>
          <w:i/>
          <w:color w:val="000000"/>
          <w:sz w:val="22"/>
        </w:rPr>
        <w:t>ARTÍCULO 13. Reglas para participar en la asignación de Obligaciones de Energía Firme con plantas o unidades térmicas que utilicen combustible líquido.</w:t>
      </w:r>
      <w:r w:rsidRPr="003B187B">
        <w:rPr>
          <w:rFonts w:ascii="Bookman Old Style" w:hAnsi="Bookman Old Style" w:cs="Arial"/>
          <w:i/>
          <w:color w:val="000000"/>
          <w:sz w:val="22"/>
        </w:rPr>
        <w:t xml:space="preserve"> Quienes aspiren a participar en asignaciones de Obligaciones de Energía Firme que se realicen con una antelación mayor a dos años del inicio del Período de Vigencia de la Obligación con plantas o unidades térmicas que utilicen combustible líquido y no cuenten con el respectivo contrato de combustible, podrán optar por: (i) entregar la garantía señalada en la Resolución CREG-071 de 2006; ó (</w:t>
      </w:r>
      <w:proofErr w:type="spellStart"/>
      <w:r w:rsidRPr="003B187B">
        <w:rPr>
          <w:rFonts w:ascii="Bookman Old Style" w:hAnsi="Bookman Old Style" w:cs="Arial"/>
          <w:i/>
          <w:color w:val="000000"/>
          <w:sz w:val="22"/>
        </w:rPr>
        <w:t>ii</w:t>
      </w:r>
      <w:proofErr w:type="spellEnd"/>
      <w:r w:rsidRPr="003B187B">
        <w:rPr>
          <w:rFonts w:ascii="Bookman Old Style" w:hAnsi="Bookman Old Style" w:cs="Arial"/>
          <w:i/>
          <w:color w:val="000000"/>
          <w:sz w:val="22"/>
        </w:rPr>
        <w:t xml:space="preserve">) entregar el contrato de combustible, los contratos de servicios con terceros y el documento de logística de abastecimiento, </w:t>
      </w:r>
      <w:r w:rsidRPr="003B187B">
        <w:rPr>
          <w:rFonts w:ascii="Bookman Old Style" w:hAnsi="Bookman Old Style" w:cs="Arial"/>
          <w:i/>
          <w:color w:val="000000"/>
          <w:sz w:val="22"/>
        </w:rPr>
        <w:lastRenderedPageBreak/>
        <w:t>de acuerdo con lo establecido en el artículo 3 de la Resolución CREG 181 de 2010, al menos dos años antes  del inicio de cada año del Período de Vigencia de la Obligación de Energía Firme.”</w:t>
      </w:r>
    </w:p>
    <w:p w:rsidR="00C8069E" w:rsidRPr="003B187B" w:rsidRDefault="00C8069E" w:rsidP="00C8069E">
      <w:pPr>
        <w:ind w:left="708"/>
        <w:rPr>
          <w:rFonts w:ascii="Bookman Old Style" w:hAnsi="Bookman Old Style" w:cs="Arial"/>
          <w:i/>
          <w:color w:val="000000"/>
          <w:sz w:val="22"/>
        </w:rPr>
      </w:pPr>
    </w:p>
    <w:p w:rsidR="00C8069E" w:rsidRPr="003B187B" w:rsidRDefault="00C8069E" w:rsidP="00C8069E">
      <w:pPr>
        <w:ind w:left="708"/>
        <w:rPr>
          <w:rFonts w:ascii="Bookman Old Style" w:hAnsi="Bookman Old Style" w:cs="Arial"/>
          <w:i/>
          <w:color w:val="000000"/>
          <w:sz w:val="22"/>
        </w:rPr>
      </w:pPr>
    </w:p>
    <w:p w:rsidR="00C8069E" w:rsidRPr="003B187B" w:rsidRDefault="00C8069E" w:rsidP="008265A3">
      <w:pPr>
        <w:ind w:left="0"/>
        <w:jc w:val="both"/>
        <w:rPr>
          <w:rFonts w:ascii="Bookman Old Style" w:hAnsi="Bookman Old Style" w:cs="Arial"/>
          <w:color w:val="000000"/>
        </w:rPr>
      </w:pPr>
      <w:r w:rsidRPr="003B187B">
        <w:rPr>
          <w:rFonts w:ascii="Bookman Old Style" w:hAnsi="Bookman Old Style" w:cs="Arial"/>
          <w:b/>
          <w:color w:val="000000"/>
        </w:rPr>
        <w:t>Artículo 2. Modificación del Parágrafo 1 del Artículo 13 de la Resolución CREG 085 de 2007.</w:t>
      </w:r>
      <w:r w:rsidRPr="003B187B">
        <w:rPr>
          <w:rFonts w:ascii="Bookman Old Style" w:hAnsi="Bookman Old Style" w:cs="Arial"/>
          <w:color w:val="000000"/>
        </w:rPr>
        <w:t xml:space="preserve"> El Parágrafo 1 del Artículo 13 de la Resolución CREG 085 de 2007 quedará así:</w:t>
      </w:r>
    </w:p>
    <w:p w:rsidR="00C8069E" w:rsidRPr="003B187B" w:rsidRDefault="00C8069E" w:rsidP="00C8069E">
      <w:pPr>
        <w:rPr>
          <w:rFonts w:ascii="Bookman Old Style" w:hAnsi="Bookman Old Style" w:cs="Arial"/>
          <w:color w:val="000000"/>
        </w:rPr>
      </w:pPr>
    </w:p>
    <w:p w:rsidR="00C8069E" w:rsidRPr="003B187B" w:rsidRDefault="00C8069E" w:rsidP="008265A3">
      <w:pPr>
        <w:ind w:left="708"/>
        <w:jc w:val="both"/>
        <w:rPr>
          <w:rFonts w:ascii="Bookman Old Style" w:hAnsi="Bookman Old Style" w:cs="Arial"/>
          <w:i/>
          <w:color w:val="000000"/>
          <w:sz w:val="22"/>
        </w:rPr>
      </w:pPr>
      <w:r w:rsidRPr="003B187B">
        <w:rPr>
          <w:rFonts w:ascii="Bookman Old Style" w:hAnsi="Bookman Old Style" w:cs="Arial"/>
          <w:i/>
          <w:color w:val="000000"/>
          <w:sz w:val="22"/>
        </w:rPr>
        <w:t>“</w:t>
      </w:r>
      <w:r w:rsidRPr="003B187B">
        <w:rPr>
          <w:rFonts w:ascii="Bookman Old Style" w:hAnsi="Bookman Old Style" w:cs="Arial"/>
          <w:b/>
          <w:i/>
          <w:color w:val="000000"/>
          <w:sz w:val="22"/>
        </w:rPr>
        <w:t>Parágrafo 1</w:t>
      </w:r>
      <w:r w:rsidRPr="003B187B">
        <w:rPr>
          <w:rFonts w:ascii="Bookman Old Style" w:hAnsi="Bookman Old Style" w:cs="Arial"/>
          <w:i/>
          <w:color w:val="000000"/>
          <w:sz w:val="22"/>
        </w:rPr>
        <w:t xml:space="preserve">. En caso de que el período de vigencia de la Obligación de Energía Firme asignada a quien se acoja a  la opción </w:t>
      </w:r>
      <w:proofErr w:type="spellStart"/>
      <w:r w:rsidRPr="003B187B">
        <w:rPr>
          <w:rFonts w:ascii="Bookman Old Style" w:hAnsi="Bookman Old Style" w:cs="Arial"/>
          <w:i/>
          <w:color w:val="000000"/>
          <w:sz w:val="22"/>
        </w:rPr>
        <w:t>ii</w:t>
      </w:r>
      <w:proofErr w:type="spellEnd"/>
      <w:r w:rsidRPr="003B187B">
        <w:rPr>
          <w:rFonts w:ascii="Bookman Old Style" w:hAnsi="Bookman Old Style" w:cs="Arial"/>
          <w:i/>
          <w:color w:val="000000"/>
          <w:sz w:val="22"/>
        </w:rPr>
        <w:t>) de que trata el presente artículo, sea superior a dos años, el agente deberá entregar el contrato de combustible, los contratos de servicios con terceros y el documento de logística de abastecimiento con una antelación no inferior a dos años, contados desde el inicio de cada uno de los años del período de vigencia de la Obligación de Energía Firme.”</w:t>
      </w:r>
    </w:p>
    <w:p w:rsidR="00C8069E" w:rsidRPr="003B187B" w:rsidRDefault="00C8069E" w:rsidP="00C8069E">
      <w:pPr>
        <w:rPr>
          <w:rFonts w:ascii="Bookman Old Style" w:hAnsi="Bookman Old Style" w:cs="Arial"/>
          <w:b/>
          <w:color w:val="000000"/>
        </w:rPr>
      </w:pPr>
    </w:p>
    <w:p w:rsidR="00C8069E" w:rsidRPr="003B187B" w:rsidRDefault="00C8069E" w:rsidP="00C8069E">
      <w:pPr>
        <w:rPr>
          <w:rFonts w:ascii="Bookman Old Style" w:hAnsi="Bookman Old Style" w:cs="Arial"/>
          <w:b/>
          <w:color w:val="000000"/>
        </w:rPr>
      </w:pPr>
    </w:p>
    <w:p w:rsidR="00C8069E" w:rsidRPr="003B187B" w:rsidRDefault="00C8069E" w:rsidP="008265A3">
      <w:pPr>
        <w:ind w:left="0"/>
        <w:jc w:val="both"/>
        <w:rPr>
          <w:rFonts w:ascii="Bookman Old Style" w:hAnsi="Bookman Old Style" w:cs="Arial"/>
          <w:color w:val="000000"/>
        </w:rPr>
      </w:pPr>
      <w:r w:rsidRPr="003B187B">
        <w:rPr>
          <w:rFonts w:ascii="Bookman Old Style" w:hAnsi="Bookman Old Style" w:cs="Arial"/>
          <w:b/>
          <w:color w:val="000000"/>
        </w:rPr>
        <w:t xml:space="preserve">Artículo 3. Contratos y documentos de logística de abastecimiento a entregar por agentes generadores con plantas y/o unidades térmicas que utilicen combustible líquido. </w:t>
      </w:r>
      <w:r w:rsidRPr="003B187B">
        <w:rPr>
          <w:rFonts w:ascii="Bookman Old Style" w:hAnsi="Bookman Old Style" w:cs="Arial"/>
          <w:color w:val="000000"/>
        </w:rPr>
        <w:t>Para la entrega de los contratos y documentos de logística de abastecimiento los agentes generadores con plantas y/o unidades térmicas que utilicen combustible líquido para respaldar Obligaciones de Energía Firme tendrán en cuenta las  siguientes reglas:</w:t>
      </w:r>
    </w:p>
    <w:p w:rsidR="00C8069E" w:rsidRPr="003B187B" w:rsidRDefault="00C8069E" w:rsidP="00C8069E">
      <w:pPr>
        <w:rPr>
          <w:rFonts w:ascii="Bookman Old Style" w:hAnsi="Bookman Old Style" w:cs="Arial"/>
          <w:color w:val="000000"/>
        </w:rPr>
      </w:pPr>
    </w:p>
    <w:p w:rsidR="00C8069E" w:rsidRPr="003B187B" w:rsidRDefault="00C8069E" w:rsidP="00C8069E">
      <w:pPr>
        <w:pStyle w:val="Prrafodelista"/>
        <w:numPr>
          <w:ilvl w:val="0"/>
          <w:numId w:val="24"/>
        </w:numPr>
        <w:contextualSpacing/>
        <w:jc w:val="both"/>
        <w:rPr>
          <w:rFonts w:ascii="Bookman Old Style" w:hAnsi="Bookman Old Style" w:cs="Arial"/>
          <w:color w:val="000000"/>
          <w:sz w:val="24"/>
          <w:szCs w:val="24"/>
        </w:rPr>
      </w:pPr>
      <w:r w:rsidRPr="003B187B">
        <w:rPr>
          <w:rFonts w:ascii="Bookman Old Style" w:hAnsi="Bookman Old Style" w:cs="Arial"/>
          <w:b/>
          <w:color w:val="000000"/>
          <w:sz w:val="24"/>
          <w:szCs w:val="24"/>
        </w:rPr>
        <w:t>Contratos de combustible</w:t>
      </w:r>
      <w:r w:rsidRPr="003B187B">
        <w:rPr>
          <w:rFonts w:ascii="Bookman Old Style" w:hAnsi="Bookman Old Style" w:cs="Arial"/>
          <w:color w:val="000000"/>
          <w:sz w:val="24"/>
          <w:szCs w:val="24"/>
        </w:rPr>
        <w:t>. Adicional a lo definido en la Resolución CREG 071 de 2006, los contratos de combustible deberán contener una cláusula de compensación en donde por cada barril de combustible no entregado cuando se solicita, se pague por lo menos un valor equivalente al Cargo por Confiabilidad. Los contratos no deberán tener situaciones eximentes a la compensación.</w:t>
      </w:r>
    </w:p>
    <w:p w:rsidR="00C8069E" w:rsidRPr="003B187B" w:rsidRDefault="00C8069E" w:rsidP="00C8069E">
      <w:pPr>
        <w:ind w:left="360"/>
        <w:rPr>
          <w:rFonts w:ascii="Bookman Old Style" w:hAnsi="Bookman Old Style" w:cs="Arial"/>
          <w:color w:val="000000"/>
        </w:rPr>
      </w:pPr>
    </w:p>
    <w:p w:rsidR="00C8069E" w:rsidRPr="003B187B" w:rsidRDefault="00C8069E" w:rsidP="00C8069E">
      <w:pPr>
        <w:pStyle w:val="Prrafodelista"/>
        <w:numPr>
          <w:ilvl w:val="0"/>
          <w:numId w:val="24"/>
        </w:numPr>
        <w:contextualSpacing/>
        <w:jc w:val="both"/>
        <w:rPr>
          <w:rFonts w:ascii="Bookman Old Style" w:hAnsi="Bookman Old Style" w:cs="Arial"/>
          <w:color w:val="000000"/>
          <w:sz w:val="24"/>
          <w:szCs w:val="24"/>
        </w:rPr>
      </w:pPr>
      <w:r w:rsidRPr="003B187B">
        <w:rPr>
          <w:rFonts w:ascii="Bookman Old Style" w:hAnsi="Bookman Old Style" w:cs="Arial"/>
          <w:b/>
          <w:color w:val="000000"/>
          <w:sz w:val="24"/>
          <w:szCs w:val="24"/>
        </w:rPr>
        <w:t>Contratos de servicios con terceros</w:t>
      </w:r>
      <w:r w:rsidRPr="003B187B">
        <w:rPr>
          <w:rFonts w:ascii="Bookman Old Style" w:hAnsi="Bookman Old Style" w:cs="Arial"/>
          <w:color w:val="000000"/>
          <w:sz w:val="24"/>
          <w:szCs w:val="24"/>
        </w:rPr>
        <w:t>. Corresponde a los contratos de servicios con terceros, requeridos para asegurar el abastecimiento oportuno del combustible a la planta en todo momento y que no se encuentran incluidos en el contrato de combustible.</w:t>
      </w:r>
    </w:p>
    <w:p w:rsidR="00C8069E" w:rsidRPr="003B187B" w:rsidRDefault="00C8069E" w:rsidP="00C8069E">
      <w:pPr>
        <w:ind w:left="360"/>
        <w:rPr>
          <w:rFonts w:ascii="Bookman Old Style" w:hAnsi="Bookman Old Style" w:cs="Arial"/>
          <w:color w:val="000000"/>
        </w:rPr>
      </w:pPr>
    </w:p>
    <w:p w:rsidR="00C8069E" w:rsidRPr="003B187B" w:rsidRDefault="00C8069E" w:rsidP="00C8069E">
      <w:pPr>
        <w:pStyle w:val="Prrafodelista"/>
        <w:numPr>
          <w:ilvl w:val="0"/>
          <w:numId w:val="24"/>
        </w:numPr>
        <w:contextualSpacing/>
        <w:jc w:val="both"/>
        <w:rPr>
          <w:rFonts w:ascii="Bookman Old Style" w:hAnsi="Bookman Old Style" w:cs="Arial"/>
          <w:color w:val="000000"/>
          <w:sz w:val="24"/>
          <w:szCs w:val="24"/>
        </w:rPr>
      </w:pPr>
      <w:r w:rsidRPr="003B187B">
        <w:rPr>
          <w:rFonts w:ascii="Bookman Old Style" w:hAnsi="Bookman Old Style" w:cs="Arial"/>
          <w:b/>
          <w:color w:val="000000"/>
          <w:sz w:val="24"/>
          <w:szCs w:val="24"/>
        </w:rPr>
        <w:t>Documento de logística de abastecimiento</w:t>
      </w:r>
      <w:r w:rsidRPr="003B187B">
        <w:rPr>
          <w:rFonts w:ascii="Bookman Old Style" w:hAnsi="Bookman Old Style" w:cs="Arial"/>
          <w:color w:val="000000"/>
          <w:sz w:val="24"/>
          <w:szCs w:val="24"/>
        </w:rPr>
        <w:t>. El documento de logística de abastecimiento deberá tener una descripción detallada de la forma en que operará la logística de abastecimiento demostrando cómo encadenan todas las partes intervinientes en él para asegurar el abastecimiento oportuno del combustible a la planta en todo momento.</w:t>
      </w:r>
    </w:p>
    <w:p w:rsidR="00C8069E" w:rsidRPr="003B187B" w:rsidRDefault="00C8069E" w:rsidP="00C8069E">
      <w:pPr>
        <w:pStyle w:val="Prrafodelista"/>
        <w:rPr>
          <w:rFonts w:ascii="Bookman Old Style" w:hAnsi="Bookman Old Style" w:cs="Arial"/>
          <w:color w:val="000000"/>
          <w:sz w:val="24"/>
          <w:szCs w:val="24"/>
        </w:rPr>
      </w:pPr>
    </w:p>
    <w:p w:rsidR="00C8069E" w:rsidRPr="003B187B" w:rsidRDefault="00C8069E" w:rsidP="008265A3">
      <w:pPr>
        <w:ind w:left="708"/>
        <w:jc w:val="both"/>
        <w:rPr>
          <w:rFonts w:ascii="Bookman Old Style" w:hAnsi="Bookman Old Style" w:cs="Arial"/>
          <w:color w:val="000000"/>
        </w:rPr>
      </w:pPr>
      <w:r w:rsidRPr="003B187B">
        <w:rPr>
          <w:rFonts w:ascii="Bookman Old Style" w:hAnsi="Bookman Old Style" w:cs="Arial"/>
          <w:color w:val="000000"/>
        </w:rPr>
        <w:t xml:space="preserve">El documento deberá ser claro y conciso sobre capacidad de almacenamiento propio y del distribuidor mayorista para atender el contrato, las capacidades deberán estar certificadas por entidades acreditadas para tal fin; puntos de entrega; período de entrega; número y capacidad de las bahías de descargue; transporte por carretera; transporte por ríos, caso en el cual se deberá considerar los períodos de bajos caudales como los de la época del fenómeno del pacífico; transporte por mar; calidad del producto para cumplir con la regulación ambiental y cualquier otro elemento que se tenga definido en la logística de abastecimiento. </w:t>
      </w:r>
    </w:p>
    <w:p w:rsidR="00C8069E" w:rsidRPr="003B187B" w:rsidRDefault="00C8069E" w:rsidP="008265A3">
      <w:pPr>
        <w:ind w:left="0"/>
        <w:jc w:val="both"/>
        <w:rPr>
          <w:rFonts w:ascii="Bookman Old Style" w:hAnsi="Bookman Old Style" w:cs="Arial"/>
          <w:color w:val="000000"/>
        </w:rPr>
      </w:pPr>
      <w:r w:rsidRPr="003B187B">
        <w:rPr>
          <w:rFonts w:ascii="Bookman Old Style" w:hAnsi="Bookman Old Style" w:cs="Arial"/>
          <w:b/>
          <w:color w:val="000000"/>
        </w:rPr>
        <w:t xml:space="preserve">Parágrafo. </w:t>
      </w:r>
      <w:r w:rsidRPr="003B187B">
        <w:rPr>
          <w:rFonts w:ascii="Bookman Old Style" w:hAnsi="Bookman Old Style" w:cs="Arial"/>
          <w:color w:val="000000"/>
        </w:rPr>
        <w:t xml:space="preserve">Los agentes generadores con plantas y/o unidades térmicas que a la fecha de expedición de la presente norma tengan asignadas Obligaciones de Energía Firme respaldadas con combustibles líquidos deberán entregar a la CREG el documento de logística de abastecimiento para cada uno de los períodos asignados, dentro de los de los cuatro (4) meses siguientes contados a partir de publicación de la presente resolución en el Diario Oficial. </w:t>
      </w:r>
    </w:p>
    <w:p w:rsidR="00C8069E" w:rsidRPr="003B187B" w:rsidRDefault="00C8069E" w:rsidP="00C8069E">
      <w:pPr>
        <w:rPr>
          <w:rFonts w:ascii="Bookman Old Style" w:hAnsi="Bookman Old Style" w:cs="Arial"/>
          <w:b/>
          <w:color w:val="000000"/>
        </w:rPr>
      </w:pPr>
    </w:p>
    <w:p w:rsidR="00C8069E" w:rsidRPr="003B187B" w:rsidRDefault="00C8069E" w:rsidP="008265A3">
      <w:pPr>
        <w:ind w:left="0"/>
        <w:jc w:val="both"/>
        <w:rPr>
          <w:rFonts w:ascii="Bookman Old Style" w:hAnsi="Bookman Old Style" w:cs="Arial"/>
          <w:color w:val="000000"/>
        </w:rPr>
      </w:pPr>
      <w:r w:rsidRPr="003B187B">
        <w:rPr>
          <w:rFonts w:ascii="Bookman Old Style" w:hAnsi="Bookman Old Style" w:cs="Arial"/>
          <w:b/>
          <w:color w:val="000000"/>
        </w:rPr>
        <w:t>Artículo 4. Auditoría de contratos y documentos de logística de abastecimiento entregados por agentes generadores con plantas y/o unidades térmicas que utilicen combustible líquido.</w:t>
      </w:r>
      <w:r w:rsidRPr="003B187B">
        <w:rPr>
          <w:rFonts w:ascii="Bookman Old Style" w:hAnsi="Bookman Old Style" w:cs="Arial"/>
          <w:color w:val="000000"/>
        </w:rPr>
        <w:t xml:space="preserve"> La auditoría de todos los contratos y documentos de logística de abastecimiento entregados por agentes generadores con plantas y/o unidades térmicas que utilicen combustible líquido, será realizada por una firma de auditoría que contratará el CND observando lo dispuesto en el numeral 6.1 del Anexo 6 de la Resolución CREG</w:t>
      </w:r>
      <w:r w:rsidR="003B187B">
        <w:rPr>
          <w:rFonts w:ascii="Bookman Old Style" w:hAnsi="Bookman Old Style" w:cs="Arial"/>
          <w:color w:val="000000"/>
        </w:rPr>
        <w:t xml:space="preserve"> </w:t>
      </w:r>
      <w:r w:rsidRPr="003B187B">
        <w:rPr>
          <w:rFonts w:ascii="Bookman Old Style" w:hAnsi="Bookman Old Style" w:cs="Arial"/>
          <w:color w:val="000000"/>
        </w:rPr>
        <w:t>071 de 2006, de la lista de auditores publicada por el C.N.O., para adelantar las siguientes labores:</w:t>
      </w:r>
    </w:p>
    <w:p w:rsidR="00C8069E" w:rsidRPr="003B187B" w:rsidRDefault="00C8069E" w:rsidP="00C8069E">
      <w:pPr>
        <w:rPr>
          <w:rFonts w:ascii="Bookman Old Style" w:hAnsi="Bookman Old Style" w:cs="Arial"/>
          <w:color w:val="000000"/>
        </w:rPr>
      </w:pPr>
    </w:p>
    <w:p w:rsidR="00C8069E" w:rsidRPr="003B187B" w:rsidRDefault="00C8069E" w:rsidP="00C8069E">
      <w:pPr>
        <w:pStyle w:val="Prrafodelista"/>
        <w:numPr>
          <w:ilvl w:val="0"/>
          <w:numId w:val="25"/>
        </w:numPr>
        <w:contextualSpacing/>
        <w:jc w:val="both"/>
        <w:rPr>
          <w:rFonts w:ascii="Bookman Old Style" w:hAnsi="Bookman Old Style" w:cs="Arial"/>
          <w:color w:val="000000"/>
          <w:sz w:val="24"/>
          <w:szCs w:val="24"/>
        </w:rPr>
      </w:pPr>
      <w:r w:rsidRPr="003B187B">
        <w:rPr>
          <w:rFonts w:ascii="Bookman Old Style" w:hAnsi="Bookman Old Style" w:cs="Arial"/>
          <w:color w:val="000000"/>
          <w:sz w:val="24"/>
          <w:szCs w:val="24"/>
        </w:rPr>
        <w:t xml:space="preserve">Verificar las cantidades contratadas, según lo definido en el Anexo 6 de la Resolución CREG 071 de 2006. </w:t>
      </w:r>
    </w:p>
    <w:p w:rsidR="00C8069E" w:rsidRPr="003B187B" w:rsidRDefault="00C8069E" w:rsidP="00C8069E">
      <w:pPr>
        <w:rPr>
          <w:rFonts w:ascii="Bookman Old Style" w:hAnsi="Bookman Old Style" w:cs="Arial"/>
          <w:color w:val="000000"/>
        </w:rPr>
      </w:pPr>
    </w:p>
    <w:p w:rsidR="00C8069E" w:rsidRPr="003B187B" w:rsidRDefault="00C8069E" w:rsidP="00C8069E">
      <w:pPr>
        <w:pStyle w:val="Prrafodelista"/>
        <w:numPr>
          <w:ilvl w:val="0"/>
          <w:numId w:val="25"/>
        </w:numPr>
        <w:contextualSpacing/>
        <w:jc w:val="both"/>
        <w:rPr>
          <w:rFonts w:ascii="Bookman Old Style" w:hAnsi="Bookman Old Style" w:cs="Arial"/>
          <w:color w:val="000000"/>
          <w:sz w:val="24"/>
          <w:szCs w:val="24"/>
        </w:rPr>
      </w:pPr>
      <w:r w:rsidRPr="003B187B">
        <w:rPr>
          <w:rFonts w:ascii="Bookman Old Style" w:hAnsi="Bookman Old Style" w:cs="Arial"/>
          <w:color w:val="000000"/>
          <w:sz w:val="24"/>
          <w:szCs w:val="24"/>
        </w:rPr>
        <w:t>Verificar que el contrato tiene la cláusula de compensación según lo definido en el Artículo 3, numeral 1 de la presente resolución.</w:t>
      </w:r>
    </w:p>
    <w:p w:rsidR="00C8069E" w:rsidRPr="003B187B" w:rsidRDefault="00C8069E" w:rsidP="00C8069E">
      <w:pPr>
        <w:rPr>
          <w:rFonts w:ascii="Bookman Old Style" w:hAnsi="Bookman Old Style" w:cs="Arial"/>
          <w:color w:val="000000"/>
        </w:rPr>
      </w:pPr>
    </w:p>
    <w:p w:rsidR="00C8069E" w:rsidRPr="003B187B" w:rsidRDefault="00C8069E" w:rsidP="00C8069E">
      <w:pPr>
        <w:pStyle w:val="Prrafodelista"/>
        <w:numPr>
          <w:ilvl w:val="0"/>
          <w:numId w:val="25"/>
        </w:numPr>
        <w:contextualSpacing/>
        <w:jc w:val="both"/>
        <w:rPr>
          <w:rFonts w:ascii="Bookman Old Style" w:hAnsi="Bookman Old Style" w:cs="Arial"/>
          <w:color w:val="000000"/>
          <w:sz w:val="24"/>
          <w:szCs w:val="24"/>
        </w:rPr>
      </w:pPr>
      <w:r w:rsidRPr="003B187B">
        <w:rPr>
          <w:rFonts w:ascii="Bookman Old Style" w:hAnsi="Bookman Old Style" w:cs="Arial"/>
          <w:color w:val="000000"/>
          <w:sz w:val="24"/>
          <w:szCs w:val="24"/>
        </w:rPr>
        <w:t>Verificar que las cantidades contratadas de servicios de terceros son coherentes con lo reportado en el documento de logística.</w:t>
      </w:r>
    </w:p>
    <w:p w:rsidR="00C8069E" w:rsidRPr="003B187B" w:rsidRDefault="00C8069E" w:rsidP="00C8069E">
      <w:pPr>
        <w:rPr>
          <w:rFonts w:ascii="Bookman Old Style" w:hAnsi="Bookman Old Style" w:cs="Arial"/>
          <w:color w:val="000000"/>
        </w:rPr>
      </w:pPr>
    </w:p>
    <w:p w:rsidR="00C8069E" w:rsidRPr="003B187B" w:rsidRDefault="00C8069E" w:rsidP="00C8069E">
      <w:pPr>
        <w:pStyle w:val="Prrafodelista"/>
        <w:numPr>
          <w:ilvl w:val="0"/>
          <w:numId w:val="25"/>
        </w:numPr>
        <w:contextualSpacing/>
        <w:jc w:val="both"/>
        <w:rPr>
          <w:rFonts w:ascii="Bookman Old Style" w:hAnsi="Bookman Old Style" w:cs="Arial"/>
          <w:color w:val="000000"/>
          <w:sz w:val="24"/>
          <w:szCs w:val="24"/>
        </w:rPr>
      </w:pPr>
      <w:r w:rsidRPr="003B187B">
        <w:rPr>
          <w:rFonts w:ascii="Bookman Old Style" w:hAnsi="Bookman Old Style" w:cs="Arial"/>
          <w:color w:val="000000"/>
          <w:sz w:val="24"/>
          <w:szCs w:val="24"/>
        </w:rPr>
        <w:t>Aplicando las mejores prácticas de la ingeniería, evaluar el esquema logístico de abastecimiento propuesto por el agente generador, revisando en sitio la infraestructura reportada; capacidades de almacenamiento; punto y capacidades de descarga de producto; tiempo de programación y recibo de producto; bien sea de refinería, importación y/o poliductos; capacidades de transporte por río, considerando la condición de bajas caudales; y cualquier otro elemento que se haya definido en la logística de abastecimiento.</w:t>
      </w:r>
    </w:p>
    <w:p w:rsidR="00C8069E" w:rsidRPr="003B187B" w:rsidRDefault="00C8069E" w:rsidP="00C8069E">
      <w:pPr>
        <w:rPr>
          <w:rFonts w:ascii="Bookman Old Style" w:hAnsi="Bookman Old Style" w:cs="Arial"/>
          <w:color w:val="000000"/>
        </w:rPr>
      </w:pPr>
    </w:p>
    <w:p w:rsidR="00C8069E" w:rsidRPr="003B187B" w:rsidRDefault="00C8069E" w:rsidP="00C8069E">
      <w:pPr>
        <w:pStyle w:val="Prrafodelista"/>
        <w:numPr>
          <w:ilvl w:val="0"/>
          <w:numId w:val="25"/>
        </w:numPr>
        <w:contextualSpacing/>
        <w:jc w:val="both"/>
        <w:rPr>
          <w:rFonts w:ascii="Bookman Old Style" w:hAnsi="Bookman Old Style" w:cs="Arial"/>
          <w:color w:val="000000"/>
          <w:sz w:val="24"/>
          <w:szCs w:val="24"/>
        </w:rPr>
      </w:pPr>
      <w:r w:rsidRPr="003B187B">
        <w:rPr>
          <w:rFonts w:ascii="Bookman Old Style" w:hAnsi="Bookman Old Style" w:cs="Arial"/>
          <w:color w:val="000000"/>
          <w:sz w:val="24"/>
          <w:szCs w:val="24"/>
        </w:rPr>
        <w:t>En caso de que un mismo Distribuidor Mayorista tenga contratos con varias plantas térmicas, verificar la disponibilidad de capacidad de la infraestructura del Distribuidor para atender simultáneamente las plantas con las cuales tenga contratos.</w:t>
      </w:r>
    </w:p>
    <w:p w:rsidR="007A2557" w:rsidRPr="003B187B" w:rsidRDefault="007A2557" w:rsidP="007A2557">
      <w:pPr>
        <w:pStyle w:val="Prrafodelista"/>
        <w:rPr>
          <w:rFonts w:ascii="Bookman Old Style" w:hAnsi="Bookman Old Style" w:cs="Arial"/>
          <w:color w:val="000000"/>
          <w:sz w:val="24"/>
          <w:szCs w:val="24"/>
        </w:rPr>
      </w:pPr>
    </w:p>
    <w:p w:rsidR="00C8069E" w:rsidRPr="003B187B" w:rsidRDefault="00C8069E" w:rsidP="007A2557">
      <w:pPr>
        <w:ind w:left="0"/>
        <w:jc w:val="both"/>
        <w:rPr>
          <w:rFonts w:ascii="Bookman Old Style" w:hAnsi="Bookman Old Style" w:cs="Arial"/>
          <w:color w:val="000000"/>
        </w:rPr>
      </w:pPr>
      <w:r w:rsidRPr="003B187B">
        <w:rPr>
          <w:rFonts w:ascii="Bookman Old Style" w:hAnsi="Bookman Old Style" w:cs="Arial"/>
          <w:color w:val="000000"/>
        </w:rPr>
        <w:t>Si la cantidad de combustible que se ofrece para respaldar la obligación, verificada por el Auditor teniendo en cuenta la capacidad de infraestructura y la logística contratadas, es inferior a lo declarado por el agente y a su vez es inferior a lo requerido para cubrir las Obligaciones de Energía Firme, OEF, la planta térmica perderá las OEF.</w:t>
      </w:r>
    </w:p>
    <w:p w:rsidR="00C8069E" w:rsidRPr="003B187B" w:rsidRDefault="00C8069E" w:rsidP="00C8069E">
      <w:pPr>
        <w:ind w:left="360"/>
        <w:rPr>
          <w:rFonts w:ascii="Bookman Old Style" w:hAnsi="Bookman Old Style" w:cs="Arial"/>
          <w:color w:val="000000"/>
        </w:rPr>
      </w:pPr>
    </w:p>
    <w:p w:rsidR="00C8069E" w:rsidRDefault="00C8069E" w:rsidP="007A2557">
      <w:pPr>
        <w:ind w:left="0"/>
        <w:jc w:val="both"/>
        <w:rPr>
          <w:rFonts w:ascii="Bookman Old Style" w:hAnsi="Bookman Old Style" w:cs="Arial"/>
          <w:color w:val="000000"/>
        </w:rPr>
      </w:pPr>
      <w:r w:rsidRPr="003B187B">
        <w:rPr>
          <w:rFonts w:ascii="Bookman Old Style" w:hAnsi="Bookman Old Style" w:cs="Arial"/>
          <w:color w:val="000000"/>
        </w:rPr>
        <w:t>El auditor recibirá de la CREG los contratos y documentos de logística de abastecimiento entregados por los agentes generadores con plantas térmicas que van respaldar sus Obligaciones de Energía Firme con combustibles líquidos.</w:t>
      </w:r>
    </w:p>
    <w:p w:rsidR="00BE3773" w:rsidRPr="003B187B" w:rsidRDefault="00BE3773" w:rsidP="007A2557">
      <w:pPr>
        <w:ind w:left="0"/>
        <w:jc w:val="both"/>
        <w:rPr>
          <w:rFonts w:ascii="Bookman Old Style" w:hAnsi="Bookman Old Style" w:cs="Arial"/>
          <w:color w:val="000000"/>
        </w:rPr>
      </w:pPr>
    </w:p>
    <w:p w:rsidR="00C8069E" w:rsidRPr="003B187B" w:rsidRDefault="00C8069E" w:rsidP="007A2557">
      <w:pPr>
        <w:ind w:left="0"/>
        <w:jc w:val="both"/>
        <w:rPr>
          <w:rFonts w:ascii="Bookman Old Style" w:hAnsi="Bookman Old Style" w:cs="Arial"/>
          <w:color w:val="000000"/>
        </w:rPr>
      </w:pPr>
      <w:r w:rsidRPr="003B187B">
        <w:rPr>
          <w:rFonts w:ascii="Bookman Old Style" w:hAnsi="Bookman Old Style" w:cs="Arial"/>
          <w:color w:val="000000"/>
        </w:rPr>
        <w:t>El proceso de auditoría deberá finalizar a más tardar un año y medio antes del inicio de la OEF.</w:t>
      </w:r>
    </w:p>
    <w:p w:rsidR="00C8069E" w:rsidRPr="003B187B" w:rsidRDefault="00C8069E" w:rsidP="00C8069E">
      <w:pPr>
        <w:ind w:left="360"/>
        <w:rPr>
          <w:rFonts w:ascii="Bookman Old Style" w:hAnsi="Bookman Old Style" w:cs="Arial"/>
          <w:color w:val="000000"/>
        </w:rPr>
      </w:pPr>
    </w:p>
    <w:p w:rsidR="00C8069E" w:rsidRPr="003B187B" w:rsidRDefault="00C8069E" w:rsidP="007A2557">
      <w:pPr>
        <w:ind w:left="0"/>
        <w:rPr>
          <w:rFonts w:ascii="Bookman Old Style" w:hAnsi="Bookman Old Style" w:cs="Arial"/>
          <w:color w:val="000000"/>
        </w:rPr>
      </w:pPr>
      <w:r w:rsidRPr="003B187B">
        <w:rPr>
          <w:rFonts w:ascii="Bookman Old Style" w:hAnsi="Bookman Old Style" w:cs="Arial"/>
          <w:color w:val="000000"/>
        </w:rPr>
        <w:t>El costo de la auditoría será asumido por los agentes generadores con plantas térmicas que declaren respaldo de energía firme con combustibles líquidos a prorrata de la ENFICC declarada.</w:t>
      </w:r>
    </w:p>
    <w:p w:rsidR="00C8069E" w:rsidRPr="003B187B" w:rsidRDefault="00C8069E" w:rsidP="00C8069E">
      <w:pPr>
        <w:rPr>
          <w:rFonts w:ascii="Bookman Old Style" w:hAnsi="Bookman Old Style" w:cs="Arial"/>
          <w:b/>
          <w:color w:val="000000"/>
        </w:rPr>
      </w:pPr>
    </w:p>
    <w:p w:rsidR="00C8069E" w:rsidRPr="003B187B" w:rsidRDefault="00C8069E" w:rsidP="007A2557">
      <w:pPr>
        <w:ind w:left="0"/>
        <w:jc w:val="both"/>
        <w:rPr>
          <w:rFonts w:ascii="Bookman Old Style" w:hAnsi="Bookman Old Style"/>
        </w:rPr>
      </w:pPr>
      <w:r w:rsidRPr="003B187B">
        <w:rPr>
          <w:rFonts w:ascii="Bookman Old Style" w:hAnsi="Bookman Old Style"/>
          <w:b/>
          <w:bCs/>
          <w:lang w:val="es-MX"/>
        </w:rPr>
        <w:t>Artículo 5.</w:t>
      </w:r>
      <w:r w:rsidRPr="003B187B">
        <w:rPr>
          <w:rFonts w:ascii="Bookman Old Style" w:hAnsi="Bookman Old Style"/>
          <w:lang w:val="es-MX"/>
        </w:rPr>
        <w:t xml:space="preserve"> </w:t>
      </w:r>
      <w:r w:rsidRPr="003B187B">
        <w:rPr>
          <w:rFonts w:ascii="Bookman Old Style" w:hAnsi="Bookman Old Style"/>
          <w:b/>
          <w:bCs/>
          <w:lang w:val="es-MX"/>
        </w:rPr>
        <w:t>Vigencia.</w:t>
      </w:r>
      <w:r w:rsidRPr="003B187B">
        <w:rPr>
          <w:rFonts w:ascii="Bookman Old Style" w:hAnsi="Bookman Old Style"/>
          <w:lang w:val="es-MX"/>
        </w:rPr>
        <w:t xml:space="preserve"> Esta resolución rige </w:t>
      </w:r>
      <w:r w:rsidRPr="003B187B">
        <w:rPr>
          <w:rFonts w:ascii="Bookman Old Style" w:hAnsi="Bookman Old Style"/>
        </w:rPr>
        <w:t>a partir de su publicación en el Diario Oficial y deroga las normas que le sean contrarias.</w:t>
      </w:r>
    </w:p>
    <w:p w:rsidR="009D4A5A" w:rsidRPr="003B187B" w:rsidRDefault="009D4A5A" w:rsidP="009D4A5A">
      <w:pPr>
        <w:ind w:left="0"/>
        <w:jc w:val="both"/>
        <w:rPr>
          <w:rFonts w:ascii="Bookman Old Style" w:hAnsi="Bookman Old Style" w:cs="Arial"/>
          <w:b/>
          <w:bCs/>
          <w:color w:val="000000"/>
          <w:szCs w:val="27"/>
        </w:rPr>
      </w:pPr>
    </w:p>
    <w:p w:rsidR="008F2F9F" w:rsidRPr="003B187B" w:rsidRDefault="008F2F9F" w:rsidP="009D4A5A">
      <w:pPr>
        <w:ind w:left="0"/>
        <w:jc w:val="both"/>
        <w:rPr>
          <w:rFonts w:ascii="Bookman Old Style" w:hAnsi="Bookman Old Style" w:cs="Arial"/>
          <w:b/>
          <w:bCs/>
          <w:color w:val="000000"/>
          <w:szCs w:val="27"/>
        </w:rPr>
      </w:pPr>
    </w:p>
    <w:p w:rsidR="008F2F9F" w:rsidRPr="003B187B" w:rsidRDefault="008F2F9F" w:rsidP="009D4A5A">
      <w:pPr>
        <w:ind w:left="0"/>
        <w:jc w:val="both"/>
        <w:rPr>
          <w:rFonts w:ascii="Bookman Old Style" w:hAnsi="Bookman Old Style" w:cs="Arial"/>
          <w:b/>
          <w:bCs/>
          <w:color w:val="000000"/>
          <w:szCs w:val="27"/>
        </w:rPr>
      </w:pPr>
    </w:p>
    <w:p w:rsidR="008F2F9F" w:rsidRPr="003B187B" w:rsidRDefault="008F2F9F" w:rsidP="009D4A5A">
      <w:pPr>
        <w:ind w:left="0"/>
        <w:jc w:val="both"/>
        <w:rPr>
          <w:rFonts w:ascii="Bookman Old Style" w:hAnsi="Bookman Old Style" w:cs="Arial"/>
          <w:b/>
          <w:bCs/>
          <w:color w:val="000000"/>
          <w:szCs w:val="27"/>
        </w:rPr>
      </w:pPr>
    </w:p>
    <w:p w:rsidR="009D4A5A" w:rsidRPr="003B187B" w:rsidRDefault="009D4A5A" w:rsidP="009D4A5A">
      <w:pPr>
        <w:ind w:left="0"/>
        <w:jc w:val="center"/>
        <w:outlineLvl w:val="0"/>
        <w:rPr>
          <w:rFonts w:ascii="Bookman Old Style" w:hAnsi="Bookman Old Style" w:cs="Arial"/>
          <w:b/>
          <w:bCs/>
          <w:color w:val="000000"/>
          <w:szCs w:val="27"/>
        </w:rPr>
      </w:pPr>
      <w:r w:rsidRPr="003B187B">
        <w:rPr>
          <w:rFonts w:ascii="Bookman Old Style" w:hAnsi="Bookman Old Style" w:cs="Arial"/>
          <w:b/>
          <w:bCs/>
          <w:color w:val="000000"/>
          <w:szCs w:val="27"/>
        </w:rPr>
        <w:t>PUBLÍQUESE Y CÚMPLASE</w:t>
      </w:r>
    </w:p>
    <w:p w:rsidR="009D4A5A" w:rsidRPr="003B187B" w:rsidRDefault="009D4A5A" w:rsidP="009D4A5A">
      <w:pPr>
        <w:spacing w:after="240"/>
        <w:ind w:left="0"/>
        <w:jc w:val="both"/>
        <w:rPr>
          <w:rFonts w:ascii="Bookman Old Style" w:hAnsi="Bookman Old Style" w:cs="Arial"/>
          <w:color w:val="000000"/>
          <w:szCs w:val="27"/>
        </w:rPr>
      </w:pPr>
    </w:p>
    <w:p w:rsidR="009D4A5A" w:rsidRPr="003B187B" w:rsidRDefault="009D4A5A" w:rsidP="009D4A5A">
      <w:pPr>
        <w:spacing w:after="240"/>
        <w:ind w:left="0"/>
        <w:jc w:val="both"/>
        <w:outlineLvl w:val="0"/>
        <w:rPr>
          <w:rFonts w:ascii="Bookman Old Style" w:hAnsi="Bookman Old Style" w:cs="Arial"/>
          <w:color w:val="000000"/>
          <w:szCs w:val="27"/>
        </w:rPr>
      </w:pPr>
      <w:r w:rsidRPr="003B187B">
        <w:rPr>
          <w:rFonts w:ascii="Bookman Old Style" w:hAnsi="Bookman Old Style" w:cs="Arial"/>
          <w:color w:val="000000"/>
          <w:szCs w:val="27"/>
        </w:rPr>
        <w:t xml:space="preserve">Dada en Bogotá, D.C., </w:t>
      </w:r>
    </w:p>
    <w:p w:rsidR="009D4A5A" w:rsidRPr="003B187B" w:rsidRDefault="009D4A5A" w:rsidP="009D4A5A">
      <w:pPr>
        <w:spacing w:after="240"/>
        <w:ind w:left="0"/>
        <w:jc w:val="both"/>
        <w:rPr>
          <w:rFonts w:ascii="Bookman Old Style" w:hAnsi="Bookman Old Style" w:cs="Arial"/>
          <w:color w:val="000000"/>
          <w:szCs w:val="27"/>
        </w:rPr>
      </w:pPr>
    </w:p>
    <w:p w:rsidR="009D4A5A" w:rsidRPr="003B187B" w:rsidRDefault="009D4A5A" w:rsidP="009D4A5A">
      <w:pPr>
        <w:spacing w:after="240"/>
        <w:ind w:left="0"/>
        <w:jc w:val="both"/>
        <w:rPr>
          <w:rFonts w:ascii="Bookman Old Style" w:hAnsi="Bookman Old Style" w:cs="Arial"/>
          <w:color w:val="000000"/>
          <w:szCs w:val="27"/>
        </w:rPr>
      </w:pPr>
    </w:p>
    <w:tbl>
      <w:tblPr>
        <w:tblW w:w="0" w:type="auto"/>
        <w:jc w:val="center"/>
        <w:tblCellSpacing w:w="0" w:type="dxa"/>
        <w:tblInd w:w="-1546" w:type="dxa"/>
        <w:tblCellMar>
          <w:left w:w="0" w:type="dxa"/>
          <w:right w:w="0" w:type="dxa"/>
        </w:tblCellMar>
        <w:tblLook w:val="0000"/>
      </w:tblPr>
      <w:tblGrid>
        <w:gridCol w:w="4085"/>
        <w:gridCol w:w="4394"/>
      </w:tblGrid>
      <w:tr w:rsidR="009D4A5A" w:rsidRPr="003B187B" w:rsidTr="00664315">
        <w:trPr>
          <w:tblCellSpacing w:w="0" w:type="dxa"/>
          <w:jc w:val="center"/>
        </w:trPr>
        <w:tc>
          <w:tcPr>
            <w:tcW w:w="4085" w:type="dxa"/>
          </w:tcPr>
          <w:p w:rsidR="009D4A5A" w:rsidRPr="003B187B" w:rsidRDefault="009D4A5A" w:rsidP="00664315">
            <w:pPr>
              <w:ind w:left="-26"/>
              <w:jc w:val="center"/>
              <w:rPr>
                <w:rFonts w:ascii="Bookman Old Style" w:eastAsia="Arial Unicode MS" w:hAnsi="Bookman Old Style"/>
                <w:b/>
                <w:bCs/>
                <w:color w:val="000000"/>
              </w:rPr>
            </w:pPr>
            <w:r w:rsidRPr="003B187B">
              <w:rPr>
                <w:rFonts w:ascii="Bookman Old Style" w:hAnsi="Bookman Old Style"/>
                <w:b/>
                <w:bCs/>
              </w:rPr>
              <w:t>TOMÁS GONZÁLEZ ESTRADA</w:t>
            </w:r>
          </w:p>
        </w:tc>
        <w:tc>
          <w:tcPr>
            <w:tcW w:w="4394" w:type="dxa"/>
          </w:tcPr>
          <w:p w:rsidR="009D4A5A" w:rsidRPr="003B187B" w:rsidRDefault="009D4A5A" w:rsidP="00664315">
            <w:pPr>
              <w:ind w:left="0" w:right="-26"/>
              <w:jc w:val="center"/>
              <w:rPr>
                <w:rFonts w:ascii="Bookman Old Style" w:eastAsia="Arial Unicode MS" w:hAnsi="Bookman Old Style"/>
                <w:b/>
                <w:bCs/>
              </w:rPr>
            </w:pPr>
            <w:r w:rsidRPr="003B187B">
              <w:rPr>
                <w:rFonts w:ascii="Bookman Old Style" w:hAnsi="Bookman Old Style" w:cs="Arial"/>
                <w:b/>
                <w:spacing w:val="-3"/>
                <w:szCs w:val="20"/>
              </w:rPr>
              <w:t>JAVIER AUGUSTO DÍAZ VELASCO</w:t>
            </w:r>
          </w:p>
        </w:tc>
      </w:tr>
      <w:tr w:rsidR="009D4A5A" w:rsidRPr="003B187B" w:rsidTr="00664315">
        <w:trPr>
          <w:tblCellSpacing w:w="0" w:type="dxa"/>
          <w:jc w:val="center"/>
        </w:trPr>
        <w:tc>
          <w:tcPr>
            <w:tcW w:w="4085" w:type="dxa"/>
          </w:tcPr>
          <w:p w:rsidR="009D4A5A" w:rsidRPr="003B187B" w:rsidRDefault="009D4A5A" w:rsidP="00664315">
            <w:pPr>
              <w:ind w:left="-26"/>
              <w:jc w:val="center"/>
              <w:rPr>
                <w:rFonts w:ascii="Bookman Old Style" w:eastAsia="Arial Unicode MS" w:hAnsi="Bookman Old Style" w:cs="Arial"/>
                <w:color w:val="000000"/>
              </w:rPr>
            </w:pPr>
            <w:r w:rsidRPr="003B187B">
              <w:rPr>
                <w:rFonts w:ascii="Bookman Old Style" w:hAnsi="Bookman Old Style" w:cs="Arial"/>
                <w:szCs w:val="27"/>
              </w:rPr>
              <w:t>Viceministro de Minas y Energía</w:t>
            </w:r>
          </w:p>
        </w:tc>
        <w:tc>
          <w:tcPr>
            <w:tcW w:w="4394" w:type="dxa"/>
          </w:tcPr>
          <w:p w:rsidR="009D4A5A" w:rsidRPr="003B187B" w:rsidRDefault="009D4A5A" w:rsidP="00664315">
            <w:pPr>
              <w:ind w:left="0"/>
              <w:jc w:val="center"/>
              <w:rPr>
                <w:rFonts w:ascii="Bookman Old Style" w:eastAsia="Arial Unicode MS" w:hAnsi="Bookman Old Style" w:cs="Arial"/>
                <w:color w:val="000000"/>
              </w:rPr>
            </w:pPr>
            <w:r w:rsidRPr="003B187B">
              <w:rPr>
                <w:rFonts w:ascii="Bookman Old Style" w:hAnsi="Bookman Old Style" w:cs="Arial"/>
                <w:szCs w:val="27"/>
              </w:rPr>
              <w:t>Director Ejecutivo</w:t>
            </w:r>
          </w:p>
        </w:tc>
      </w:tr>
      <w:tr w:rsidR="009D4A5A" w:rsidRPr="003B187B" w:rsidTr="00664315">
        <w:trPr>
          <w:tblCellSpacing w:w="0" w:type="dxa"/>
          <w:jc w:val="center"/>
        </w:trPr>
        <w:tc>
          <w:tcPr>
            <w:tcW w:w="4085" w:type="dxa"/>
          </w:tcPr>
          <w:p w:rsidR="009D4A5A" w:rsidRPr="003B187B" w:rsidRDefault="009D4A5A" w:rsidP="00664315">
            <w:pPr>
              <w:ind w:left="-26"/>
              <w:jc w:val="center"/>
              <w:rPr>
                <w:rFonts w:ascii="Bookman Old Style" w:hAnsi="Bookman Old Style" w:cs="Arial"/>
                <w:szCs w:val="27"/>
              </w:rPr>
            </w:pPr>
            <w:r w:rsidRPr="003B187B">
              <w:rPr>
                <w:rFonts w:ascii="Bookman Old Style" w:hAnsi="Bookman Old Style" w:cs="Arial"/>
                <w:szCs w:val="27"/>
              </w:rPr>
              <w:t>Delegado del Ministro de Minas y Energía</w:t>
            </w:r>
          </w:p>
          <w:p w:rsidR="009D4A5A" w:rsidRPr="003B187B" w:rsidRDefault="009D4A5A" w:rsidP="00664315">
            <w:pPr>
              <w:ind w:left="-26"/>
              <w:jc w:val="center"/>
              <w:rPr>
                <w:rFonts w:ascii="Bookman Old Style" w:eastAsia="Arial Unicode MS" w:hAnsi="Bookman Old Style" w:cs="Arial"/>
                <w:color w:val="000000"/>
              </w:rPr>
            </w:pPr>
            <w:r w:rsidRPr="003B187B">
              <w:rPr>
                <w:rFonts w:ascii="Bookman Old Style" w:hAnsi="Bookman Old Style" w:cs="Arial"/>
                <w:szCs w:val="27"/>
              </w:rPr>
              <w:t>Presidente</w:t>
            </w:r>
          </w:p>
        </w:tc>
        <w:tc>
          <w:tcPr>
            <w:tcW w:w="4394" w:type="dxa"/>
          </w:tcPr>
          <w:p w:rsidR="009D4A5A" w:rsidRPr="003B187B" w:rsidRDefault="009D4A5A" w:rsidP="00664315">
            <w:pPr>
              <w:ind w:left="0"/>
              <w:jc w:val="center"/>
              <w:rPr>
                <w:rFonts w:ascii="Bookman Old Style" w:eastAsia="Arial Unicode MS" w:hAnsi="Bookman Old Style" w:cs="Arial"/>
                <w:color w:val="000000"/>
              </w:rPr>
            </w:pPr>
            <w:r w:rsidRPr="003B187B">
              <w:rPr>
                <w:rFonts w:ascii="Bookman Old Style" w:hAnsi="Bookman Old Style" w:cs="Arial"/>
                <w:noProof/>
                <w:lang w:val="es-CO" w:eastAsia="es-CO"/>
              </w:rPr>
              <w:drawing>
                <wp:inline distT="0" distB="0" distL="0" distR="0">
                  <wp:extent cx="9525" cy="9525"/>
                  <wp:effectExtent l="19050" t="0" r="9525" b="0"/>
                  <wp:docPr id="2" name="Imagen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cblank"/>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D4A5A" w:rsidRPr="003B187B" w:rsidRDefault="001D5B95" w:rsidP="009D4A5A">
      <w:pPr>
        <w:ind w:left="0"/>
        <w:jc w:val="both"/>
        <w:rPr>
          <w:rFonts w:ascii="Bookman Old Style" w:hAnsi="Bookman Old Style" w:cs="Arial"/>
        </w:rPr>
      </w:pPr>
      <w:r w:rsidRPr="001D5B95">
        <w:rPr>
          <w:rFonts w:ascii="Bookman Old Style" w:hAnsi="Bookman Old Style" w:cs="Arial"/>
          <w:noProof/>
        </w:rPr>
        <w:pict>
          <v:rect id="_x0000_s1027" style="position:absolute;left:0;text-align:left;margin-left:-25.8pt;margin-top:-5.4pt;width:514.5pt;height:741pt;z-index:251660288;mso-position-horizontal-relative:text;mso-position-vertical-relative:text" filled="f" stroked="f"/>
        </w:pict>
      </w:r>
    </w:p>
    <w:p w:rsidR="009D4A5A" w:rsidRPr="003B187B" w:rsidRDefault="009D4A5A" w:rsidP="009D4A5A">
      <w:pPr>
        <w:ind w:left="0"/>
        <w:jc w:val="both"/>
        <w:rPr>
          <w:rFonts w:ascii="Bookman Old Style" w:hAnsi="Bookman Old Style"/>
        </w:rPr>
      </w:pPr>
    </w:p>
    <w:p w:rsidR="009D4A5A" w:rsidRPr="003B187B" w:rsidRDefault="009D4A5A" w:rsidP="009D4A5A">
      <w:pPr>
        <w:ind w:left="0"/>
        <w:jc w:val="both"/>
        <w:rPr>
          <w:rFonts w:ascii="Bookman Old Style" w:hAnsi="Bookman Old Style"/>
        </w:rPr>
      </w:pPr>
    </w:p>
    <w:p w:rsidR="009D4A5A" w:rsidRPr="003B187B" w:rsidRDefault="009D4A5A" w:rsidP="009D4A5A">
      <w:pPr>
        <w:ind w:left="0"/>
        <w:jc w:val="both"/>
        <w:rPr>
          <w:rFonts w:ascii="Bookman Old Style" w:hAnsi="Bookman Old Style"/>
        </w:rPr>
      </w:pPr>
    </w:p>
    <w:p w:rsidR="009D4A5A" w:rsidRPr="003B187B" w:rsidRDefault="009D4A5A" w:rsidP="009D4A5A">
      <w:pPr>
        <w:ind w:left="0"/>
        <w:jc w:val="both"/>
        <w:rPr>
          <w:rFonts w:ascii="Bookman Old Style" w:hAnsi="Bookman Old Style"/>
        </w:rPr>
      </w:pPr>
    </w:p>
    <w:p w:rsidR="009D4A5A" w:rsidRPr="003B187B" w:rsidRDefault="009D4A5A" w:rsidP="009D4A5A">
      <w:pPr>
        <w:ind w:left="0"/>
        <w:jc w:val="both"/>
        <w:rPr>
          <w:rFonts w:ascii="Bookman Old Style" w:hAnsi="Bookman Old Style"/>
        </w:rPr>
      </w:pPr>
    </w:p>
    <w:p w:rsidR="00E0232A" w:rsidRPr="003B187B" w:rsidRDefault="00E0232A" w:rsidP="009D4A5A">
      <w:pPr>
        <w:spacing w:after="240"/>
        <w:ind w:left="0"/>
        <w:jc w:val="both"/>
        <w:rPr>
          <w:rFonts w:ascii="Bookman Old Style" w:hAnsi="Bookman Old Style"/>
        </w:rPr>
      </w:pPr>
    </w:p>
    <w:sectPr w:rsidR="00E0232A" w:rsidRPr="003B187B"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1F" w:rsidRDefault="003F611F">
      <w:r>
        <w:separator/>
      </w:r>
    </w:p>
  </w:endnote>
  <w:endnote w:type="continuationSeparator" w:id="0">
    <w:p w:rsidR="003F611F" w:rsidRDefault="003F6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1F" w:rsidRDefault="003F611F">
      <w:r>
        <w:separator/>
      </w:r>
    </w:p>
  </w:footnote>
  <w:footnote w:type="continuationSeparator" w:id="0">
    <w:p w:rsidR="003F611F" w:rsidRDefault="003F6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49" w:rsidRDefault="002C6449" w:rsidP="00951F79">
    <w:pPr>
      <w:pStyle w:val="Ttulo1"/>
      <w:ind w:right="6"/>
      <w:jc w:val="left"/>
      <w:rPr>
        <w:rFonts w:ascii="Bookman Old Style" w:hAnsi="Bookman Old Style" w:cs="Arial"/>
        <w:b w:val="0"/>
        <w:sz w:val="22"/>
        <w:szCs w:val="22"/>
      </w:rPr>
    </w:pPr>
  </w:p>
  <w:p w:rsidR="002C6449" w:rsidRPr="00951F79" w:rsidRDefault="002C6449"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001D5B95"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001D5B95" w:rsidRPr="00654384">
      <w:rPr>
        <w:rFonts w:ascii="Bookman Old Style" w:hAnsi="Bookman Old Style" w:cs="Arial"/>
        <w:b w:val="0"/>
        <w:sz w:val="22"/>
        <w:szCs w:val="22"/>
      </w:rPr>
      <w:fldChar w:fldCharType="separate"/>
    </w:r>
    <w:r w:rsidR="00054046">
      <w:rPr>
        <w:rFonts w:ascii="Bookman Old Style" w:hAnsi="Bookman Old Style" w:cs="Arial"/>
        <w:b w:val="0"/>
        <w:noProof/>
        <w:sz w:val="22"/>
        <w:szCs w:val="22"/>
      </w:rPr>
      <w:t>5</w:t>
    </w:r>
    <w:r w:rsidR="001D5B95"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054046" w:rsidRPr="00054046">
        <w:rPr>
          <w:rFonts w:ascii="Bookman Old Style" w:hAnsi="Bookman Old Style" w:cs="Arial"/>
          <w:b w:val="0"/>
          <w:noProof/>
          <w:sz w:val="22"/>
          <w:szCs w:val="22"/>
        </w:rPr>
        <w:t>5</w:t>
      </w:r>
    </w:fldSimple>
  </w:p>
  <w:p w:rsidR="002C6449" w:rsidRDefault="001D5B95" w:rsidP="00AD01E4">
    <w:pPr>
      <w:ind w:left="142" w:right="148"/>
      <w:rPr>
        <w:rFonts w:ascii="Bookman Old Style" w:hAnsi="Bookman Old Style" w:cs="Arial"/>
      </w:rPr>
    </w:pPr>
    <w:r w:rsidRPr="001D5B95">
      <w:rPr>
        <w:noProof/>
      </w:rPr>
      <w:pict>
        <v:rect id="_x0000_s2049" style="position:absolute;left:0;text-align:left;margin-left:-13.8pt;margin-top:10.95pt;width:493.5pt;height:779.6pt;z-index:251657216" filled="f" strokeweight="1.5pt"/>
      </w:pict>
    </w:r>
  </w:p>
  <w:p w:rsidR="00AD52CA" w:rsidRDefault="009D4A5A" w:rsidP="00AD52CA">
    <w:pPr>
      <w:pBdr>
        <w:bottom w:val="single" w:sz="4" w:space="1" w:color="auto"/>
      </w:pBdr>
      <w:spacing w:after="240"/>
      <w:ind w:left="0"/>
      <w:jc w:val="both"/>
      <w:rPr>
        <w:rFonts w:ascii="Bookman Old Style" w:hAnsi="Bookman Old Style" w:cs="Arial"/>
        <w:szCs w:val="20"/>
      </w:rPr>
    </w:pPr>
    <w:r w:rsidRPr="009D4A5A">
      <w:rPr>
        <w:rFonts w:ascii="Bookman Old Style" w:hAnsi="Bookman Old Style" w:cs="Arial"/>
        <w:color w:val="000000"/>
        <w:szCs w:val="27"/>
      </w:rPr>
      <w:t xml:space="preserve">Por la cual se adicionan y modifican disposiciones de la Resolución  CREG 085 de </w:t>
    </w:r>
    <w:r w:rsidR="00723D29">
      <w:rPr>
        <w:rFonts w:ascii="Bookman Old Style" w:hAnsi="Bookman Old Style" w:cs="Arial"/>
        <w:color w:val="000000"/>
        <w:szCs w:val="27"/>
      </w:rPr>
      <w:t>2007 y se dictan otras normas</w:t>
    </w:r>
    <w:r w:rsidRPr="009D4A5A">
      <w:rPr>
        <w:rFonts w:ascii="Bookman Old Style" w:hAnsi="Bookman Old Style" w:cs="Arial"/>
        <w:color w:val="000000"/>
        <w:szCs w:val="27"/>
      </w:rPr>
      <w:t xml:space="preserve"> sobre el Cargo por Confiabilidad.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49" w:rsidRDefault="002C6449"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2C6449" w:rsidRDefault="002C6449">
    <w:pPr>
      <w:pStyle w:val="Encabezado"/>
      <w:jc w:val="center"/>
      <w:rPr>
        <w:rFonts w:ascii="Arial" w:hAnsi="Arial" w:cs="Arial"/>
        <w:spacing w:val="20"/>
        <w:sz w:val="20"/>
      </w:rPr>
    </w:pPr>
  </w:p>
  <w:p w:rsidR="002C6449" w:rsidRDefault="001D5B95" w:rsidP="00CA77FB">
    <w:pPr>
      <w:pStyle w:val="Encabezado"/>
      <w:jc w:val="center"/>
    </w:pPr>
    <w:r w:rsidRPr="001D5B95">
      <w:rPr>
        <w:rFonts w:ascii="Arial" w:hAnsi="Arial" w:cs="Arial"/>
        <w:noProof/>
        <w:spacing w:val="20"/>
        <w:sz w:val="20"/>
        <w:lang w:val="es-ES"/>
      </w:rPr>
      <w:pict>
        <v:rect id="_x0000_s2050" style="position:absolute;left:0;text-align:left;margin-left:-16.8pt;margin-top:29.7pt;width:499.5pt;height:774.75pt;z-index:251658240" filled="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7A7307"/>
    <w:multiLevelType w:val="hybridMultilevel"/>
    <w:tmpl w:val="94309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C3EAE"/>
    <w:multiLevelType w:val="hybridMultilevel"/>
    <w:tmpl w:val="4F362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F62D4"/>
    <w:multiLevelType w:val="hybridMultilevel"/>
    <w:tmpl w:val="4F362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6F15E2"/>
    <w:multiLevelType w:val="hybridMultilevel"/>
    <w:tmpl w:val="896A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D5EB8"/>
    <w:multiLevelType w:val="hybridMultilevel"/>
    <w:tmpl w:val="C7E67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F0FB7"/>
    <w:multiLevelType w:val="hybridMultilevel"/>
    <w:tmpl w:val="B5FC30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8F269C2"/>
    <w:multiLevelType w:val="hybridMultilevel"/>
    <w:tmpl w:val="1114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020619"/>
    <w:multiLevelType w:val="hybridMultilevel"/>
    <w:tmpl w:val="381860F8"/>
    <w:lvl w:ilvl="0" w:tplc="D66C8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3764AAD"/>
    <w:multiLevelType w:val="hybridMultilevel"/>
    <w:tmpl w:val="4588C6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745F3BF1"/>
    <w:multiLevelType w:val="hybridMultilevel"/>
    <w:tmpl w:val="B72E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A74CE"/>
    <w:multiLevelType w:val="hybridMultilevel"/>
    <w:tmpl w:val="DA4413A6"/>
    <w:lvl w:ilvl="0" w:tplc="728E111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3"/>
  </w:num>
  <w:num w:numId="4">
    <w:abstractNumId w:val="7"/>
  </w:num>
  <w:num w:numId="5">
    <w:abstractNumId w:val="14"/>
  </w:num>
  <w:num w:numId="6">
    <w:abstractNumId w:val="2"/>
  </w:num>
  <w:num w:numId="7">
    <w:abstractNumId w:val="1"/>
  </w:num>
  <w:num w:numId="8">
    <w:abstractNumId w:val="16"/>
  </w:num>
  <w:num w:numId="9">
    <w:abstractNumId w:val="15"/>
  </w:num>
  <w:num w:numId="10">
    <w:abstractNumId w:val="13"/>
  </w:num>
  <w:num w:numId="11">
    <w:abstractNumId w:val="24"/>
  </w:num>
  <w:num w:numId="12">
    <w:abstractNumId w:val="19"/>
  </w:num>
  <w:num w:numId="13">
    <w:abstractNumId w:val="10"/>
  </w:num>
  <w:num w:numId="14">
    <w:abstractNumId w:val="0"/>
  </w:num>
  <w:num w:numId="15">
    <w:abstractNumId w:val="22"/>
  </w:num>
  <w:num w:numId="16">
    <w:abstractNumId w:val="20"/>
  </w:num>
  <w:num w:numId="17">
    <w:abstractNumId w:val="17"/>
  </w:num>
  <w:num w:numId="18">
    <w:abstractNumId w:val="18"/>
  </w:num>
  <w:num w:numId="19">
    <w:abstractNumId w:val="6"/>
  </w:num>
  <w:num w:numId="20">
    <w:abstractNumId w:val="4"/>
  </w:num>
  <w:num w:numId="21">
    <w:abstractNumId w:val="8"/>
  </w:num>
  <w:num w:numId="22">
    <w:abstractNumId w:val="21"/>
  </w:num>
  <w:num w:numId="23">
    <w:abstractNumId w:val="5"/>
  </w:num>
  <w:num w:numId="24">
    <w:abstractNumId w:val="1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E7340"/>
    <w:rsid w:val="00006AE2"/>
    <w:rsid w:val="000076A1"/>
    <w:rsid w:val="00012259"/>
    <w:rsid w:val="00013D7A"/>
    <w:rsid w:val="00017CCF"/>
    <w:rsid w:val="00025383"/>
    <w:rsid w:val="00051403"/>
    <w:rsid w:val="00054046"/>
    <w:rsid w:val="00056455"/>
    <w:rsid w:val="00057F80"/>
    <w:rsid w:val="00060E2A"/>
    <w:rsid w:val="00063657"/>
    <w:rsid w:val="00073C24"/>
    <w:rsid w:val="00074186"/>
    <w:rsid w:val="00076680"/>
    <w:rsid w:val="0008073E"/>
    <w:rsid w:val="00091CDB"/>
    <w:rsid w:val="00095E18"/>
    <w:rsid w:val="000A19AC"/>
    <w:rsid w:val="000D26F8"/>
    <w:rsid w:val="000F0183"/>
    <w:rsid w:val="000F0EDA"/>
    <w:rsid w:val="0011507D"/>
    <w:rsid w:val="00133C55"/>
    <w:rsid w:val="001405C6"/>
    <w:rsid w:val="00141013"/>
    <w:rsid w:val="001424E8"/>
    <w:rsid w:val="00163CF4"/>
    <w:rsid w:val="0017511E"/>
    <w:rsid w:val="001826DA"/>
    <w:rsid w:val="001870A8"/>
    <w:rsid w:val="001912BB"/>
    <w:rsid w:val="0019263E"/>
    <w:rsid w:val="00192CBF"/>
    <w:rsid w:val="00192FF1"/>
    <w:rsid w:val="001A5F1B"/>
    <w:rsid w:val="001B1C22"/>
    <w:rsid w:val="001B34C6"/>
    <w:rsid w:val="001C0711"/>
    <w:rsid w:val="001D4E48"/>
    <w:rsid w:val="001D5B95"/>
    <w:rsid w:val="001D5D1A"/>
    <w:rsid w:val="001D7832"/>
    <w:rsid w:val="001E34B4"/>
    <w:rsid w:val="00203FEE"/>
    <w:rsid w:val="00211D34"/>
    <w:rsid w:val="00212AF5"/>
    <w:rsid w:val="00214F04"/>
    <w:rsid w:val="00220D83"/>
    <w:rsid w:val="00227434"/>
    <w:rsid w:val="002620D7"/>
    <w:rsid w:val="002661C7"/>
    <w:rsid w:val="00266CD6"/>
    <w:rsid w:val="00273B1F"/>
    <w:rsid w:val="002812C4"/>
    <w:rsid w:val="00294244"/>
    <w:rsid w:val="002B0F11"/>
    <w:rsid w:val="002B11E2"/>
    <w:rsid w:val="002B24B8"/>
    <w:rsid w:val="002C39F7"/>
    <w:rsid w:val="002C6449"/>
    <w:rsid w:val="002C7416"/>
    <w:rsid w:val="002D37E8"/>
    <w:rsid w:val="002D3AE9"/>
    <w:rsid w:val="002E40CC"/>
    <w:rsid w:val="002F0734"/>
    <w:rsid w:val="002F46E7"/>
    <w:rsid w:val="003101DA"/>
    <w:rsid w:val="0031283C"/>
    <w:rsid w:val="00313DFE"/>
    <w:rsid w:val="00314757"/>
    <w:rsid w:val="00315076"/>
    <w:rsid w:val="00320B5E"/>
    <w:rsid w:val="003211CE"/>
    <w:rsid w:val="0033483B"/>
    <w:rsid w:val="003372BE"/>
    <w:rsid w:val="003409CA"/>
    <w:rsid w:val="00343A89"/>
    <w:rsid w:val="003462F1"/>
    <w:rsid w:val="0035403A"/>
    <w:rsid w:val="0036394B"/>
    <w:rsid w:val="003709B5"/>
    <w:rsid w:val="003749E6"/>
    <w:rsid w:val="003759C2"/>
    <w:rsid w:val="00381417"/>
    <w:rsid w:val="0038433C"/>
    <w:rsid w:val="00393E9A"/>
    <w:rsid w:val="00397365"/>
    <w:rsid w:val="003A0575"/>
    <w:rsid w:val="003A31F6"/>
    <w:rsid w:val="003B187B"/>
    <w:rsid w:val="003C1EF8"/>
    <w:rsid w:val="003C3447"/>
    <w:rsid w:val="003D076C"/>
    <w:rsid w:val="003D1EC9"/>
    <w:rsid w:val="003E4B7A"/>
    <w:rsid w:val="003F43EB"/>
    <w:rsid w:val="003F611F"/>
    <w:rsid w:val="00415BAB"/>
    <w:rsid w:val="00415ED2"/>
    <w:rsid w:val="004179F9"/>
    <w:rsid w:val="0042068C"/>
    <w:rsid w:val="00436ACD"/>
    <w:rsid w:val="0046722B"/>
    <w:rsid w:val="0047122B"/>
    <w:rsid w:val="00473B7A"/>
    <w:rsid w:val="0049161E"/>
    <w:rsid w:val="004960E9"/>
    <w:rsid w:val="004A2E88"/>
    <w:rsid w:val="004A5305"/>
    <w:rsid w:val="004D7634"/>
    <w:rsid w:val="004F0085"/>
    <w:rsid w:val="004F4873"/>
    <w:rsid w:val="00513E5E"/>
    <w:rsid w:val="005225B7"/>
    <w:rsid w:val="00524AB5"/>
    <w:rsid w:val="005300D3"/>
    <w:rsid w:val="005332B4"/>
    <w:rsid w:val="00544F82"/>
    <w:rsid w:val="00557151"/>
    <w:rsid w:val="00593C4F"/>
    <w:rsid w:val="005946A8"/>
    <w:rsid w:val="005A4407"/>
    <w:rsid w:val="005A59EF"/>
    <w:rsid w:val="005E29C2"/>
    <w:rsid w:val="00620B0B"/>
    <w:rsid w:val="00624111"/>
    <w:rsid w:val="00625DC6"/>
    <w:rsid w:val="0063001A"/>
    <w:rsid w:val="00651821"/>
    <w:rsid w:val="00654384"/>
    <w:rsid w:val="00665D74"/>
    <w:rsid w:val="006675CD"/>
    <w:rsid w:val="0068063C"/>
    <w:rsid w:val="00684D9B"/>
    <w:rsid w:val="00697556"/>
    <w:rsid w:val="006B35B6"/>
    <w:rsid w:val="006B4C2B"/>
    <w:rsid w:val="006B5608"/>
    <w:rsid w:val="006B6D47"/>
    <w:rsid w:val="006C29FF"/>
    <w:rsid w:val="006F6D95"/>
    <w:rsid w:val="00701547"/>
    <w:rsid w:val="00706F13"/>
    <w:rsid w:val="007072E8"/>
    <w:rsid w:val="0071618D"/>
    <w:rsid w:val="00723D29"/>
    <w:rsid w:val="00725FA4"/>
    <w:rsid w:val="00740446"/>
    <w:rsid w:val="007438A9"/>
    <w:rsid w:val="0074491E"/>
    <w:rsid w:val="007451C4"/>
    <w:rsid w:val="0076318B"/>
    <w:rsid w:val="007643E5"/>
    <w:rsid w:val="00765DFC"/>
    <w:rsid w:val="00766C3B"/>
    <w:rsid w:val="007734B2"/>
    <w:rsid w:val="00774B22"/>
    <w:rsid w:val="00775964"/>
    <w:rsid w:val="007854E2"/>
    <w:rsid w:val="00791DC8"/>
    <w:rsid w:val="00795BFB"/>
    <w:rsid w:val="007A2557"/>
    <w:rsid w:val="007B08AA"/>
    <w:rsid w:val="007B2760"/>
    <w:rsid w:val="007C030A"/>
    <w:rsid w:val="007F2648"/>
    <w:rsid w:val="00805933"/>
    <w:rsid w:val="00806C01"/>
    <w:rsid w:val="008148CC"/>
    <w:rsid w:val="00816D4F"/>
    <w:rsid w:val="008211A4"/>
    <w:rsid w:val="008265A3"/>
    <w:rsid w:val="008511B3"/>
    <w:rsid w:val="00853198"/>
    <w:rsid w:val="00873150"/>
    <w:rsid w:val="0087657D"/>
    <w:rsid w:val="008807D5"/>
    <w:rsid w:val="00880832"/>
    <w:rsid w:val="00886EE1"/>
    <w:rsid w:val="0088727D"/>
    <w:rsid w:val="008974BA"/>
    <w:rsid w:val="00897C75"/>
    <w:rsid w:val="008A5678"/>
    <w:rsid w:val="008A75CD"/>
    <w:rsid w:val="008C1130"/>
    <w:rsid w:val="008D18E6"/>
    <w:rsid w:val="008D7A9B"/>
    <w:rsid w:val="008E0A19"/>
    <w:rsid w:val="008E76AC"/>
    <w:rsid w:val="008F21F6"/>
    <w:rsid w:val="008F2F9F"/>
    <w:rsid w:val="009178BD"/>
    <w:rsid w:val="00946843"/>
    <w:rsid w:val="00951F79"/>
    <w:rsid w:val="0095701A"/>
    <w:rsid w:val="00960CF3"/>
    <w:rsid w:val="00974AB5"/>
    <w:rsid w:val="0098706D"/>
    <w:rsid w:val="00990CCE"/>
    <w:rsid w:val="009935FB"/>
    <w:rsid w:val="009A5590"/>
    <w:rsid w:val="009B3AA6"/>
    <w:rsid w:val="009D4A5A"/>
    <w:rsid w:val="009D7464"/>
    <w:rsid w:val="009F4A54"/>
    <w:rsid w:val="009F4BEC"/>
    <w:rsid w:val="00A06234"/>
    <w:rsid w:val="00A13CDB"/>
    <w:rsid w:val="00A20D31"/>
    <w:rsid w:val="00A25FD7"/>
    <w:rsid w:val="00A40F14"/>
    <w:rsid w:val="00A43AFF"/>
    <w:rsid w:val="00A46BA1"/>
    <w:rsid w:val="00A50C3F"/>
    <w:rsid w:val="00A71907"/>
    <w:rsid w:val="00A7793A"/>
    <w:rsid w:val="00A81878"/>
    <w:rsid w:val="00A96763"/>
    <w:rsid w:val="00AB472B"/>
    <w:rsid w:val="00AB6CA7"/>
    <w:rsid w:val="00AC4344"/>
    <w:rsid w:val="00AD01E4"/>
    <w:rsid w:val="00AD0858"/>
    <w:rsid w:val="00AD52CA"/>
    <w:rsid w:val="00AE7340"/>
    <w:rsid w:val="00AF1BBD"/>
    <w:rsid w:val="00B10207"/>
    <w:rsid w:val="00B141E7"/>
    <w:rsid w:val="00B351B4"/>
    <w:rsid w:val="00B46BCA"/>
    <w:rsid w:val="00B53875"/>
    <w:rsid w:val="00B6357F"/>
    <w:rsid w:val="00B716EF"/>
    <w:rsid w:val="00B84BDB"/>
    <w:rsid w:val="00B87806"/>
    <w:rsid w:val="00B87EC9"/>
    <w:rsid w:val="00B916D6"/>
    <w:rsid w:val="00BA27FD"/>
    <w:rsid w:val="00BC38FD"/>
    <w:rsid w:val="00BC5168"/>
    <w:rsid w:val="00BE3773"/>
    <w:rsid w:val="00C026CD"/>
    <w:rsid w:val="00C034CB"/>
    <w:rsid w:val="00C051A8"/>
    <w:rsid w:val="00C054BC"/>
    <w:rsid w:val="00C17897"/>
    <w:rsid w:val="00C348AA"/>
    <w:rsid w:val="00C36D78"/>
    <w:rsid w:val="00C409D5"/>
    <w:rsid w:val="00C42180"/>
    <w:rsid w:val="00C516DD"/>
    <w:rsid w:val="00C617E5"/>
    <w:rsid w:val="00C6234B"/>
    <w:rsid w:val="00C63EAE"/>
    <w:rsid w:val="00C7629F"/>
    <w:rsid w:val="00C8069E"/>
    <w:rsid w:val="00C82113"/>
    <w:rsid w:val="00C86417"/>
    <w:rsid w:val="00C8661B"/>
    <w:rsid w:val="00C97086"/>
    <w:rsid w:val="00CA139A"/>
    <w:rsid w:val="00CA2899"/>
    <w:rsid w:val="00CA48D6"/>
    <w:rsid w:val="00CA77FB"/>
    <w:rsid w:val="00CB379B"/>
    <w:rsid w:val="00CB5DD0"/>
    <w:rsid w:val="00CB799C"/>
    <w:rsid w:val="00CC51D4"/>
    <w:rsid w:val="00CC65DA"/>
    <w:rsid w:val="00CF21B9"/>
    <w:rsid w:val="00CF21C4"/>
    <w:rsid w:val="00CF6BF9"/>
    <w:rsid w:val="00D015DD"/>
    <w:rsid w:val="00D03800"/>
    <w:rsid w:val="00D065D3"/>
    <w:rsid w:val="00D14C94"/>
    <w:rsid w:val="00D154E5"/>
    <w:rsid w:val="00D342A6"/>
    <w:rsid w:val="00D464BF"/>
    <w:rsid w:val="00D53E26"/>
    <w:rsid w:val="00D809CE"/>
    <w:rsid w:val="00D96017"/>
    <w:rsid w:val="00DA69AB"/>
    <w:rsid w:val="00DB51A3"/>
    <w:rsid w:val="00DD4F0E"/>
    <w:rsid w:val="00DE5B55"/>
    <w:rsid w:val="00DF293A"/>
    <w:rsid w:val="00DF35E5"/>
    <w:rsid w:val="00E0232A"/>
    <w:rsid w:val="00E05E0A"/>
    <w:rsid w:val="00E06471"/>
    <w:rsid w:val="00E13DC4"/>
    <w:rsid w:val="00E36A74"/>
    <w:rsid w:val="00E43031"/>
    <w:rsid w:val="00E534CF"/>
    <w:rsid w:val="00E60FC9"/>
    <w:rsid w:val="00E81CB4"/>
    <w:rsid w:val="00E8585B"/>
    <w:rsid w:val="00EA3F15"/>
    <w:rsid w:val="00EA7847"/>
    <w:rsid w:val="00EA7F7C"/>
    <w:rsid w:val="00EB038D"/>
    <w:rsid w:val="00EC36FA"/>
    <w:rsid w:val="00ED4DC0"/>
    <w:rsid w:val="00EE14FD"/>
    <w:rsid w:val="00EE2E6E"/>
    <w:rsid w:val="00EF4DD3"/>
    <w:rsid w:val="00F0759E"/>
    <w:rsid w:val="00F420E6"/>
    <w:rsid w:val="00F54945"/>
    <w:rsid w:val="00F54AA2"/>
    <w:rsid w:val="00F678B7"/>
    <w:rsid w:val="00F77715"/>
    <w:rsid w:val="00F821A3"/>
    <w:rsid w:val="00F842B2"/>
    <w:rsid w:val="00F9314A"/>
    <w:rsid w:val="00FA03D8"/>
    <w:rsid w:val="00FA7924"/>
    <w:rsid w:val="00FB5349"/>
    <w:rsid w:val="00FB5A0A"/>
    <w:rsid w:val="00FC58EF"/>
    <w:rsid w:val="00FD27E1"/>
    <w:rsid w:val="00FD33DF"/>
    <w:rsid w:val="00FD3ABF"/>
    <w:rsid w:val="00FE39D7"/>
    <w:rsid w:val="00FF1FEB"/>
    <w:rsid w:val="00FF3F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embos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TableHeading">
    <w:name w:val="Table Heading"/>
    <w:basedOn w:val="Normal"/>
    <w:rsid w:val="00701547"/>
    <w:pPr>
      <w:suppressLineNumbers/>
      <w:suppressAutoHyphens/>
      <w:ind w:left="0"/>
      <w:jc w:val="center"/>
    </w:pPr>
    <w:rPr>
      <w:rFonts w:ascii="Arial" w:hAnsi="Arial"/>
      <w:b/>
      <w:bCs/>
      <w:sz w:val="22"/>
      <w:lang w:val="es-CO" w:eastAsia="ar-SA"/>
    </w:rPr>
  </w:style>
  <w:style w:type="paragraph" w:customStyle="1" w:styleId="Textodebloque1">
    <w:name w:val="Texto de bloque1"/>
    <w:basedOn w:val="Normal"/>
    <w:rsid w:val="00701547"/>
    <w:pPr>
      <w:suppressAutoHyphens/>
      <w:ind w:left="1701" w:right="1468"/>
      <w:jc w:val="both"/>
    </w:pPr>
    <w:rPr>
      <w:rFonts w:ascii="Arial" w:hAnsi="Arial"/>
      <w:szCs w:val="20"/>
      <w:lang w:val="es-ES_tradnl" w:eastAsia="ar-SA"/>
    </w:rPr>
  </w:style>
  <w:style w:type="character" w:styleId="Refdecomentario">
    <w:name w:val="annotation reference"/>
    <w:basedOn w:val="Fuentedeprrafopredeter"/>
    <w:uiPriority w:val="99"/>
    <w:semiHidden/>
    <w:unhideWhenUsed/>
    <w:rsid w:val="005332B4"/>
    <w:rPr>
      <w:sz w:val="16"/>
      <w:szCs w:val="16"/>
    </w:rPr>
  </w:style>
  <w:style w:type="paragraph" w:styleId="Textocomentario">
    <w:name w:val="annotation text"/>
    <w:basedOn w:val="Normal"/>
    <w:link w:val="TextocomentarioCar"/>
    <w:uiPriority w:val="99"/>
    <w:semiHidden/>
    <w:unhideWhenUsed/>
    <w:rsid w:val="005332B4"/>
    <w:rPr>
      <w:sz w:val="20"/>
      <w:szCs w:val="20"/>
    </w:rPr>
  </w:style>
  <w:style w:type="character" w:customStyle="1" w:styleId="TextocomentarioCar">
    <w:name w:val="Texto comentario Car"/>
    <w:basedOn w:val="Fuentedeprrafopredeter"/>
    <w:link w:val="Textocomentario"/>
    <w:uiPriority w:val="99"/>
    <w:semiHidden/>
    <w:rsid w:val="005332B4"/>
    <w:rPr>
      <w:lang w:val="es-ES" w:eastAsia="es-ES"/>
    </w:rPr>
  </w:style>
  <w:style w:type="paragraph" w:styleId="Asuntodelcomentario">
    <w:name w:val="annotation subject"/>
    <w:basedOn w:val="Textocomentario"/>
    <w:next w:val="Textocomentario"/>
    <w:link w:val="AsuntodelcomentarioCar"/>
    <w:uiPriority w:val="99"/>
    <w:semiHidden/>
    <w:unhideWhenUsed/>
    <w:rsid w:val="005332B4"/>
    <w:rPr>
      <w:b/>
      <w:bCs/>
    </w:rPr>
  </w:style>
  <w:style w:type="character" w:customStyle="1" w:styleId="AsuntodelcomentarioCar">
    <w:name w:val="Asunto del comentario Car"/>
    <w:basedOn w:val="TextocomentarioCar"/>
    <w:link w:val="Asuntodelcomentario"/>
    <w:uiPriority w:val="99"/>
    <w:semiHidden/>
    <w:rsid w:val="005332B4"/>
    <w:rPr>
      <w:b/>
      <w:bCs/>
    </w:rPr>
  </w:style>
  <w:style w:type="paragraph" w:styleId="Revisin">
    <w:name w:val="Revision"/>
    <w:hidden/>
    <w:uiPriority w:val="99"/>
    <w:semiHidden/>
    <w:rsid w:val="00F54945"/>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420FA-3EB3-4452-AA94-82A811DD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5</Pages>
  <Words>1692</Words>
  <Characters>9069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memurillo</cp:lastModifiedBy>
  <cp:revision>2</cp:revision>
  <cp:lastPrinted>2010-12-22T23:40:00Z</cp:lastPrinted>
  <dcterms:created xsi:type="dcterms:W3CDTF">2010-12-29T13:40:00Z</dcterms:created>
  <dcterms:modified xsi:type="dcterms:W3CDTF">2010-12-29T13:40:00Z</dcterms:modified>
</cp:coreProperties>
</file>