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C6" w:rsidRPr="006B4647" w:rsidRDefault="00396578"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4pt;margin-top:-53.35pt;width:52.5pt;height:48.75pt;z-index:251657728" fillcolor="#0c9">
            <v:imagedata r:id="rId8" o:title=""/>
          </v:shape>
          <o:OLEObject Type="Embed" ProgID="PBrush" ShapeID="_x0000_s1026" DrawAspect="Content" ObjectID="_1386069981" r:id="rId9"/>
        </w:pict>
      </w:r>
    </w:p>
    <w:p w:rsidR="00625DC6" w:rsidRPr="006B4647" w:rsidRDefault="00625DC6" w:rsidP="00012259">
      <w:pPr>
        <w:pStyle w:val="Encabezado"/>
        <w:tabs>
          <w:tab w:val="clear" w:pos="8504"/>
          <w:tab w:val="left" w:pos="0"/>
          <w:tab w:val="right" w:pos="9356"/>
        </w:tabs>
        <w:ind w:left="0"/>
        <w:jc w:val="both"/>
        <w:rPr>
          <w:rFonts w:ascii="Bookman Old Style" w:hAnsi="Bookman Old Style"/>
          <w:szCs w:val="24"/>
        </w:rPr>
      </w:pPr>
    </w:p>
    <w:p w:rsidR="00CA77FB" w:rsidRPr="006B4647" w:rsidRDefault="00CA77FB" w:rsidP="00012259">
      <w:pPr>
        <w:pStyle w:val="Ttulo4"/>
        <w:tabs>
          <w:tab w:val="left" w:pos="0"/>
          <w:tab w:val="right" w:pos="9356"/>
        </w:tabs>
        <w:ind w:left="0"/>
        <w:rPr>
          <w:rFonts w:ascii="Bookman Old Style" w:hAnsi="Bookman Old Style"/>
          <w:b w:val="0"/>
          <w:bCs/>
          <w:noProof/>
          <w:sz w:val="24"/>
          <w:szCs w:val="24"/>
          <w:lang w:val="es-ES"/>
        </w:rPr>
      </w:pPr>
      <w:r w:rsidRPr="006B4647">
        <w:rPr>
          <w:rFonts w:ascii="Bookman Old Style" w:hAnsi="Bookman Old Style"/>
          <w:b w:val="0"/>
          <w:bCs/>
          <w:sz w:val="24"/>
          <w:szCs w:val="24"/>
        </w:rPr>
        <w:t>Ministerio de Minas y Energía</w:t>
      </w:r>
    </w:p>
    <w:p w:rsidR="00CA77FB" w:rsidRPr="006B4647" w:rsidRDefault="00CA77FB" w:rsidP="00012259">
      <w:pPr>
        <w:pStyle w:val="Ttulo4"/>
        <w:tabs>
          <w:tab w:val="left" w:pos="0"/>
          <w:tab w:val="right" w:pos="9356"/>
        </w:tabs>
        <w:ind w:left="0"/>
        <w:rPr>
          <w:rFonts w:ascii="Bookman Old Style" w:hAnsi="Bookman Old Style"/>
          <w:b w:val="0"/>
          <w:bCs/>
          <w:sz w:val="24"/>
          <w:szCs w:val="24"/>
        </w:rPr>
      </w:pPr>
    </w:p>
    <w:p w:rsidR="00CA77FB" w:rsidRPr="006B4647" w:rsidRDefault="00CA77FB" w:rsidP="00012259">
      <w:pPr>
        <w:pStyle w:val="Ttulo3"/>
        <w:tabs>
          <w:tab w:val="left" w:pos="0"/>
          <w:tab w:val="right" w:pos="9356"/>
        </w:tabs>
        <w:ind w:left="0"/>
        <w:rPr>
          <w:rFonts w:ascii="Bookman Old Style" w:hAnsi="Bookman Old Style" w:cs="Arial"/>
          <w:spacing w:val="20"/>
          <w:szCs w:val="24"/>
        </w:rPr>
      </w:pPr>
      <w:r w:rsidRPr="006B4647">
        <w:rPr>
          <w:rFonts w:ascii="Bookman Old Style" w:hAnsi="Bookman Old Style" w:cs="Arial"/>
          <w:spacing w:val="20"/>
          <w:szCs w:val="24"/>
        </w:rPr>
        <w:t>COMISIÓN DE REGULACIÓN DE ENERGÍA Y GAS</w:t>
      </w:r>
    </w:p>
    <w:p w:rsidR="00CA77FB" w:rsidRPr="006B4647" w:rsidRDefault="00CA77FB" w:rsidP="00012259">
      <w:pPr>
        <w:pStyle w:val="Ttulo5"/>
        <w:tabs>
          <w:tab w:val="left" w:pos="0"/>
          <w:tab w:val="right" w:pos="9356"/>
        </w:tabs>
        <w:ind w:left="0"/>
        <w:rPr>
          <w:rFonts w:ascii="Bookman Old Style" w:hAnsi="Bookman Old Style"/>
          <w:sz w:val="24"/>
          <w:szCs w:val="24"/>
        </w:rPr>
      </w:pPr>
    </w:p>
    <w:p w:rsidR="00CA77FB" w:rsidRPr="006B4647" w:rsidRDefault="00CA77FB" w:rsidP="00012259">
      <w:pPr>
        <w:pStyle w:val="Ttulo5"/>
        <w:tabs>
          <w:tab w:val="left" w:pos="0"/>
          <w:tab w:val="right" w:pos="9356"/>
        </w:tabs>
        <w:ind w:left="0"/>
        <w:rPr>
          <w:rFonts w:ascii="Bookman Old Style" w:hAnsi="Bookman Old Style"/>
          <w:sz w:val="24"/>
          <w:szCs w:val="24"/>
        </w:rPr>
      </w:pPr>
    </w:p>
    <w:p w:rsidR="00CA77FB" w:rsidRPr="006B4647" w:rsidRDefault="00CA77FB" w:rsidP="00012259">
      <w:pPr>
        <w:pStyle w:val="Ttulo5"/>
        <w:tabs>
          <w:tab w:val="left" w:pos="0"/>
          <w:tab w:val="right" w:pos="9356"/>
        </w:tabs>
        <w:ind w:left="0"/>
        <w:rPr>
          <w:rFonts w:ascii="Bookman Old Style" w:hAnsi="Bookman Old Style"/>
          <w:sz w:val="24"/>
          <w:szCs w:val="24"/>
        </w:rPr>
      </w:pPr>
      <w:r w:rsidRPr="006B4647">
        <w:rPr>
          <w:rFonts w:ascii="Bookman Old Style" w:hAnsi="Bookman Old Style"/>
          <w:sz w:val="24"/>
          <w:szCs w:val="24"/>
        </w:rPr>
        <w:t xml:space="preserve">RESOLUCIÓN No. </w:t>
      </w:r>
      <w:r w:rsidR="00795BFB" w:rsidRPr="006B4647">
        <w:rPr>
          <w:rFonts w:ascii="Bookman Old Style" w:hAnsi="Bookman Old Style"/>
          <w:sz w:val="24"/>
          <w:szCs w:val="24"/>
        </w:rPr>
        <w:t xml:space="preserve">                  </w:t>
      </w:r>
      <w:r w:rsidRPr="006B4647">
        <w:rPr>
          <w:rFonts w:ascii="Bookman Old Style" w:hAnsi="Bookman Old Style"/>
          <w:sz w:val="24"/>
          <w:szCs w:val="24"/>
        </w:rPr>
        <w:t>DE 20</w:t>
      </w:r>
      <w:r w:rsidR="00795BFB" w:rsidRPr="006B4647">
        <w:rPr>
          <w:rFonts w:ascii="Bookman Old Style" w:hAnsi="Bookman Old Style"/>
          <w:sz w:val="24"/>
          <w:szCs w:val="24"/>
        </w:rPr>
        <w:t>1</w:t>
      </w:r>
      <w:r w:rsidR="005F6F41" w:rsidRPr="006B4647">
        <w:rPr>
          <w:rFonts w:ascii="Bookman Old Style" w:hAnsi="Bookman Old Style"/>
          <w:sz w:val="24"/>
          <w:szCs w:val="24"/>
        </w:rPr>
        <w:t>1</w:t>
      </w:r>
    </w:p>
    <w:p w:rsidR="00CA77FB" w:rsidRPr="006B4647" w:rsidRDefault="00CA77FB" w:rsidP="00012259">
      <w:pPr>
        <w:tabs>
          <w:tab w:val="left" w:pos="0"/>
          <w:tab w:val="right" w:pos="9356"/>
        </w:tabs>
        <w:ind w:left="0"/>
        <w:jc w:val="center"/>
        <w:rPr>
          <w:rFonts w:ascii="Bookman Old Style" w:hAnsi="Bookman Old Style" w:cs="Arial"/>
          <w:b/>
          <w:snapToGrid w:val="0"/>
          <w:color w:val="000000"/>
          <w:lang w:val="es-ES_tradnl"/>
        </w:rPr>
      </w:pPr>
    </w:p>
    <w:p w:rsidR="00CA77FB" w:rsidRPr="006B4647" w:rsidRDefault="00CA77FB" w:rsidP="00012259">
      <w:pPr>
        <w:pStyle w:val="Ttulo3"/>
        <w:tabs>
          <w:tab w:val="left" w:pos="0"/>
          <w:tab w:val="right" w:pos="9356"/>
        </w:tabs>
        <w:ind w:left="0"/>
        <w:rPr>
          <w:rFonts w:ascii="Bookman Old Style" w:hAnsi="Bookman Old Style"/>
          <w:b w:val="0"/>
          <w:szCs w:val="24"/>
        </w:rPr>
      </w:pPr>
      <w:r w:rsidRPr="006B4647">
        <w:rPr>
          <w:rFonts w:ascii="Bookman Old Style" w:hAnsi="Bookman Old Style"/>
          <w:b w:val="0"/>
          <w:szCs w:val="24"/>
        </w:rPr>
        <w:t>(                                  )</w:t>
      </w:r>
    </w:p>
    <w:p w:rsidR="00CA77FB" w:rsidRPr="006B4647" w:rsidRDefault="00CA77FB" w:rsidP="00012259">
      <w:pPr>
        <w:tabs>
          <w:tab w:val="left" w:pos="0"/>
          <w:tab w:val="right" w:pos="9356"/>
        </w:tabs>
        <w:ind w:left="0"/>
        <w:jc w:val="center"/>
        <w:rPr>
          <w:rFonts w:ascii="Bookman Old Style" w:hAnsi="Bookman Old Style"/>
          <w:lang w:val="es-ES_tradnl"/>
        </w:rPr>
      </w:pPr>
    </w:p>
    <w:p w:rsidR="00C034CB" w:rsidRDefault="00C034CB" w:rsidP="00012259">
      <w:pPr>
        <w:ind w:left="0"/>
        <w:rPr>
          <w:rFonts w:ascii="Bookman Old Style" w:hAnsi="Bookman Old Style"/>
          <w:bCs/>
          <w:lang w:val="es-CO"/>
        </w:rPr>
      </w:pPr>
    </w:p>
    <w:p w:rsidR="002F4B4C" w:rsidRPr="00E96922" w:rsidRDefault="004902C0" w:rsidP="002F4B4C">
      <w:pPr>
        <w:ind w:left="0"/>
        <w:jc w:val="center"/>
        <w:rPr>
          <w:rFonts w:ascii="Bookman Old Style" w:hAnsi="Bookman Old Style" w:cs="Arial"/>
        </w:rPr>
      </w:pPr>
      <w:r w:rsidRPr="006D6EF0">
        <w:rPr>
          <w:rFonts w:ascii="Bookman Old Style" w:hAnsi="Bookman Old Style" w:cs="Arial"/>
          <w:i/>
        </w:rPr>
        <w:t xml:space="preserve"> </w:t>
      </w:r>
      <w:r w:rsidR="002F4B4C" w:rsidRPr="00E96922">
        <w:rPr>
          <w:rFonts w:ascii="Bookman Old Style" w:hAnsi="Bookman Old Style" w:cs="Arial"/>
        </w:rPr>
        <w:t>“Por la cu</w:t>
      </w:r>
      <w:bookmarkStart w:id="0" w:name="_GoBack"/>
      <w:bookmarkEnd w:id="0"/>
      <w:r w:rsidR="002F4B4C" w:rsidRPr="00E96922">
        <w:rPr>
          <w:rFonts w:ascii="Bookman Old Style" w:hAnsi="Bookman Old Style" w:cs="Arial"/>
        </w:rPr>
        <w:t xml:space="preserve">al se modifica el numeral 2.1.1 del RUT” </w:t>
      </w:r>
    </w:p>
    <w:p w:rsidR="002F4B4C" w:rsidRPr="006D6EF0" w:rsidRDefault="002F4B4C" w:rsidP="002F4B4C">
      <w:pPr>
        <w:ind w:left="0"/>
        <w:jc w:val="center"/>
        <w:rPr>
          <w:rFonts w:ascii="Bookman Old Style" w:hAnsi="Bookman Old Style" w:cs="Arial"/>
        </w:rPr>
      </w:pPr>
    </w:p>
    <w:p w:rsidR="002F4B4C" w:rsidRPr="006D6EF0" w:rsidRDefault="002F4B4C" w:rsidP="002F4B4C">
      <w:pPr>
        <w:ind w:left="0"/>
        <w:jc w:val="both"/>
        <w:rPr>
          <w:rFonts w:ascii="Bookman Old Style" w:hAnsi="Bookman Old Style" w:cs="Arial"/>
        </w:rPr>
      </w:pPr>
    </w:p>
    <w:p w:rsidR="002F4B4C" w:rsidRPr="006D6EF0" w:rsidRDefault="002F4B4C" w:rsidP="002F4B4C">
      <w:pPr>
        <w:ind w:left="0"/>
        <w:jc w:val="center"/>
        <w:rPr>
          <w:rFonts w:ascii="Bookman Old Style" w:hAnsi="Bookman Old Style" w:cs="Arial"/>
          <w:b/>
        </w:rPr>
      </w:pPr>
      <w:r w:rsidRPr="006D6EF0">
        <w:rPr>
          <w:rFonts w:ascii="Bookman Old Style" w:hAnsi="Bookman Old Style" w:cs="Arial"/>
          <w:b/>
        </w:rPr>
        <w:t>LA COMISIÓN DE REGULACIÓN DE ENERGÍA Y GAS</w:t>
      </w:r>
    </w:p>
    <w:p w:rsidR="002F4B4C" w:rsidRPr="006D6EF0" w:rsidRDefault="002F4B4C" w:rsidP="002F4B4C">
      <w:pPr>
        <w:ind w:left="0"/>
        <w:jc w:val="both"/>
        <w:rPr>
          <w:rFonts w:ascii="Bookman Old Style" w:hAnsi="Bookman Old Style" w:cs="Arial"/>
        </w:rPr>
      </w:pPr>
    </w:p>
    <w:p w:rsidR="002F4B4C" w:rsidRPr="006D6EF0" w:rsidRDefault="002F4B4C" w:rsidP="002F4B4C">
      <w:pPr>
        <w:ind w:left="0"/>
        <w:jc w:val="both"/>
        <w:rPr>
          <w:rFonts w:ascii="Bookman Old Style" w:hAnsi="Bookman Old Style" w:cs="Arial"/>
        </w:rPr>
      </w:pPr>
    </w:p>
    <w:p w:rsidR="002F4B4C" w:rsidRPr="006D6EF0" w:rsidRDefault="002F4B4C" w:rsidP="002F4B4C">
      <w:pPr>
        <w:ind w:left="0"/>
        <w:jc w:val="both"/>
        <w:rPr>
          <w:rFonts w:ascii="Bookman Old Style" w:hAnsi="Bookman Old Style" w:cs="Arial"/>
        </w:rPr>
      </w:pPr>
      <w:r w:rsidRPr="006D6EF0">
        <w:rPr>
          <w:rFonts w:ascii="Bookman Old Style" w:hAnsi="Bookman Old Style" w:cs="Arial"/>
        </w:rPr>
        <w:t>En ejercicio de las atribuciones legales, en especial las conferidas por la Ley 142 de 1994, y en desarrollo de los decretos 1524 y 2253 de 1994, y</w:t>
      </w:r>
    </w:p>
    <w:p w:rsidR="002F4B4C" w:rsidRPr="006D6EF0" w:rsidRDefault="002F4B4C" w:rsidP="002F4B4C">
      <w:pPr>
        <w:ind w:left="0"/>
        <w:jc w:val="both"/>
        <w:rPr>
          <w:rFonts w:ascii="Bookman Old Style" w:hAnsi="Bookman Old Style" w:cs="Arial"/>
        </w:rPr>
      </w:pPr>
    </w:p>
    <w:p w:rsidR="002F4B4C" w:rsidRPr="006D6EF0" w:rsidRDefault="002F4B4C" w:rsidP="002F4B4C">
      <w:pPr>
        <w:ind w:left="0"/>
        <w:jc w:val="both"/>
        <w:rPr>
          <w:rFonts w:ascii="Bookman Old Style" w:hAnsi="Bookman Old Style" w:cs="Arial"/>
        </w:rPr>
      </w:pPr>
    </w:p>
    <w:p w:rsidR="002F4B4C" w:rsidRPr="006D6EF0" w:rsidRDefault="002F4B4C" w:rsidP="002F4B4C">
      <w:pPr>
        <w:ind w:left="0"/>
        <w:jc w:val="center"/>
        <w:rPr>
          <w:rFonts w:ascii="Bookman Old Style" w:hAnsi="Bookman Old Style" w:cs="Arial"/>
          <w:b/>
        </w:rPr>
      </w:pPr>
      <w:r w:rsidRPr="006D6EF0">
        <w:rPr>
          <w:rFonts w:ascii="Bookman Old Style" w:hAnsi="Bookman Old Style" w:cs="Arial"/>
          <w:b/>
        </w:rPr>
        <w:t>C O N S I D E R A N D O  Q U E:</w:t>
      </w:r>
    </w:p>
    <w:p w:rsidR="002F4B4C" w:rsidRDefault="002F4B4C" w:rsidP="002F4B4C">
      <w:pPr>
        <w:ind w:left="0"/>
        <w:jc w:val="center"/>
        <w:rPr>
          <w:rFonts w:ascii="Bookman Old Style" w:hAnsi="Bookman Old Style" w:cs="Arial"/>
        </w:rPr>
      </w:pPr>
    </w:p>
    <w:p w:rsidR="00197A30" w:rsidRPr="00692359" w:rsidRDefault="00197A30" w:rsidP="00197A30">
      <w:pPr>
        <w:ind w:left="0"/>
        <w:jc w:val="both"/>
        <w:rPr>
          <w:rStyle w:val="Textoennegrita"/>
          <w:rFonts w:ascii="Bookman Old Style" w:hAnsi="Bookman Old Style" w:cs="Arial"/>
          <w:b w:val="0"/>
        </w:rPr>
      </w:pPr>
      <w:r w:rsidRPr="00FC7F51">
        <w:rPr>
          <w:rFonts w:ascii="Bookman Old Style" w:hAnsi="Bookman Old Style" w:cs="Arial"/>
        </w:rPr>
        <w:t xml:space="preserve">De conformidad con el Artículo 1° de la Constitución Política, Colombia es un Estado Social de Derecho </w:t>
      </w:r>
      <w:r w:rsidRPr="00692359">
        <w:rPr>
          <w:rStyle w:val="nfasis"/>
          <w:rFonts w:ascii="Bookman Old Style" w:hAnsi="Bookman Old Style" w:cs="Arial"/>
          <w:i w:val="0"/>
          <w:iCs w:val="0"/>
        </w:rPr>
        <w:t xml:space="preserve">fundado en el respeto de la dignidad humana, en el trabajo y la solidaridad de las personas que integran la Nación y en la </w:t>
      </w:r>
      <w:r w:rsidRPr="00692359">
        <w:rPr>
          <w:rStyle w:val="Textoennegrita"/>
          <w:rFonts w:ascii="Bookman Old Style" w:hAnsi="Bookman Old Style" w:cs="Arial"/>
          <w:b w:val="0"/>
        </w:rPr>
        <w:t xml:space="preserve">prevalencia del interés general. </w:t>
      </w:r>
    </w:p>
    <w:p w:rsidR="00197A30" w:rsidRPr="00692359" w:rsidRDefault="00197A30" w:rsidP="00197A30">
      <w:pPr>
        <w:ind w:left="0"/>
        <w:jc w:val="both"/>
        <w:rPr>
          <w:rFonts w:ascii="Bookman Old Style" w:hAnsi="Bookman Old Style" w:cs="Arial"/>
        </w:rPr>
      </w:pPr>
    </w:p>
    <w:p w:rsidR="00197A30" w:rsidRPr="00692359" w:rsidRDefault="00197A30" w:rsidP="00197A30">
      <w:pPr>
        <w:ind w:left="0"/>
        <w:jc w:val="both"/>
        <w:rPr>
          <w:rFonts w:ascii="Bookman Old Style" w:hAnsi="Bookman Old Style" w:cs="Arial"/>
        </w:rPr>
      </w:pPr>
      <w:r w:rsidRPr="00692359">
        <w:rPr>
          <w:rFonts w:ascii="Bookman Old Style" w:hAnsi="Bookman Old Style" w:cs="Arial"/>
        </w:rPr>
        <w:t xml:space="preserve">La Carta Política determina en su artículo 333 que la actividad económica se encuentra limitada por el bien común y en su artículo 334 establece que el Estado </w:t>
      </w:r>
      <w:r w:rsidRPr="00FC7F51">
        <w:rPr>
          <w:rFonts w:ascii="Bookman Old Style" w:hAnsi="Bookman Old Style"/>
        </w:rPr>
        <w:t>intervendrá, por mandato de la ley, entre otros</w:t>
      </w:r>
      <w:r>
        <w:rPr>
          <w:rFonts w:ascii="Bookman Old Style" w:hAnsi="Bookman Old Style"/>
        </w:rPr>
        <w:t>,</w:t>
      </w:r>
      <w:r w:rsidRPr="00FC7F51">
        <w:rPr>
          <w:rFonts w:ascii="Bookman Old Style" w:hAnsi="Bookman Old Style"/>
        </w:rPr>
        <w:t xml:space="preserve"> en los servicios públicos. </w:t>
      </w:r>
      <w:r w:rsidRPr="00692359">
        <w:rPr>
          <w:rFonts w:ascii="Bookman Old Style" w:hAnsi="Bookman Old Style" w:cs="Arial"/>
        </w:rPr>
        <w:t xml:space="preserve"> </w:t>
      </w:r>
    </w:p>
    <w:p w:rsidR="00197A30" w:rsidRPr="00FC7F51" w:rsidRDefault="00197A30" w:rsidP="00197A30">
      <w:pPr>
        <w:ind w:left="0"/>
        <w:rPr>
          <w:rFonts w:ascii="Bookman Old Style" w:hAnsi="Bookman Old Style" w:cs="Arial"/>
        </w:rPr>
      </w:pPr>
    </w:p>
    <w:p w:rsidR="00197A30" w:rsidRPr="00FC7F51" w:rsidRDefault="00197A30" w:rsidP="00197A30">
      <w:pPr>
        <w:ind w:left="0"/>
        <w:jc w:val="both"/>
        <w:rPr>
          <w:rFonts w:ascii="Bookman Old Style" w:hAnsi="Bookman Old Style"/>
          <w:lang w:val="es-CO" w:eastAsia="es-CO"/>
        </w:rPr>
      </w:pPr>
      <w:r w:rsidRPr="00FC7F51">
        <w:rPr>
          <w:rFonts w:ascii="Bookman Old Style" w:hAnsi="Bookman Old Style" w:cs="Arial"/>
        </w:rPr>
        <w:t>Conforme al artículo 365 de la Constitución Política, l</w:t>
      </w:r>
      <w:r w:rsidRPr="00FC7F51">
        <w:rPr>
          <w:rFonts w:ascii="Bookman Old Style" w:hAnsi="Bookman Old Style"/>
          <w:lang w:val="es-CO" w:eastAsia="es-CO"/>
        </w:rPr>
        <w:t>os servicios públicos son inherentes a la finalidad social del Estado y que es deber de éste asegurar su prestación eficiente a todos los habitantes del territorio nacional. Además, determina que los servicios públicos están sometidos al régimen jurídico que fije la ley.</w:t>
      </w:r>
    </w:p>
    <w:p w:rsidR="00197A30" w:rsidRPr="00692359" w:rsidRDefault="00197A30" w:rsidP="00197A30">
      <w:pPr>
        <w:pStyle w:val="NormalWeb"/>
        <w:jc w:val="both"/>
        <w:rPr>
          <w:rFonts w:ascii="Bookman Old Style" w:hAnsi="Bookman Old Style"/>
          <w:lang w:val="es-ES"/>
        </w:rPr>
      </w:pPr>
      <w:r w:rsidRPr="00FC7F51">
        <w:rPr>
          <w:rFonts w:ascii="Bookman Old Style" w:hAnsi="Bookman Old Style" w:cs="Arial"/>
        </w:rPr>
        <w:t xml:space="preserve">El artículo 2 de la Ley 142 de 1994 </w:t>
      </w:r>
      <w:r w:rsidR="003676A3">
        <w:rPr>
          <w:rFonts w:ascii="Bookman Old Style" w:hAnsi="Bookman Old Style" w:cs="Arial"/>
        </w:rPr>
        <w:t>dispone</w:t>
      </w:r>
      <w:r w:rsidRPr="00FC7F51">
        <w:rPr>
          <w:rFonts w:ascii="Bookman Old Style" w:hAnsi="Bookman Old Style" w:cs="Arial"/>
        </w:rPr>
        <w:t xml:space="preserve"> que son fines de la intervención del Estado en los servicios públicos</w:t>
      </w:r>
      <w:r>
        <w:rPr>
          <w:rFonts w:ascii="Bookman Old Style" w:hAnsi="Bookman Old Style" w:cs="Arial"/>
        </w:rPr>
        <w:t>,</w:t>
      </w:r>
      <w:r w:rsidRPr="00FC7F51">
        <w:rPr>
          <w:rFonts w:ascii="Bookman Old Style" w:hAnsi="Bookman Old Style" w:cs="Arial"/>
        </w:rPr>
        <w:t xml:space="preserve"> la </w:t>
      </w:r>
      <w:r w:rsidR="003676A3" w:rsidRPr="00FC7F51">
        <w:rPr>
          <w:rFonts w:ascii="Bookman Old Style" w:hAnsi="Bookman Old Style"/>
          <w:lang w:val="es-ES"/>
        </w:rPr>
        <w:t>ampliación</w:t>
      </w:r>
      <w:r w:rsidRPr="00FC7F51">
        <w:rPr>
          <w:rFonts w:ascii="Bookman Old Style" w:hAnsi="Bookman Old Style"/>
          <w:lang w:val="es-ES"/>
        </w:rPr>
        <w:t xml:space="preserve"> permanente de la cobertura, la p</w:t>
      </w:r>
      <w:r w:rsidRPr="00692359">
        <w:rPr>
          <w:rFonts w:ascii="Bookman Old Style" w:hAnsi="Bookman Old Style"/>
          <w:lang w:val="es-ES"/>
        </w:rPr>
        <w:t>restación eficiente y la obtención de economías de escala comprobables.</w:t>
      </w:r>
    </w:p>
    <w:p w:rsidR="00197A30" w:rsidRPr="00692359" w:rsidRDefault="00197A30" w:rsidP="00197A30">
      <w:pPr>
        <w:ind w:left="0"/>
        <w:jc w:val="both"/>
        <w:rPr>
          <w:rFonts w:ascii="Bookman Old Style" w:hAnsi="Bookman Old Style" w:cs="Arial"/>
        </w:rPr>
      </w:pPr>
      <w:r w:rsidRPr="00692359">
        <w:rPr>
          <w:rFonts w:ascii="Bookman Old Style" w:hAnsi="Bookman Old Style" w:cs="Arial"/>
        </w:rPr>
        <w:t xml:space="preserve">La Ley 142 de 1994 en su numeral 9.3 establece como derechos de los usuarios </w:t>
      </w:r>
      <w:r w:rsidRPr="00692359">
        <w:rPr>
          <w:rFonts w:ascii="Bookman Old Style" w:hAnsi="Bookman Old Style" w:cs="Arial"/>
          <w:i/>
        </w:rPr>
        <w:t>“Obtener los bienes y servicios ofrecidos en calidad o cantidad superior a las proporcionadas de manera masiva, siempre que ello no perjudique a terceros y que el usuario asuma los costos correspondientes</w:t>
      </w:r>
      <w:r w:rsidRPr="00692359">
        <w:rPr>
          <w:rFonts w:ascii="Bookman Old Style" w:hAnsi="Bookman Old Style" w:cs="Arial"/>
        </w:rPr>
        <w:t>”.</w:t>
      </w:r>
    </w:p>
    <w:p w:rsidR="00197A30" w:rsidRPr="00692359" w:rsidRDefault="00197A30" w:rsidP="00197A30">
      <w:pPr>
        <w:ind w:left="0"/>
        <w:jc w:val="both"/>
        <w:rPr>
          <w:rFonts w:ascii="Bookman Old Style" w:hAnsi="Bookman Old Style" w:cs="Arial"/>
        </w:rPr>
      </w:pPr>
    </w:p>
    <w:p w:rsidR="00197A30" w:rsidRPr="00692359" w:rsidRDefault="00197A30" w:rsidP="00197A30">
      <w:pPr>
        <w:ind w:left="0"/>
        <w:jc w:val="both"/>
        <w:rPr>
          <w:rFonts w:ascii="Bookman Old Style" w:hAnsi="Bookman Old Style" w:cs="Arial"/>
        </w:rPr>
      </w:pPr>
      <w:r w:rsidRPr="00692359">
        <w:rPr>
          <w:rFonts w:ascii="Bookman Old Style" w:hAnsi="Bookman Old Style" w:cs="Arial"/>
        </w:rPr>
        <w:t>Conforme al artículo 11 numeral 11.6 de la Ley 142 de 1994, es obligación de las entidades que presten servicios públicos “</w:t>
      </w:r>
      <w:r w:rsidRPr="00692359">
        <w:rPr>
          <w:rFonts w:ascii="Bookman Old Style" w:hAnsi="Bookman Old Style" w:cs="Arial"/>
          <w:i/>
        </w:rPr>
        <w:t xml:space="preserve">Facilitar el acceso e interconexión </w:t>
      </w:r>
      <w:r w:rsidRPr="00692359">
        <w:rPr>
          <w:rFonts w:ascii="Bookman Old Style" w:hAnsi="Bookman Old Style" w:cs="Arial"/>
          <w:i/>
        </w:rPr>
        <w:lastRenderedPageBreak/>
        <w:t>de otras empresas o entidades que prestan servicios públicos, o que sean grandes usuarios de ellos, a los bienes empleados para la organización y prestación de los servicios</w:t>
      </w:r>
      <w:r w:rsidRPr="00692359">
        <w:rPr>
          <w:rFonts w:ascii="Bookman Old Style" w:hAnsi="Bookman Old Style" w:cs="Arial"/>
        </w:rPr>
        <w:t>”.</w:t>
      </w:r>
    </w:p>
    <w:p w:rsidR="00197A30" w:rsidRPr="00692359" w:rsidRDefault="00197A30" w:rsidP="00197A30">
      <w:pPr>
        <w:ind w:left="0"/>
        <w:jc w:val="both"/>
        <w:rPr>
          <w:rFonts w:ascii="Bookman Old Style" w:hAnsi="Bookman Old Style" w:cs="Arial"/>
        </w:rPr>
      </w:pPr>
    </w:p>
    <w:p w:rsidR="00197A30" w:rsidRPr="00692359" w:rsidRDefault="00197A30" w:rsidP="00197A30">
      <w:pPr>
        <w:ind w:left="0"/>
        <w:jc w:val="both"/>
        <w:rPr>
          <w:rFonts w:ascii="Bookman Old Style" w:hAnsi="Bookman Old Style" w:cs="Arial"/>
        </w:rPr>
      </w:pPr>
      <w:r w:rsidRPr="00692359">
        <w:rPr>
          <w:rFonts w:ascii="Bookman Old Style" w:hAnsi="Bookman Old Style" w:cs="Arial"/>
        </w:rPr>
        <w:t>De acuerdo con lo establecido en el artículo 14 de la Ley 142 de 1994, el servicio público domiciliario de gas combustible es el conjunto de actividades ordenadas a la distribución de gas combustible, por tubería u otro medio, desde un sitio de acopio de grandes volúmenes o desde un gasoducto central hasta la instalación de un consumidor final, incluyendo su conexión y medición y la actividad de transporte de gas natural es una actividad complementaria del servicio público domiciliario de gas natural.</w:t>
      </w:r>
    </w:p>
    <w:p w:rsidR="00197A30" w:rsidRPr="00692359" w:rsidRDefault="00197A30" w:rsidP="00197A30">
      <w:pPr>
        <w:ind w:left="0"/>
        <w:jc w:val="both"/>
        <w:rPr>
          <w:rFonts w:ascii="Bookman Old Style" w:hAnsi="Bookman Old Style" w:cs="Arial"/>
        </w:rPr>
      </w:pPr>
    </w:p>
    <w:p w:rsidR="00197A30" w:rsidRPr="00692359" w:rsidRDefault="00197A30" w:rsidP="00197A30">
      <w:pPr>
        <w:ind w:left="0"/>
        <w:jc w:val="both"/>
        <w:rPr>
          <w:rFonts w:ascii="Bookman Old Style" w:hAnsi="Bookman Old Style" w:cs="Arial"/>
        </w:rPr>
      </w:pPr>
      <w:r w:rsidRPr="00692359">
        <w:rPr>
          <w:rFonts w:ascii="Bookman Old Style" w:hAnsi="Bookman Old Style" w:cs="Arial"/>
        </w:rPr>
        <w:t xml:space="preserve">Según lo dispuesto en el artículo 28 de la Ley 142 de 1994, todas las empresas tienen el derecho a construir, operar y modificar sus redes e instalaciones para prestar los servicios públicos, así como la obligación de efectuar el mantenimiento y reparación de las redes locales, cuyos costos serán a cargo de ellas. </w:t>
      </w:r>
    </w:p>
    <w:p w:rsidR="00197A30" w:rsidRPr="00692359" w:rsidRDefault="00197A30" w:rsidP="00197A30">
      <w:pPr>
        <w:ind w:left="0"/>
        <w:jc w:val="both"/>
        <w:rPr>
          <w:rFonts w:ascii="Bookman Old Style" w:hAnsi="Bookman Old Style" w:cs="Arial"/>
        </w:rPr>
      </w:pPr>
    </w:p>
    <w:p w:rsidR="00197A30" w:rsidRPr="00692359" w:rsidRDefault="00197A30" w:rsidP="00197A30">
      <w:pPr>
        <w:ind w:left="0"/>
        <w:jc w:val="both"/>
        <w:rPr>
          <w:rFonts w:ascii="Bookman Old Style" w:hAnsi="Bookman Old Style" w:cs="Arial"/>
        </w:rPr>
      </w:pPr>
      <w:r w:rsidRPr="00692359">
        <w:rPr>
          <w:rFonts w:ascii="Bookman Old Style" w:hAnsi="Bookman Old Style" w:cs="Arial"/>
        </w:rPr>
        <w:t>La misma norma establece que las comisiones de regulación pueden exigir que haya posibilidad de interconexión y de homologación técnica de las redes, cuando sea indispensable para proteger a los usuarios, para garantizar la calidad del servicio o para promover la competencia y que la construcción y operación de redes para el transporte y distribución de gas, así como el señalamiento de las tarifas por su uso, se regirá exclusivamente por la Ley 142 de 1994 y por las normas sanitarias y municipales a las que se alude en los Artículos 25 y 26 de la misma Ley.</w:t>
      </w:r>
    </w:p>
    <w:p w:rsidR="00197A30" w:rsidRPr="00692359" w:rsidRDefault="00197A30" w:rsidP="00197A30">
      <w:pPr>
        <w:ind w:left="0"/>
        <w:jc w:val="both"/>
        <w:rPr>
          <w:rFonts w:ascii="Bookman Old Style" w:hAnsi="Bookman Old Style" w:cs="Arial"/>
        </w:rPr>
      </w:pPr>
    </w:p>
    <w:p w:rsidR="00197A30" w:rsidRPr="00692359" w:rsidRDefault="00197A30" w:rsidP="00197A30">
      <w:pPr>
        <w:ind w:left="0"/>
        <w:jc w:val="both"/>
        <w:rPr>
          <w:rFonts w:ascii="Bookman Old Style" w:hAnsi="Bookman Old Style" w:cs="Arial"/>
        </w:rPr>
      </w:pPr>
      <w:r w:rsidRPr="00692359">
        <w:rPr>
          <w:rFonts w:ascii="Bookman Old Style" w:hAnsi="Bookman Old Style" w:cs="Arial"/>
        </w:rPr>
        <w:t>El numeral 4 del artículo 39 de la Ley 142 de 1994 establece que para los efectos de la gestión de los servicios públicos se autoriza la celebración, entre otros, de los contratos en virtud de los cuales dos o más entidades prestadoras de servicios públicos o éstas con grandes proveedores o usuarios, regulan el acceso compartido o de interconexión de bienes indispensables para la prestación de servicios públicos, mediante el pago de remuneración o peaje razonable, y que si las partes no se convienen, en virtud de esta Ley la comisión de regulación podrá imponer una servidumbre de acceso o de interconexión a quien tenga el uso del bien.</w:t>
      </w:r>
    </w:p>
    <w:p w:rsidR="00197A30" w:rsidRPr="00692359" w:rsidRDefault="00197A30" w:rsidP="00197A30">
      <w:pPr>
        <w:ind w:left="0"/>
        <w:jc w:val="both"/>
        <w:rPr>
          <w:rFonts w:ascii="Bookman Old Style" w:hAnsi="Bookman Old Style" w:cs="Arial"/>
        </w:rPr>
      </w:pPr>
    </w:p>
    <w:p w:rsidR="00197A30" w:rsidRPr="00692359" w:rsidRDefault="00197A30" w:rsidP="00197A30">
      <w:pPr>
        <w:ind w:left="0"/>
        <w:jc w:val="both"/>
        <w:rPr>
          <w:rFonts w:ascii="Bookman Old Style" w:hAnsi="Bookman Old Style" w:cs="Arial"/>
        </w:rPr>
      </w:pPr>
      <w:r w:rsidRPr="00692359">
        <w:rPr>
          <w:rFonts w:ascii="Bookman Old Style" w:hAnsi="Bookman Old Style" w:cs="Arial"/>
        </w:rPr>
        <w:t>Según lo dispuesto en el artículo 73 de la Ley 142 de 1994, corresponde a las Comisiones regular los monopolios en la prestación de los servicios públicos, cuando la competencia no sea, de hecho, posible; y, en los demás casos, la de promover la competencia entre quienes prestan servicios públicos, para que las operaciones de los monopolistas o de los competidores sean económicamente eficientes, no impliquen abuso de posición dominante, y produzcan servicios de calidad.</w:t>
      </w:r>
    </w:p>
    <w:p w:rsidR="00197A30" w:rsidRPr="00692359" w:rsidRDefault="00197A30" w:rsidP="00197A30">
      <w:pPr>
        <w:ind w:left="0"/>
        <w:jc w:val="both"/>
        <w:rPr>
          <w:rFonts w:ascii="Bookman Old Style" w:hAnsi="Bookman Old Style" w:cs="Arial"/>
        </w:rPr>
      </w:pPr>
    </w:p>
    <w:p w:rsidR="00197A30" w:rsidRPr="00692359" w:rsidRDefault="00197A30" w:rsidP="00197A30">
      <w:pPr>
        <w:ind w:left="0"/>
        <w:jc w:val="both"/>
        <w:rPr>
          <w:rFonts w:ascii="Bookman Old Style" w:hAnsi="Bookman Old Style" w:cs="Arial"/>
        </w:rPr>
      </w:pPr>
      <w:r w:rsidRPr="00692359">
        <w:rPr>
          <w:rFonts w:ascii="Bookman Old Style" w:hAnsi="Bookman Old Style" w:cs="Arial"/>
        </w:rPr>
        <w:t>Según el numeral 73.22 del Artículo 73 de la Ley 142 de 1994, corresponde a las comisiones de regulación, “</w:t>
      </w:r>
      <w:r w:rsidRPr="00692359">
        <w:rPr>
          <w:rFonts w:ascii="Bookman Old Style" w:hAnsi="Bookman Old Style" w:cs="Arial"/>
          <w:i/>
        </w:rPr>
        <w:t>establecer los requisitos generales a los que deben someterse las empresas de servicios públicos para utilizar las redes existentes y acceder a las redes públicas de interconexión; así mismo, establecer las fórmulas tarifarias para cobrar por el transporte e interconexión a las redes de acuerdo con las reglas de esta Ley</w:t>
      </w:r>
      <w:r w:rsidRPr="00692359">
        <w:rPr>
          <w:rFonts w:ascii="Bookman Old Style" w:hAnsi="Bookman Old Style" w:cs="Arial"/>
        </w:rPr>
        <w:t>”.</w:t>
      </w:r>
    </w:p>
    <w:p w:rsidR="00197A30" w:rsidRPr="00692359" w:rsidRDefault="00197A30" w:rsidP="00197A30">
      <w:pPr>
        <w:ind w:left="0"/>
        <w:jc w:val="both"/>
        <w:rPr>
          <w:rFonts w:ascii="Bookman Old Style" w:hAnsi="Bookman Old Style" w:cs="Arial"/>
        </w:rPr>
      </w:pPr>
      <w:r w:rsidRPr="00692359">
        <w:rPr>
          <w:rFonts w:ascii="Bookman Old Style" w:hAnsi="Bookman Old Style" w:cs="Arial"/>
        </w:rPr>
        <w:lastRenderedPageBreak/>
        <w:t>De acuerdo con lo establecido en el artículo 74.1 de la Ley 142 de 1994, es función de la Comisión de Regulación de Energía y Gas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w:t>
      </w:r>
    </w:p>
    <w:p w:rsidR="00197A30" w:rsidRPr="00A324E4" w:rsidRDefault="00197A30" w:rsidP="00197A30">
      <w:pPr>
        <w:ind w:left="0"/>
        <w:jc w:val="both"/>
        <w:rPr>
          <w:rFonts w:ascii="Bookman Old Style" w:hAnsi="Bookman Old Style" w:cs="Arial"/>
        </w:rPr>
      </w:pPr>
    </w:p>
    <w:p w:rsidR="00197A30" w:rsidRPr="00692359" w:rsidRDefault="00197A30" w:rsidP="00197A30">
      <w:pPr>
        <w:ind w:left="0"/>
        <w:jc w:val="both"/>
        <w:rPr>
          <w:rFonts w:ascii="Bookman Old Style" w:hAnsi="Bookman Old Style" w:cs="Arial"/>
        </w:rPr>
      </w:pPr>
      <w:r w:rsidRPr="00FC7F51">
        <w:rPr>
          <w:rFonts w:ascii="Bookman Old Style" w:hAnsi="Bookman Old Style" w:cs="Arial"/>
        </w:rPr>
        <w:t xml:space="preserve">El artículo 3 de la Ley 401 de 1997 determina que corresponde a la CREG establecer las condiciones operativas que debe cumplir toda la infraestructura del Sistema Nacional de Transporte a través del Reglamento </w:t>
      </w:r>
      <w:r w:rsidR="00A63928" w:rsidRPr="00FC7F51">
        <w:rPr>
          <w:rFonts w:ascii="Bookman Old Style" w:hAnsi="Bookman Old Style" w:cs="Arial"/>
        </w:rPr>
        <w:t>Ú</w:t>
      </w:r>
      <w:r w:rsidRPr="00FC7F51">
        <w:rPr>
          <w:rFonts w:ascii="Bookman Old Style" w:hAnsi="Bookman Old Style" w:cs="Arial"/>
        </w:rPr>
        <w:t>nico de Transporte RUT.</w:t>
      </w:r>
    </w:p>
    <w:p w:rsidR="00197A30" w:rsidRPr="00692359" w:rsidRDefault="00197A30" w:rsidP="00197A30">
      <w:pPr>
        <w:ind w:left="0"/>
        <w:jc w:val="both"/>
        <w:rPr>
          <w:rFonts w:ascii="Bookman Old Style" w:hAnsi="Bookman Old Style" w:cs="Arial"/>
        </w:rPr>
      </w:pPr>
    </w:p>
    <w:p w:rsidR="00197A30" w:rsidRPr="00692359" w:rsidRDefault="00197A30" w:rsidP="00197A30">
      <w:pPr>
        <w:ind w:left="0"/>
        <w:jc w:val="both"/>
        <w:rPr>
          <w:rFonts w:ascii="Bookman Old Style" w:hAnsi="Bookman Old Style" w:cs="Arial"/>
        </w:rPr>
      </w:pPr>
      <w:r w:rsidRPr="00692359">
        <w:rPr>
          <w:rFonts w:ascii="Bookman Old Style" w:hAnsi="Bookman Old Style" w:cs="Arial"/>
        </w:rPr>
        <w:t xml:space="preserve">La Resolución CREG 67 de 1995 estableció el Código de Distribución de Gas Combustible por Redes y determinó en su capítulo IV el conjunto de normas básicas para la conexión al sistema de distribución, las cuales serán las mismas para todos los usuarios.  </w:t>
      </w:r>
    </w:p>
    <w:p w:rsidR="00197A30" w:rsidRPr="00692359" w:rsidRDefault="00197A30" w:rsidP="00197A30">
      <w:pPr>
        <w:ind w:left="0"/>
        <w:jc w:val="both"/>
        <w:rPr>
          <w:rFonts w:ascii="Bookman Old Style" w:hAnsi="Bookman Old Style" w:cs="Arial"/>
        </w:rPr>
      </w:pPr>
    </w:p>
    <w:p w:rsidR="00197A30" w:rsidRPr="00692359" w:rsidRDefault="00197A30" w:rsidP="00197A30">
      <w:pPr>
        <w:ind w:left="0"/>
        <w:jc w:val="both"/>
        <w:rPr>
          <w:rFonts w:ascii="Bookman Old Style" w:hAnsi="Bookman Old Style" w:cs="Arial"/>
        </w:rPr>
      </w:pPr>
      <w:r w:rsidRPr="00692359">
        <w:rPr>
          <w:rFonts w:ascii="Bookman Old Style" w:hAnsi="Bookman Old Style" w:cs="Arial"/>
        </w:rPr>
        <w:t>La Resolución CREG 071 de 1999 estableció el Reglamento Único de Transporte de Gas Natural, RUT,  y reglamentó el acceso al Sistema Nacional de Transporte y sus servicios, así como la responsabilidad y propiedad de la conexión y de los puntos de entrada y salida.</w:t>
      </w:r>
    </w:p>
    <w:p w:rsidR="00197A30" w:rsidRPr="00692359" w:rsidRDefault="00197A30" w:rsidP="00197A30">
      <w:pPr>
        <w:ind w:left="0"/>
        <w:jc w:val="both"/>
        <w:rPr>
          <w:rFonts w:ascii="Bookman Old Style" w:hAnsi="Bookman Old Style" w:cs="Arial"/>
          <w:highlight w:val="yellow"/>
        </w:rPr>
      </w:pPr>
    </w:p>
    <w:p w:rsidR="00197A30" w:rsidRPr="00692359" w:rsidRDefault="00197A30" w:rsidP="00197A30">
      <w:pPr>
        <w:ind w:left="0"/>
        <w:jc w:val="both"/>
        <w:rPr>
          <w:rFonts w:ascii="Bookman Old Style" w:hAnsi="Bookman Old Style" w:cs="Arial"/>
        </w:rPr>
      </w:pPr>
      <w:r w:rsidRPr="00692359">
        <w:rPr>
          <w:rFonts w:ascii="Bookman Old Style" w:hAnsi="Bookman Old Style" w:cs="Arial"/>
        </w:rPr>
        <w:t xml:space="preserve">Los numerales 2.1 y 3 del RUT desarrollan el acceso y conexiones al Sistema Nacional de Transporte. </w:t>
      </w:r>
    </w:p>
    <w:p w:rsidR="00197A30" w:rsidRPr="00692359" w:rsidRDefault="00197A30" w:rsidP="00197A30">
      <w:pPr>
        <w:ind w:left="0"/>
        <w:jc w:val="both"/>
        <w:rPr>
          <w:rFonts w:ascii="Bookman Old Style" w:hAnsi="Bookman Old Style" w:cs="Arial"/>
        </w:rPr>
      </w:pPr>
    </w:p>
    <w:p w:rsidR="00197A30" w:rsidRPr="00692359" w:rsidRDefault="00197A30" w:rsidP="00197A30">
      <w:pPr>
        <w:ind w:left="0"/>
        <w:jc w:val="both"/>
        <w:rPr>
          <w:rFonts w:ascii="Bookman Old Style" w:hAnsi="Bookman Old Style" w:cs="Arial"/>
        </w:rPr>
      </w:pPr>
      <w:r w:rsidRPr="00692359">
        <w:rPr>
          <w:rFonts w:ascii="Bookman Old Style" w:hAnsi="Bookman Old Style" w:cs="Arial"/>
        </w:rPr>
        <w:t>De acuerdo con el numeral 1.3 del RUT la Comisión puede tomar la iniciativa de reformar el RUT cuando se estime que, entre otros aspectos, ello es necesario para adecuarse a la evolución de la industria.</w:t>
      </w:r>
    </w:p>
    <w:p w:rsidR="00197A30" w:rsidRPr="00692359" w:rsidRDefault="00197A30" w:rsidP="00197A30">
      <w:pPr>
        <w:ind w:left="0"/>
        <w:jc w:val="both"/>
        <w:rPr>
          <w:rFonts w:ascii="Bookman Old Style" w:hAnsi="Bookman Old Style" w:cs="Arial"/>
          <w:highlight w:val="yellow"/>
        </w:rPr>
      </w:pPr>
    </w:p>
    <w:p w:rsidR="00197A30" w:rsidRPr="00692359" w:rsidRDefault="00197A30" w:rsidP="00197A30">
      <w:pPr>
        <w:ind w:left="0"/>
        <w:jc w:val="both"/>
        <w:rPr>
          <w:rFonts w:ascii="Bookman Old Style" w:hAnsi="Bookman Old Style" w:cs="Arial"/>
        </w:rPr>
      </w:pPr>
      <w:r w:rsidRPr="00692359">
        <w:rPr>
          <w:rFonts w:ascii="Bookman Old Style" w:hAnsi="Bookman Old Style" w:cs="Arial"/>
        </w:rPr>
        <w:t>La Resolución CREG 011 de 2003 establece los criterios generales para remunerar las actividades de distribución y comercialización de gas combustible, y las fórmulas generales para la prestación del servicio público domiciliario de gas combustible por redes de tubería.</w:t>
      </w:r>
    </w:p>
    <w:p w:rsidR="00197A30" w:rsidRPr="00692359" w:rsidRDefault="00197A30" w:rsidP="00197A30">
      <w:pPr>
        <w:ind w:left="0"/>
        <w:jc w:val="both"/>
        <w:rPr>
          <w:rFonts w:ascii="Bookman Old Style" w:hAnsi="Bookman Old Style" w:cs="Arial"/>
        </w:rPr>
      </w:pPr>
    </w:p>
    <w:p w:rsidR="00197A30" w:rsidRPr="00692359" w:rsidRDefault="00197A30" w:rsidP="00197A30">
      <w:pPr>
        <w:ind w:left="0"/>
        <w:jc w:val="both"/>
        <w:rPr>
          <w:rFonts w:ascii="Bookman Old Style" w:hAnsi="Bookman Old Style" w:cs="Arial"/>
          <w:i/>
        </w:rPr>
      </w:pPr>
      <w:r w:rsidRPr="00692359">
        <w:rPr>
          <w:rFonts w:ascii="Bookman Old Style" w:hAnsi="Bookman Old Style" w:cs="Arial"/>
        </w:rPr>
        <w:t xml:space="preserve">El artículo 1 de la Resolución CREG 011 de 2003,  define sistema de distribución como: </w:t>
      </w:r>
      <w:r w:rsidRPr="00692359">
        <w:rPr>
          <w:rFonts w:ascii="Bookman Old Style" w:hAnsi="Bookman Old Style" w:cs="Arial"/>
          <w:i/>
        </w:rPr>
        <w:t>“</w:t>
      </w:r>
      <w:r w:rsidRPr="00692359">
        <w:rPr>
          <w:rFonts w:ascii="Bookman Old Style" w:hAnsi="Bookman Old Style" w:cs="Arial"/>
          <w:i/>
          <w:color w:val="000000"/>
          <w:spacing w:val="-3"/>
        </w:rPr>
        <w:t>el conjunto de gasoductos que transporta gas combustible desde una Estación Reguladora de Puerta de Ciudad o desde otro Sistema de Distribución hasta el punto de derivación de las acometidas de los inmuebles, sin incluir su conexión y medición”.</w:t>
      </w:r>
    </w:p>
    <w:p w:rsidR="00197A30" w:rsidRDefault="00197A30" w:rsidP="00197A30">
      <w:pPr>
        <w:ind w:left="0"/>
        <w:jc w:val="both"/>
        <w:rPr>
          <w:rFonts w:ascii="Bookman Old Style" w:hAnsi="Bookman Old Style" w:cs="Arial"/>
          <w:b/>
        </w:rPr>
      </w:pPr>
    </w:p>
    <w:p w:rsidR="000D7801" w:rsidRPr="000D7801" w:rsidRDefault="000D7801" w:rsidP="00197A30">
      <w:pPr>
        <w:ind w:left="0"/>
        <w:jc w:val="both"/>
        <w:rPr>
          <w:rFonts w:ascii="Bookman Old Style" w:hAnsi="Bookman Old Style"/>
        </w:rPr>
      </w:pPr>
      <w:r w:rsidRPr="000D7801">
        <w:rPr>
          <w:rFonts w:ascii="Bookman Old Style" w:hAnsi="Bookman Old Style" w:cs="Arial"/>
        </w:rPr>
        <w:t xml:space="preserve">El </w:t>
      </w:r>
      <w:r w:rsidR="00BE1EF2">
        <w:rPr>
          <w:rFonts w:ascii="Bookman Old Style" w:hAnsi="Bookman Old Style" w:cs="Arial"/>
        </w:rPr>
        <w:t>a</w:t>
      </w:r>
      <w:r w:rsidRPr="000D7801">
        <w:rPr>
          <w:rFonts w:ascii="Bookman Old Style" w:hAnsi="Bookman Old Style" w:cs="Arial"/>
        </w:rPr>
        <w:t>rtículo 7.7.2 de la Resolución CREG 11 de 2003, determina en su literal a que</w:t>
      </w:r>
      <w:r>
        <w:rPr>
          <w:rFonts w:ascii="Bookman Old Style" w:hAnsi="Bookman Old Style"/>
        </w:rPr>
        <w:t xml:space="preserve"> el</w:t>
      </w:r>
      <w:r w:rsidRPr="000D7801">
        <w:rPr>
          <w:rFonts w:ascii="Bookman Old Style" w:hAnsi="Bookman Old Style"/>
        </w:rPr>
        <w:t xml:space="preserve"> primero (1) de enero de cada año del Período Tarifario y a la entrada en vigencia de los cargos aprobados, el Distribuidor publicará, de a</w:t>
      </w:r>
      <w:r w:rsidR="00E65AE9">
        <w:rPr>
          <w:rFonts w:ascii="Bookman Old Style" w:hAnsi="Bookman Old Style"/>
        </w:rPr>
        <w:t xml:space="preserve">cuerdo con lo establecido en el artículo 39 </w:t>
      </w:r>
      <w:r w:rsidRPr="000D7801">
        <w:rPr>
          <w:rFonts w:ascii="Bookman Old Style" w:hAnsi="Bookman Old Style"/>
        </w:rPr>
        <w:t xml:space="preserve">de </w:t>
      </w:r>
      <w:r>
        <w:rPr>
          <w:rFonts w:ascii="Bookman Old Style" w:hAnsi="Bookman Old Style"/>
        </w:rPr>
        <w:t xml:space="preserve">dicha Resolución, </w:t>
      </w:r>
      <w:r w:rsidRPr="000D7801">
        <w:rPr>
          <w:rFonts w:ascii="Bookman Old Style" w:hAnsi="Bookman Old Style"/>
        </w:rPr>
        <w:t>los rangos de consumo que  aplicará a sus usuarios</w:t>
      </w:r>
      <w:r>
        <w:rPr>
          <w:rFonts w:ascii="Bookman Old Style" w:hAnsi="Bookman Old Style"/>
        </w:rPr>
        <w:t>.</w:t>
      </w:r>
    </w:p>
    <w:p w:rsidR="000D7801" w:rsidRDefault="000D7801" w:rsidP="00197A30">
      <w:pPr>
        <w:ind w:left="0"/>
        <w:jc w:val="both"/>
        <w:rPr>
          <w:rFonts w:ascii="Bookman Old Style" w:hAnsi="Bookman Old Style" w:cs="Arial"/>
          <w:b/>
        </w:rPr>
      </w:pPr>
    </w:p>
    <w:p w:rsidR="00197A30" w:rsidRPr="00692359" w:rsidRDefault="00197A30" w:rsidP="00197A30">
      <w:pPr>
        <w:ind w:left="0"/>
        <w:jc w:val="both"/>
        <w:rPr>
          <w:rFonts w:ascii="Bookman Old Style" w:hAnsi="Bookman Old Style" w:cs="Arial"/>
        </w:rPr>
      </w:pPr>
      <w:r w:rsidRPr="00692359">
        <w:rPr>
          <w:rFonts w:ascii="Bookman Old Style" w:hAnsi="Bookman Old Style" w:cs="Arial"/>
        </w:rPr>
        <w:t>De acuerdo con lo establecido en el artículo 978 del Código de Comercio, cuando la prestación de un servicio público esté regulada por el Gobierno, las condiciones de los contratos deberán sujetarse a los respectivos reglamentos.</w:t>
      </w:r>
    </w:p>
    <w:p w:rsidR="00197A30" w:rsidRPr="00692359" w:rsidRDefault="00197A30" w:rsidP="00197A30">
      <w:pPr>
        <w:ind w:left="0"/>
        <w:jc w:val="both"/>
        <w:rPr>
          <w:rFonts w:ascii="Bookman Old Style" w:hAnsi="Bookman Old Style" w:cs="Arial"/>
        </w:rPr>
      </w:pPr>
    </w:p>
    <w:p w:rsidR="00197A30" w:rsidRPr="00692359" w:rsidRDefault="00197A30" w:rsidP="00197A30">
      <w:pPr>
        <w:ind w:left="0"/>
        <w:jc w:val="both"/>
        <w:rPr>
          <w:rFonts w:ascii="Bookman Old Style" w:hAnsi="Bookman Old Style" w:cs="Arial"/>
        </w:rPr>
      </w:pPr>
      <w:r w:rsidRPr="00692359">
        <w:rPr>
          <w:rFonts w:ascii="Bookman Old Style" w:hAnsi="Bookman Old Style" w:cs="Arial"/>
        </w:rPr>
        <w:lastRenderedPageBreak/>
        <w:t>Tal y como lo ha señalado la Jurisprudencia de la H. Corte Constitucional en sentencia C-150 de 2003, la función de regulación puede materializarse mediante actos administrativos de carácter general, como por medio de actos administrativos de carácter particular.</w:t>
      </w:r>
    </w:p>
    <w:p w:rsidR="003676A3" w:rsidRDefault="003676A3" w:rsidP="003676A3">
      <w:pPr>
        <w:ind w:left="0"/>
        <w:jc w:val="both"/>
        <w:rPr>
          <w:rFonts w:ascii="Bookman Old Style" w:hAnsi="Bookman Old Style" w:cs="Arial"/>
        </w:rPr>
      </w:pPr>
    </w:p>
    <w:p w:rsidR="001520C5" w:rsidRDefault="00916791" w:rsidP="00197A30">
      <w:pPr>
        <w:ind w:left="0"/>
        <w:jc w:val="both"/>
        <w:rPr>
          <w:rFonts w:ascii="Bookman Old Style" w:hAnsi="Bookman Old Style" w:cs="Arial"/>
        </w:rPr>
      </w:pPr>
      <w:r>
        <w:rPr>
          <w:rFonts w:ascii="Bookman Old Style" w:hAnsi="Bookman Old Style" w:cs="Arial"/>
        </w:rPr>
        <w:t xml:space="preserve">Con el propósito de </w:t>
      </w:r>
      <w:r w:rsidRPr="001520C5">
        <w:rPr>
          <w:rFonts w:ascii="Bookman Old Style" w:hAnsi="Bookman Old Style" w:cs="Arial"/>
        </w:rPr>
        <w:t>defini</w:t>
      </w:r>
      <w:r>
        <w:rPr>
          <w:rFonts w:ascii="Bookman Old Style" w:hAnsi="Bookman Old Style" w:cs="Arial"/>
        </w:rPr>
        <w:t>r</w:t>
      </w:r>
      <w:r w:rsidRPr="001520C5">
        <w:rPr>
          <w:rFonts w:ascii="Bookman Old Style" w:hAnsi="Bookman Old Style" w:cs="Arial"/>
        </w:rPr>
        <w:t xml:space="preserve"> las metodologías tarifarias que remuneran estas dos actividades</w:t>
      </w:r>
      <w:r>
        <w:rPr>
          <w:rFonts w:ascii="Bookman Old Style" w:hAnsi="Bookman Old Style" w:cs="Arial"/>
        </w:rPr>
        <w:t>, l</w:t>
      </w:r>
      <w:r w:rsidR="003676A3" w:rsidRPr="00E86FD1">
        <w:rPr>
          <w:rFonts w:ascii="Bookman Old Style" w:hAnsi="Bookman Old Style" w:cs="Arial"/>
        </w:rPr>
        <w:t xml:space="preserve">a Comisión </w:t>
      </w:r>
      <w:r w:rsidR="003676A3" w:rsidRPr="001520C5">
        <w:rPr>
          <w:rFonts w:ascii="Bookman Old Style" w:hAnsi="Bookman Old Style" w:cs="Arial"/>
        </w:rPr>
        <w:t>t</w:t>
      </w:r>
      <w:r w:rsidR="00E86FD1" w:rsidRPr="001520C5">
        <w:rPr>
          <w:rFonts w:ascii="Bookman Old Style" w:hAnsi="Bookman Old Style" w:cs="Arial"/>
        </w:rPr>
        <w:t xml:space="preserve">iene </w:t>
      </w:r>
      <w:r w:rsidR="003676A3" w:rsidRPr="001520C5">
        <w:rPr>
          <w:rFonts w:ascii="Bookman Old Style" w:hAnsi="Bookman Old Style" w:cs="Arial"/>
        </w:rPr>
        <w:t xml:space="preserve">en cuenta las características propias de cada uno de </w:t>
      </w:r>
      <w:r w:rsidR="00C918BC" w:rsidRPr="001520C5">
        <w:rPr>
          <w:rFonts w:ascii="Bookman Old Style" w:hAnsi="Bookman Old Style" w:cs="Arial"/>
        </w:rPr>
        <w:t xml:space="preserve">los </w:t>
      </w:r>
      <w:r w:rsidR="003676A3" w:rsidRPr="001520C5">
        <w:rPr>
          <w:rFonts w:ascii="Bookman Old Style" w:hAnsi="Bookman Old Style" w:cs="Arial"/>
        </w:rPr>
        <w:t>sistemas</w:t>
      </w:r>
      <w:r w:rsidR="00C918BC" w:rsidRPr="001520C5">
        <w:rPr>
          <w:rFonts w:ascii="Bookman Old Style" w:hAnsi="Bookman Old Style" w:cs="Arial"/>
        </w:rPr>
        <w:t xml:space="preserve"> de transporte y distribución</w:t>
      </w:r>
      <w:r>
        <w:rPr>
          <w:rFonts w:ascii="Bookman Old Style" w:hAnsi="Bookman Old Style" w:cs="Arial"/>
        </w:rPr>
        <w:t xml:space="preserve"> y, tal y como ha</w:t>
      </w:r>
      <w:r w:rsidRPr="001520C5">
        <w:rPr>
          <w:rFonts w:ascii="Bookman Old Style" w:hAnsi="Bookman Old Style" w:cs="Arial"/>
        </w:rPr>
        <w:t xml:space="preserve"> sido establecido en</w:t>
      </w:r>
      <w:r>
        <w:rPr>
          <w:rFonts w:ascii="Bookman Old Style" w:hAnsi="Bookman Old Style" w:cs="Arial"/>
        </w:rPr>
        <w:t xml:space="preserve"> el artículo 88 de</w:t>
      </w:r>
      <w:r w:rsidRPr="001520C5">
        <w:rPr>
          <w:rFonts w:ascii="Bookman Old Style" w:hAnsi="Bookman Old Style" w:cs="Arial"/>
        </w:rPr>
        <w:t xml:space="preserve"> la Ley 142 de 1994</w:t>
      </w:r>
      <w:r w:rsidR="00C918BC" w:rsidRPr="001520C5">
        <w:rPr>
          <w:rFonts w:ascii="Bookman Old Style" w:hAnsi="Bookman Old Style" w:cs="Arial"/>
        </w:rPr>
        <w:t xml:space="preserve"> </w:t>
      </w:r>
      <w:r>
        <w:rPr>
          <w:rFonts w:ascii="Bookman Old Style" w:hAnsi="Bookman Old Style" w:cs="Arial"/>
        </w:rPr>
        <w:t xml:space="preserve">las metodologías tarifarias aplicables a cada una de estas actividades, deben cumplir </w:t>
      </w:r>
      <w:r w:rsidR="00E86FD1" w:rsidRPr="001520C5">
        <w:rPr>
          <w:rFonts w:ascii="Bookman Old Style" w:hAnsi="Bookman Old Style" w:cs="Arial"/>
        </w:rPr>
        <w:t>los criterios</w:t>
      </w:r>
      <w:r>
        <w:rPr>
          <w:rFonts w:ascii="Bookman Old Style" w:hAnsi="Bookman Old Style" w:cs="Arial"/>
        </w:rPr>
        <w:t xml:space="preserve"> del régimen tarifario, esto es, los criterios </w:t>
      </w:r>
      <w:r w:rsidR="00E86FD1" w:rsidRPr="001520C5">
        <w:rPr>
          <w:rFonts w:ascii="Bookman Old Style" w:hAnsi="Bookman Old Style" w:cs="Arial"/>
        </w:rPr>
        <w:t xml:space="preserve">de </w:t>
      </w:r>
      <w:r w:rsidR="00E86FD1" w:rsidRPr="00916791">
        <w:rPr>
          <w:rFonts w:ascii="Bookman Old Style" w:hAnsi="Bookman Old Style" w:cs="Arial"/>
        </w:rPr>
        <w:t>eficiencia económica, neutralidad, solidaridad</w:t>
      </w:r>
      <w:r>
        <w:rPr>
          <w:rFonts w:ascii="Bookman Old Style" w:hAnsi="Bookman Old Style" w:cs="Arial"/>
        </w:rPr>
        <w:t xml:space="preserve"> y</w:t>
      </w:r>
      <w:r w:rsidR="00E86FD1" w:rsidRPr="00916791">
        <w:rPr>
          <w:rFonts w:ascii="Bookman Old Style" w:hAnsi="Bookman Old Style" w:cs="Arial"/>
        </w:rPr>
        <w:t xml:space="preserve"> redistribución, suficiencia financiera,</w:t>
      </w:r>
      <w:r w:rsidR="00E86FD1" w:rsidRPr="001520C5">
        <w:rPr>
          <w:rFonts w:ascii="Bookman Old Style" w:hAnsi="Bookman Old Style" w:cs="Arial"/>
        </w:rPr>
        <w:t xml:space="preserve"> simplicidad y transparencia.</w:t>
      </w:r>
    </w:p>
    <w:p w:rsidR="001520C5" w:rsidRPr="001520C5" w:rsidRDefault="001520C5" w:rsidP="00197A30">
      <w:pPr>
        <w:ind w:left="0"/>
        <w:jc w:val="both"/>
        <w:rPr>
          <w:rFonts w:ascii="Bookman Old Style" w:hAnsi="Bookman Old Style" w:cs="Arial"/>
        </w:rPr>
      </w:pPr>
    </w:p>
    <w:p w:rsidR="00197A30" w:rsidRPr="00692359" w:rsidRDefault="00197A30" w:rsidP="00197A30">
      <w:pPr>
        <w:ind w:left="0"/>
        <w:jc w:val="both"/>
        <w:rPr>
          <w:rFonts w:ascii="Bookman Old Style" w:hAnsi="Bookman Old Style" w:cs="Arial"/>
        </w:rPr>
      </w:pPr>
      <w:r w:rsidRPr="00692359">
        <w:rPr>
          <w:rFonts w:ascii="Bookman Old Style" w:hAnsi="Bookman Old Style" w:cs="Arial"/>
        </w:rPr>
        <w:t>Los sistemas de distribución y los sistemas de transporte tienen la característica de ser monopolios naturales, considerando que presentan grandes economías de escala y que requieren altos costos de capital. La posibilidad de la migración de demandas de usuarios conectados a sistemas de distribución a sistemas de transporte puede llevar a la ineficiencia económica, debido a que se puede presentar: (i) duplicidad en inversiones para una misma demanda; (ii) subutilización de las redes y (iii) ineficiencia en inversiones; con el consecuente detrimento económico para el mercado medio y los respectivos incrementos tarifarios para los usuarios.</w:t>
      </w:r>
      <w:r w:rsidR="00CD1BAA">
        <w:rPr>
          <w:rFonts w:ascii="Bookman Old Style" w:hAnsi="Bookman Old Style" w:cs="Arial"/>
        </w:rPr>
        <w:t xml:space="preserve"> Además de </w:t>
      </w:r>
      <w:r w:rsidR="00A63928">
        <w:rPr>
          <w:rFonts w:ascii="Bookman Old Style" w:hAnsi="Bookman Old Style" w:cs="Arial"/>
        </w:rPr>
        <w:t>poner</w:t>
      </w:r>
      <w:r w:rsidR="00CD1BAA">
        <w:rPr>
          <w:rFonts w:ascii="Bookman Old Style" w:hAnsi="Bookman Old Style" w:cs="Arial"/>
        </w:rPr>
        <w:t xml:space="preserve"> en riesgo la seguridad requerida en la entrega de un combustible a los usuarios finales.</w:t>
      </w:r>
      <w:r w:rsidRPr="00692359">
        <w:rPr>
          <w:rFonts w:ascii="Bookman Old Style" w:hAnsi="Bookman Old Style" w:cs="Arial"/>
        </w:rPr>
        <w:t xml:space="preserve"> </w:t>
      </w:r>
    </w:p>
    <w:p w:rsidR="00197A30" w:rsidRPr="00692359" w:rsidRDefault="00197A30" w:rsidP="00197A30">
      <w:pPr>
        <w:ind w:left="0"/>
        <w:jc w:val="both"/>
        <w:rPr>
          <w:rFonts w:ascii="Bookman Old Style" w:hAnsi="Bookman Old Style" w:cs="Arial"/>
        </w:rPr>
      </w:pPr>
    </w:p>
    <w:p w:rsidR="00197A30" w:rsidRPr="00692359" w:rsidRDefault="00197A30" w:rsidP="00197A30">
      <w:pPr>
        <w:ind w:left="0"/>
        <w:jc w:val="both"/>
        <w:rPr>
          <w:rFonts w:ascii="Bookman Old Style" w:hAnsi="Bookman Old Style" w:cs="Arial"/>
        </w:rPr>
      </w:pPr>
      <w:r w:rsidRPr="00692359">
        <w:rPr>
          <w:rFonts w:ascii="Bookman Old Style" w:hAnsi="Bookman Old Style" w:cs="Arial"/>
        </w:rPr>
        <w:t xml:space="preserve">Por lo anterior, la CREG, con el propósito de promover la prestación eficiente del servicio de gas natural, las condiciones de seguridad involucradas en ésta, y la obtención de economías de escala comprobables, ha considerado conveniente regular el acceso a las redes de transporte de gas natural por parte de los usuarios </w:t>
      </w:r>
      <w:r w:rsidRPr="00692359">
        <w:rPr>
          <w:rFonts w:ascii="Bookman Old Style" w:hAnsi="Bookman Old Style"/>
          <w:spacing w:val="-3"/>
        </w:rPr>
        <w:t>conectados o que puedan conectarse a sistemas de distribución</w:t>
      </w:r>
      <w:r w:rsidRPr="00692359">
        <w:rPr>
          <w:rFonts w:ascii="Bookman Old Style" w:hAnsi="Bookman Old Style" w:cs="Arial"/>
        </w:rPr>
        <w:t xml:space="preserve"> y</w:t>
      </w:r>
      <w:r>
        <w:rPr>
          <w:rFonts w:ascii="Bookman Old Style" w:hAnsi="Bookman Old Style" w:cs="Arial"/>
        </w:rPr>
        <w:t>, en consecuencia,</w:t>
      </w:r>
      <w:r w:rsidRPr="00692359">
        <w:rPr>
          <w:rFonts w:ascii="Bookman Old Style" w:hAnsi="Bookman Old Style" w:cs="Arial"/>
        </w:rPr>
        <w:t xml:space="preserve"> modificar el numeral 2.1.1 del RUT. </w:t>
      </w:r>
    </w:p>
    <w:p w:rsidR="00197A30" w:rsidRPr="00692359" w:rsidRDefault="00197A30" w:rsidP="00197A30">
      <w:pPr>
        <w:ind w:left="0"/>
        <w:jc w:val="both"/>
        <w:rPr>
          <w:rFonts w:ascii="Bookman Old Style" w:hAnsi="Bookman Old Style" w:cs="Arial"/>
        </w:rPr>
      </w:pPr>
    </w:p>
    <w:p w:rsidR="00197A30" w:rsidRPr="001520C5" w:rsidRDefault="00197A30" w:rsidP="00197A30">
      <w:pPr>
        <w:ind w:left="0"/>
        <w:jc w:val="both"/>
        <w:rPr>
          <w:rFonts w:ascii="Bookman Old Style" w:hAnsi="Bookman Old Style" w:cs="Arial"/>
        </w:rPr>
      </w:pPr>
      <w:r w:rsidRPr="001520C5">
        <w:rPr>
          <w:rFonts w:ascii="Bookman Old Style" w:hAnsi="Bookman Old Style" w:cs="Arial"/>
        </w:rPr>
        <w:t>Mediante la Resolución CREG 058 de 2011, la CREG ordenó hacer público un proyecto de resolución de carácter general, “</w:t>
      </w:r>
      <w:r w:rsidRPr="001520C5">
        <w:rPr>
          <w:rFonts w:ascii="Bookman Old Style" w:hAnsi="Bookman Old Style" w:cs="Arial"/>
          <w:i/>
        </w:rPr>
        <w:t xml:space="preserve">Por la cual se modifica el numeral 2.1.1 del </w:t>
      </w:r>
      <w:proofErr w:type="gramStart"/>
      <w:r w:rsidRPr="001520C5">
        <w:rPr>
          <w:rFonts w:ascii="Bookman Old Style" w:hAnsi="Bookman Old Style" w:cs="Arial"/>
          <w:i/>
        </w:rPr>
        <w:t xml:space="preserve">RUT </w:t>
      </w:r>
      <w:r w:rsidRPr="001520C5">
        <w:rPr>
          <w:rFonts w:ascii="Bookman Old Style" w:hAnsi="Bookman Old Style" w:cs="Arial"/>
        </w:rPr>
        <w:t>”</w:t>
      </w:r>
      <w:proofErr w:type="gramEnd"/>
      <w:r w:rsidRPr="001520C5">
        <w:rPr>
          <w:rFonts w:ascii="Bookman Old Style" w:hAnsi="Bookman Old Style" w:cs="Arial"/>
        </w:rPr>
        <w:t>.</w:t>
      </w:r>
    </w:p>
    <w:p w:rsidR="00197A30" w:rsidRPr="001520C5" w:rsidRDefault="00197A30" w:rsidP="00197A30">
      <w:pPr>
        <w:ind w:left="0"/>
        <w:jc w:val="both"/>
        <w:rPr>
          <w:rFonts w:ascii="Bookman Old Style" w:hAnsi="Bookman Old Style" w:cs="Arial"/>
        </w:rPr>
      </w:pPr>
      <w:r w:rsidRPr="001520C5">
        <w:rPr>
          <w:rFonts w:ascii="Bookman Old Style" w:hAnsi="Bookman Old Style" w:cs="Arial"/>
        </w:rPr>
        <w:t xml:space="preserve"> </w:t>
      </w:r>
    </w:p>
    <w:p w:rsidR="00197A30" w:rsidRPr="001520C5" w:rsidRDefault="00197A30" w:rsidP="00197A30">
      <w:pPr>
        <w:ind w:left="0"/>
        <w:jc w:val="both"/>
        <w:rPr>
          <w:rFonts w:ascii="Bookman Old Style" w:hAnsi="Bookman Old Style" w:cs="Arial"/>
        </w:rPr>
      </w:pPr>
      <w:r w:rsidRPr="001520C5">
        <w:rPr>
          <w:rFonts w:ascii="Bookman Old Style" w:hAnsi="Bookman Old Style" w:cs="Arial"/>
        </w:rPr>
        <w:t>Se recibieron comentarios de la propuesta en consulta de los siguientes agentes: ANDI – E-2011-005628, CNO GAS - E-2011-006341; ECOPETROL - E-2011-006413; EMPRESAS PUBLICAS DE MEDELLIN E.S.P. - E-2011-006676, TGI S.A. E.S.P. - E-2011-006755, ANDI - E-2011-006768, GAZEL - E-2011-006769 y GAS MERIDIONAL - E-2011-006773.</w:t>
      </w:r>
    </w:p>
    <w:p w:rsidR="00197A30" w:rsidRPr="001520C5" w:rsidRDefault="00197A30" w:rsidP="00197A30">
      <w:pPr>
        <w:jc w:val="both"/>
        <w:rPr>
          <w:rFonts w:ascii="Bookman Old Style" w:hAnsi="Bookman Old Style"/>
        </w:rPr>
      </w:pPr>
    </w:p>
    <w:p w:rsidR="00A63928" w:rsidRPr="000D118F" w:rsidRDefault="00A63928" w:rsidP="00A63928">
      <w:pPr>
        <w:ind w:left="0"/>
        <w:jc w:val="both"/>
        <w:rPr>
          <w:rFonts w:ascii="Bookman Old Style" w:hAnsi="Bookman Old Style" w:cs="Arial"/>
        </w:rPr>
      </w:pPr>
      <w:r w:rsidRPr="000D118F">
        <w:rPr>
          <w:rFonts w:ascii="Bookman Old Style" w:hAnsi="Bookman Old Style" w:cs="Arial"/>
        </w:rPr>
        <w:t xml:space="preserve">Conforme al Decreto 2897 de 2010, la Comisión procedió a evaluar la posible incidencia de las disposiciones contenidas en este acto administrativo sobre la libre competencia con base en el cuestionario que adoptó la Superintendencia de Industria y Comercio mediante Resolución 44649 de 2010, cuya respuesta se encuentra contenida en el documento </w:t>
      </w:r>
      <w:r w:rsidR="007B6F0E">
        <w:rPr>
          <w:rFonts w:ascii="Bookman Old Style" w:hAnsi="Bookman Old Style" w:cs="Arial"/>
        </w:rPr>
        <w:t>CREG-134</w:t>
      </w:r>
      <w:r w:rsidR="00C90AEF">
        <w:rPr>
          <w:rFonts w:ascii="Bookman Old Style" w:hAnsi="Bookman Old Style" w:cs="Arial"/>
        </w:rPr>
        <w:t xml:space="preserve"> de 2011</w:t>
      </w:r>
      <w:r w:rsidRPr="000D118F">
        <w:rPr>
          <w:rFonts w:ascii="Bookman Old Style" w:hAnsi="Bookman Old Style" w:cs="Arial"/>
        </w:rPr>
        <w:t>. Conforme al análisis efectuado, no se requiere la remisión del presente acto administrativo a la Superintendencia de Industria y Comercio para los efectos establecidos en el artículo 7 de la Ley 1340 de 2009, por no tener incidencia sobre la libre competencia.</w:t>
      </w:r>
    </w:p>
    <w:p w:rsidR="00197A30" w:rsidRPr="001520C5" w:rsidRDefault="00197A30" w:rsidP="00197A30">
      <w:pPr>
        <w:ind w:left="0"/>
        <w:jc w:val="both"/>
        <w:rPr>
          <w:rFonts w:ascii="Bookman Old Style" w:hAnsi="Bookman Old Style" w:cs="Arial"/>
        </w:rPr>
      </w:pPr>
      <w:r w:rsidRPr="001520C5">
        <w:rPr>
          <w:rFonts w:ascii="Bookman Old Style" w:hAnsi="Bookman Old Style" w:cs="Arial"/>
        </w:rPr>
        <w:lastRenderedPageBreak/>
        <w:t xml:space="preserve">El documento </w:t>
      </w:r>
      <w:r w:rsidRPr="00730D49">
        <w:rPr>
          <w:rFonts w:ascii="Bookman Old Style" w:hAnsi="Bookman Old Style" w:cs="Arial"/>
        </w:rPr>
        <w:t xml:space="preserve">CREG </w:t>
      </w:r>
      <w:r w:rsidR="00730D49">
        <w:rPr>
          <w:rFonts w:ascii="Bookman Old Style" w:hAnsi="Bookman Old Style" w:cs="Arial"/>
        </w:rPr>
        <w:t>134</w:t>
      </w:r>
      <w:r w:rsidRPr="00730D49">
        <w:rPr>
          <w:rFonts w:ascii="Bookman Old Style" w:hAnsi="Bookman Old Style" w:cs="Arial"/>
        </w:rPr>
        <w:t xml:space="preserve"> de 2011</w:t>
      </w:r>
      <w:r w:rsidRPr="001520C5">
        <w:rPr>
          <w:rFonts w:ascii="Bookman Old Style" w:hAnsi="Bookman Old Style" w:cs="Arial"/>
        </w:rPr>
        <w:t xml:space="preserve"> contiene la respuesta a los comentarios recibidos durante el período de consulta.</w:t>
      </w:r>
    </w:p>
    <w:p w:rsidR="00197A30" w:rsidRPr="00692359" w:rsidRDefault="00197A30" w:rsidP="00197A30">
      <w:pPr>
        <w:ind w:left="0"/>
        <w:jc w:val="both"/>
        <w:rPr>
          <w:rFonts w:ascii="Bookman Old Style" w:hAnsi="Bookman Old Style" w:cs="Arial"/>
        </w:rPr>
      </w:pPr>
      <w:r w:rsidRPr="00692359">
        <w:rPr>
          <w:rFonts w:ascii="Bookman Old Style" w:hAnsi="Bookman Old Style" w:cs="Arial"/>
          <w:highlight w:val="magenta"/>
        </w:rPr>
        <w:br/>
      </w:r>
      <w:r w:rsidRPr="001520C5">
        <w:rPr>
          <w:rFonts w:ascii="Bookman Old Style" w:hAnsi="Bookman Old Style" w:cs="Arial"/>
        </w:rPr>
        <w:t xml:space="preserve">La Comisión de Regulación de Energía y Gas, discutió la presente Resolución y la aprobó en su sesión N° </w:t>
      </w:r>
      <w:r w:rsidR="00A63928" w:rsidRPr="009636C9">
        <w:rPr>
          <w:rFonts w:ascii="Bookman Old Style" w:hAnsi="Bookman Old Style" w:cs="Arial"/>
        </w:rPr>
        <w:t xml:space="preserve">507 </w:t>
      </w:r>
      <w:r w:rsidRPr="009636C9">
        <w:rPr>
          <w:rFonts w:ascii="Bookman Old Style" w:hAnsi="Bookman Old Style" w:cs="Arial"/>
        </w:rPr>
        <w:t xml:space="preserve">de fecha </w:t>
      </w:r>
      <w:r w:rsidR="00A63928" w:rsidRPr="009636C9">
        <w:rPr>
          <w:rFonts w:ascii="Bookman Old Style" w:hAnsi="Bookman Old Style" w:cs="Arial"/>
        </w:rPr>
        <w:t xml:space="preserve">1 de diciembre de </w:t>
      </w:r>
      <w:r w:rsidRPr="009636C9">
        <w:rPr>
          <w:rFonts w:ascii="Bookman Old Style" w:hAnsi="Bookman Old Style" w:cs="Arial"/>
        </w:rPr>
        <w:t>2011.</w:t>
      </w:r>
    </w:p>
    <w:p w:rsidR="00EA1B91" w:rsidRDefault="00EA1B91" w:rsidP="002F4B4C">
      <w:pPr>
        <w:ind w:left="0"/>
        <w:jc w:val="both"/>
        <w:rPr>
          <w:rFonts w:ascii="Bookman Old Style" w:hAnsi="Bookman Old Style" w:cs="Arial"/>
        </w:rPr>
      </w:pPr>
    </w:p>
    <w:p w:rsidR="000251A0" w:rsidRPr="00EA1B91" w:rsidRDefault="000251A0" w:rsidP="002F4B4C">
      <w:pPr>
        <w:ind w:left="0"/>
        <w:jc w:val="both"/>
        <w:rPr>
          <w:rFonts w:ascii="Bookman Old Style" w:hAnsi="Bookman Old Style" w:cs="Arial"/>
        </w:rPr>
      </w:pPr>
    </w:p>
    <w:p w:rsidR="002F4B4C" w:rsidRPr="006D6EF0" w:rsidRDefault="002F4B4C" w:rsidP="002F4B4C">
      <w:pPr>
        <w:ind w:left="0"/>
        <w:jc w:val="center"/>
        <w:rPr>
          <w:rFonts w:ascii="Bookman Old Style" w:hAnsi="Bookman Old Style" w:cs="Arial"/>
          <w:b/>
        </w:rPr>
      </w:pPr>
      <w:r w:rsidRPr="006D6EF0">
        <w:rPr>
          <w:rFonts w:ascii="Bookman Old Style" w:hAnsi="Bookman Old Style" w:cs="Arial"/>
          <w:b/>
        </w:rPr>
        <w:t>R E S U E L V E:</w:t>
      </w:r>
    </w:p>
    <w:p w:rsidR="002F4B4C" w:rsidRPr="006D6EF0" w:rsidRDefault="002F4B4C" w:rsidP="002F4B4C">
      <w:pPr>
        <w:ind w:left="0"/>
        <w:jc w:val="both"/>
        <w:rPr>
          <w:rFonts w:ascii="Bookman Old Style" w:hAnsi="Bookman Old Style" w:cs="Arial"/>
          <w:b/>
        </w:rPr>
      </w:pPr>
    </w:p>
    <w:p w:rsidR="002F4B4C" w:rsidRPr="006D6EF0" w:rsidRDefault="002F4B4C" w:rsidP="002F4B4C">
      <w:pPr>
        <w:pStyle w:val="Ttulo1"/>
        <w:keepNext w:val="0"/>
        <w:widowControl w:val="0"/>
        <w:ind w:left="0"/>
        <w:jc w:val="both"/>
        <w:rPr>
          <w:rFonts w:ascii="Bookman Old Style" w:hAnsi="Bookman Old Style" w:cs="Arial"/>
          <w:b w:val="0"/>
          <w:szCs w:val="24"/>
          <w:lang w:val="es-ES"/>
        </w:rPr>
      </w:pPr>
      <w:r w:rsidRPr="006D6EF0">
        <w:rPr>
          <w:rFonts w:ascii="Bookman Old Style" w:hAnsi="Bookman Old Style" w:cs="Arial"/>
          <w:b w:val="0"/>
          <w:szCs w:val="24"/>
        </w:rPr>
        <w:t xml:space="preserve"> </w:t>
      </w:r>
    </w:p>
    <w:p w:rsidR="002F4B4C" w:rsidRPr="006D6EF0" w:rsidRDefault="002F4B4C" w:rsidP="002F4B4C">
      <w:pPr>
        <w:ind w:left="0"/>
        <w:jc w:val="both"/>
        <w:rPr>
          <w:rFonts w:ascii="Bookman Old Style" w:hAnsi="Bookman Old Style" w:cs="Arial"/>
          <w:b/>
        </w:rPr>
      </w:pPr>
      <w:r w:rsidRPr="006D6EF0">
        <w:rPr>
          <w:rFonts w:ascii="Bookman Old Style" w:hAnsi="Bookman Old Style" w:cs="Arial"/>
          <w:b/>
        </w:rPr>
        <w:t>ARTÍCULO 1</w:t>
      </w:r>
      <w:r w:rsidRPr="006D6EF0">
        <w:rPr>
          <w:rFonts w:ascii="Bookman Old Style" w:hAnsi="Bookman Old Style" w:cs="Arial"/>
        </w:rPr>
        <w:t xml:space="preserve">.  </w:t>
      </w:r>
      <w:r>
        <w:rPr>
          <w:rFonts w:ascii="Bookman Old Style" w:hAnsi="Bookman Old Style" w:cs="Arial"/>
        </w:rPr>
        <w:t xml:space="preserve">Modificar </w:t>
      </w:r>
      <w:r w:rsidRPr="006D6EF0">
        <w:rPr>
          <w:rFonts w:ascii="Bookman Old Style" w:hAnsi="Bookman Old Style" w:cs="Arial"/>
        </w:rPr>
        <w:t xml:space="preserve">el numeral 2.1.1. </w:t>
      </w:r>
      <w:proofErr w:type="gramStart"/>
      <w:r w:rsidRPr="006D6EF0">
        <w:rPr>
          <w:rFonts w:ascii="Bookman Old Style" w:hAnsi="Bookman Old Style" w:cs="Arial"/>
        </w:rPr>
        <w:t>del</w:t>
      </w:r>
      <w:proofErr w:type="gramEnd"/>
      <w:r w:rsidRPr="006D6EF0">
        <w:rPr>
          <w:rFonts w:ascii="Bookman Old Style" w:hAnsi="Bookman Old Style" w:cs="Arial"/>
        </w:rPr>
        <w:t xml:space="preserve"> RUT</w:t>
      </w:r>
      <w:r>
        <w:rPr>
          <w:rFonts w:ascii="Bookman Old Style" w:hAnsi="Bookman Old Style" w:cs="Arial"/>
        </w:rPr>
        <w:t xml:space="preserve">, el cual quedará así: </w:t>
      </w:r>
    </w:p>
    <w:p w:rsidR="002F4B4C" w:rsidRPr="00A63928" w:rsidRDefault="002F4B4C" w:rsidP="002F4B4C">
      <w:pPr>
        <w:ind w:left="0"/>
        <w:jc w:val="both"/>
        <w:rPr>
          <w:rFonts w:ascii="Bookman Old Style" w:hAnsi="Bookman Old Style" w:cs="Arial"/>
          <w:b/>
        </w:rPr>
      </w:pPr>
    </w:p>
    <w:p w:rsidR="002F4B4C" w:rsidRPr="00D95767" w:rsidRDefault="002F4B4C" w:rsidP="002F4B4C">
      <w:pPr>
        <w:pStyle w:val="Ttulo3"/>
        <w:ind w:left="0"/>
        <w:jc w:val="left"/>
        <w:rPr>
          <w:rFonts w:ascii="Bookman Old Style" w:hAnsi="Bookman Old Style"/>
        </w:rPr>
      </w:pPr>
      <w:r w:rsidRPr="00A63928">
        <w:rPr>
          <w:rFonts w:ascii="Bookman Old Style" w:hAnsi="Bookman Old Style" w:cs="Arial"/>
          <w:b w:val="0"/>
        </w:rPr>
        <w:t>“</w:t>
      </w:r>
      <w:bookmarkStart w:id="1" w:name="_Toc471202548"/>
      <w:r w:rsidRPr="00D95767">
        <w:rPr>
          <w:rFonts w:ascii="Bookman Old Style" w:hAnsi="Bookman Old Style"/>
        </w:rPr>
        <w:t>2.1.1</w:t>
      </w:r>
      <w:r w:rsidRPr="00D95767">
        <w:rPr>
          <w:rFonts w:ascii="Bookman Old Style" w:hAnsi="Bookman Old Style"/>
        </w:rPr>
        <w:tab/>
        <w:t>Compromiso de Acceso</w:t>
      </w:r>
      <w:bookmarkEnd w:id="1"/>
    </w:p>
    <w:p w:rsidR="002F4B4C" w:rsidRPr="00D95767" w:rsidRDefault="002F4B4C" w:rsidP="002F4B4C">
      <w:pPr>
        <w:ind w:left="0"/>
        <w:rPr>
          <w:rFonts w:ascii="Bookman Old Style" w:hAnsi="Bookman Old Style"/>
          <w:lang w:val="es-ES_tradnl" w:eastAsia="x-none"/>
        </w:rPr>
      </w:pPr>
    </w:p>
    <w:p w:rsidR="002F4B4C" w:rsidRPr="00D95767" w:rsidRDefault="002F4B4C" w:rsidP="00413977">
      <w:pPr>
        <w:numPr>
          <w:ilvl w:val="0"/>
          <w:numId w:val="17"/>
        </w:numPr>
        <w:tabs>
          <w:tab w:val="left" w:pos="-720"/>
        </w:tabs>
        <w:suppressAutoHyphens/>
        <w:ind w:left="426" w:hanging="426"/>
        <w:jc w:val="both"/>
        <w:rPr>
          <w:rFonts w:ascii="Bookman Old Style" w:hAnsi="Bookman Old Style"/>
          <w:spacing w:val="-3"/>
        </w:rPr>
      </w:pPr>
      <w:r w:rsidRPr="00D95767">
        <w:rPr>
          <w:rFonts w:ascii="Bookman Old Style" w:hAnsi="Bookman Old Style"/>
          <w:spacing w:val="-3"/>
        </w:rPr>
        <w:t xml:space="preserve">Todo Transportador debe garantizar el acceso a los Sistemas de Transporte y a los servicios de transporte, de forma no discriminatoria y de acuerdo con lo establecido en el presente RUT. </w:t>
      </w:r>
    </w:p>
    <w:p w:rsidR="002F4B4C" w:rsidRPr="00A63928" w:rsidRDefault="002F4B4C" w:rsidP="00413977">
      <w:pPr>
        <w:tabs>
          <w:tab w:val="left" w:pos="-720"/>
        </w:tabs>
        <w:suppressAutoHyphens/>
        <w:ind w:left="709" w:hanging="425"/>
        <w:jc w:val="both"/>
        <w:rPr>
          <w:rFonts w:ascii="Bookman Old Style" w:hAnsi="Bookman Old Style"/>
          <w:spacing w:val="-3"/>
        </w:rPr>
      </w:pPr>
    </w:p>
    <w:p w:rsidR="002F4B4C" w:rsidRPr="00A63928" w:rsidRDefault="002F4B4C" w:rsidP="00413977">
      <w:pPr>
        <w:tabs>
          <w:tab w:val="left" w:pos="-720"/>
        </w:tabs>
        <w:suppressAutoHyphens/>
        <w:ind w:left="426"/>
        <w:jc w:val="both"/>
        <w:rPr>
          <w:rFonts w:ascii="Bookman Old Style" w:hAnsi="Bookman Old Style"/>
          <w:spacing w:val="-3"/>
        </w:rPr>
      </w:pPr>
      <w:r w:rsidRPr="00A63928">
        <w:rPr>
          <w:rFonts w:ascii="Bookman Old Style" w:hAnsi="Bookman Old Style"/>
          <w:spacing w:val="-3"/>
        </w:rPr>
        <w:t>Los Transportadores de Gas Natural por tubería permitirán el acceso a los gasoductos, de su propiedad o que se encuentren bajo su control, a cualquier Productor-comercializador</w:t>
      </w:r>
      <w:r w:rsidR="00A63928">
        <w:rPr>
          <w:rFonts w:ascii="Bookman Old Style" w:hAnsi="Bookman Old Style"/>
          <w:spacing w:val="-3"/>
        </w:rPr>
        <w:t>,</w:t>
      </w:r>
      <w:r w:rsidRPr="00A63928">
        <w:rPr>
          <w:rFonts w:ascii="Bookman Old Style" w:hAnsi="Bookman Old Style"/>
          <w:spacing w:val="-3"/>
        </w:rPr>
        <w:t xml:space="preserve"> Distribuidor</w:t>
      </w:r>
      <w:r w:rsidR="00A63928">
        <w:rPr>
          <w:rFonts w:ascii="Bookman Old Style" w:hAnsi="Bookman Old Style"/>
          <w:spacing w:val="-3"/>
        </w:rPr>
        <w:t>,</w:t>
      </w:r>
      <w:r w:rsidRPr="00A63928">
        <w:rPr>
          <w:rFonts w:ascii="Bookman Old Style" w:hAnsi="Bookman Old Style"/>
          <w:spacing w:val="-3"/>
        </w:rPr>
        <w:t xml:space="preserve"> Usuario No Regulado, Usuario Regulado (no localizado en áreas de servicio exclusivo) atendido a través de un Comercializador,  Almacenador</w:t>
      </w:r>
      <w:r w:rsidR="00A63928" w:rsidRPr="00A63928">
        <w:rPr>
          <w:rFonts w:ascii="Bookman Old Style" w:hAnsi="Bookman Old Style"/>
          <w:spacing w:val="-3"/>
        </w:rPr>
        <w:t xml:space="preserve">, </w:t>
      </w:r>
      <w:r w:rsidRPr="00A63928">
        <w:rPr>
          <w:rFonts w:ascii="Bookman Old Style" w:hAnsi="Bookman Old Style"/>
          <w:spacing w:val="-3"/>
        </w:rPr>
        <w:t xml:space="preserve"> y en general a cualquier Agente que lo solicite. Dicho acceso deberá ofrecerse a cualquier Agente en las mismas condiciones de calidad y seguridad establecidas en las disposiciones legales y reglamentarias aplicables a esta materia, así como en el RUT y demás </w:t>
      </w:r>
      <w:r w:rsidR="00A63928">
        <w:rPr>
          <w:rFonts w:ascii="Bookman Old Style" w:hAnsi="Bookman Old Style"/>
          <w:spacing w:val="-3"/>
        </w:rPr>
        <w:t xml:space="preserve">disposiciones </w:t>
      </w:r>
      <w:r w:rsidRPr="00A63928">
        <w:rPr>
          <w:rFonts w:ascii="Bookman Old Style" w:hAnsi="Bookman Old Style"/>
          <w:spacing w:val="-3"/>
        </w:rPr>
        <w:t xml:space="preserve">que expida la Comisión. </w:t>
      </w:r>
    </w:p>
    <w:p w:rsidR="002F4B4C" w:rsidRPr="00A63928" w:rsidRDefault="002F4B4C" w:rsidP="00413977">
      <w:pPr>
        <w:tabs>
          <w:tab w:val="left" w:pos="0"/>
        </w:tabs>
        <w:suppressAutoHyphens/>
        <w:ind w:left="709" w:hanging="425"/>
        <w:jc w:val="both"/>
        <w:rPr>
          <w:rFonts w:ascii="Bookman Old Style" w:hAnsi="Bookman Old Style"/>
          <w:spacing w:val="-3"/>
        </w:rPr>
      </w:pPr>
    </w:p>
    <w:p w:rsidR="002F4B4C" w:rsidRPr="00A63928" w:rsidRDefault="002F4B4C" w:rsidP="00413977">
      <w:pPr>
        <w:numPr>
          <w:ilvl w:val="0"/>
          <w:numId w:val="17"/>
        </w:numPr>
        <w:tabs>
          <w:tab w:val="left" w:pos="-720"/>
        </w:tabs>
        <w:suppressAutoHyphens/>
        <w:ind w:left="426" w:hanging="426"/>
        <w:jc w:val="both"/>
        <w:rPr>
          <w:rFonts w:ascii="Bookman Old Style" w:hAnsi="Bookman Old Style"/>
          <w:spacing w:val="-3"/>
        </w:rPr>
      </w:pPr>
      <w:r w:rsidRPr="00A63928">
        <w:rPr>
          <w:rFonts w:ascii="Bookman Old Style" w:hAnsi="Bookman Old Style"/>
          <w:spacing w:val="-3"/>
        </w:rPr>
        <w:t xml:space="preserve">Condiciones para autorizar el acceso a los sistemas de transporte por parte de usuarios conectados o que puedan conectarse a sistemas de distribución: </w:t>
      </w:r>
    </w:p>
    <w:p w:rsidR="002F4B4C" w:rsidRPr="00A63928" w:rsidRDefault="002F4B4C" w:rsidP="00413977">
      <w:pPr>
        <w:ind w:left="709" w:hanging="425"/>
        <w:jc w:val="both"/>
        <w:rPr>
          <w:rFonts w:ascii="Bookman Old Style" w:hAnsi="Bookman Old Style" w:cs="Arial"/>
          <w:b/>
        </w:rPr>
      </w:pPr>
    </w:p>
    <w:p w:rsidR="002F4B4C" w:rsidRPr="00A63928" w:rsidRDefault="002F4B4C" w:rsidP="00413977">
      <w:pPr>
        <w:tabs>
          <w:tab w:val="left" w:pos="-720"/>
        </w:tabs>
        <w:suppressAutoHyphens/>
        <w:ind w:left="426"/>
        <w:jc w:val="both"/>
        <w:rPr>
          <w:rFonts w:ascii="Bookman Old Style" w:hAnsi="Bookman Old Style"/>
          <w:spacing w:val="-3"/>
        </w:rPr>
      </w:pPr>
      <w:r w:rsidRPr="00A63928">
        <w:rPr>
          <w:rFonts w:ascii="Bookman Old Style" w:hAnsi="Bookman Old Style"/>
          <w:spacing w:val="-3"/>
        </w:rPr>
        <w:t>Los Transportadores de gas natural por tubería no podrán autorizar el acceso a los gasoductos de su propiedad o que se encuentran bajo su control, a cualquier Usuario Regulado o Usuario No Regulado, que en el momento de la solicitud de conexión se encuentre conectado a un Sistema de Distribución o pueda conectarse a un Sistema de Distribución.</w:t>
      </w:r>
    </w:p>
    <w:p w:rsidR="002F4B4C" w:rsidRPr="00A63928" w:rsidRDefault="002F4B4C" w:rsidP="00413977">
      <w:pPr>
        <w:tabs>
          <w:tab w:val="left" w:pos="-720"/>
        </w:tabs>
        <w:suppressAutoHyphens/>
        <w:ind w:left="426"/>
        <w:jc w:val="both"/>
        <w:rPr>
          <w:rFonts w:ascii="Bookman Old Style" w:hAnsi="Bookman Old Style"/>
          <w:spacing w:val="-3"/>
        </w:rPr>
      </w:pPr>
    </w:p>
    <w:p w:rsidR="002F4B4C" w:rsidRPr="00A63928" w:rsidRDefault="002F4B4C" w:rsidP="00A63928">
      <w:pPr>
        <w:tabs>
          <w:tab w:val="left" w:pos="-720"/>
        </w:tabs>
        <w:suppressAutoHyphens/>
        <w:ind w:left="426"/>
        <w:jc w:val="both"/>
        <w:rPr>
          <w:rFonts w:ascii="Bookman Old Style" w:hAnsi="Bookman Old Style" w:cs="Arial"/>
          <w:lang w:val="es-CO"/>
        </w:rPr>
      </w:pPr>
      <w:r w:rsidRPr="00A63928">
        <w:rPr>
          <w:rFonts w:ascii="Bookman Old Style" w:hAnsi="Bookman Old Style"/>
          <w:spacing w:val="-3"/>
        </w:rPr>
        <w:t>Los Transportadores sólo podrán aceptar el acceso de un Usuario Regulado atendido a través de un comercializador o de un Usuario No Regulado conectado previamente a un Sistema de Distribución o que se pueda conectar a un Sistema de Distribución,</w:t>
      </w:r>
      <w:r w:rsidR="00641C6C" w:rsidRPr="00A63928">
        <w:rPr>
          <w:rFonts w:ascii="Bookman Old Style" w:hAnsi="Bookman Old Style"/>
          <w:spacing w:val="-3"/>
        </w:rPr>
        <w:t xml:space="preserve"> cuando</w:t>
      </w:r>
      <w:r w:rsidR="00A63928" w:rsidRPr="00A63928">
        <w:rPr>
          <w:rFonts w:ascii="Bookman Old Style" w:hAnsi="Bookman Old Style"/>
          <w:spacing w:val="-3"/>
        </w:rPr>
        <w:t xml:space="preserve"> </w:t>
      </w:r>
      <w:r w:rsidR="00A63928" w:rsidRPr="00A63928">
        <w:rPr>
          <w:rFonts w:ascii="Bookman Old Style" w:hAnsi="Bookman Old Style" w:cs="Arial"/>
          <w:lang w:val="es-CO"/>
        </w:rPr>
        <w:t>c</w:t>
      </w:r>
      <w:r w:rsidRPr="00A63928">
        <w:rPr>
          <w:rFonts w:ascii="Bookman Old Style" w:hAnsi="Bookman Old Style" w:cs="Arial"/>
          <w:lang w:val="es-CO"/>
        </w:rPr>
        <w:t xml:space="preserve">omo consecuencia de condiciones técnicas (flujo, presión, volumen, calidad del gas, entre otras) o de seguridad, la demanda de dicho Usuario no pueda ser atendida por el distribuidor que le presta o le puede prestar el servicio. </w:t>
      </w:r>
    </w:p>
    <w:p w:rsidR="00641C6C" w:rsidRPr="00A63928" w:rsidRDefault="00641C6C" w:rsidP="00437D9E">
      <w:pPr>
        <w:ind w:left="709" w:hanging="283"/>
        <w:jc w:val="both"/>
        <w:rPr>
          <w:rFonts w:ascii="Bookman Old Style" w:hAnsi="Bookman Old Style" w:cs="Arial"/>
          <w:lang w:val="es-CO"/>
        </w:rPr>
      </w:pPr>
    </w:p>
    <w:p w:rsidR="002F4B4C" w:rsidRPr="00D95767" w:rsidRDefault="002F4B4C" w:rsidP="00D95767">
      <w:pPr>
        <w:ind w:left="426"/>
        <w:jc w:val="both"/>
        <w:rPr>
          <w:rFonts w:ascii="Bookman Old Style" w:hAnsi="Bookman Old Style" w:cs="Arial"/>
          <w:lang w:val="es-CO"/>
        </w:rPr>
      </w:pPr>
      <w:r w:rsidRPr="00A63928">
        <w:rPr>
          <w:rFonts w:ascii="Bookman Old Style" w:hAnsi="Bookman Old Style" w:cs="Arial"/>
          <w:lang w:val="es-CO"/>
        </w:rPr>
        <w:t xml:space="preserve">El Usuario que esté conectado o se </w:t>
      </w:r>
      <w:r w:rsidRPr="00D95767">
        <w:rPr>
          <w:rFonts w:ascii="Bookman Old Style" w:hAnsi="Bookman Old Style" w:cs="Arial"/>
          <w:lang w:val="es-CO"/>
        </w:rPr>
        <w:t xml:space="preserve">pueda conectar a un Sistema de Distribución y que por las razones antes señaladas solicite el acceso al Transportador deberá presentarle a éste un documento expedido por el Distribuidor en donde se indiquen las razones técnicas del por qué no le es posible prestarle el servicio a dicho Usuario. </w:t>
      </w:r>
    </w:p>
    <w:p w:rsidR="002F4B4C" w:rsidRPr="00D95767" w:rsidRDefault="002F4B4C" w:rsidP="002F4B4C">
      <w:pPr>
        <w:ind w:left="0"/>
        <w:jc w:val="both"/>
        <w:rPr>
          <w:rFonts w:ascii="Bookman Old Style" w:hAnsi="Bookman Old Style" w:cs="Arial"/>
          <w:lang w:val="es-CO"/>
        </w:rPr>
      </w:pPr>
    </w:p>
    <w:p w:rsidR="002F4B4C" w:rsidRPr="00D95767" w:rsidRDefault="002F4B4C" w:rsidP="00D95767">
      <w:pPr>
        <w:ind w:left="0"/>
        <w:jc w:val="both"/>
        <w:outlineLvl w:val="0"/>
        <w:rPr>
          <w:rFonts w:ascii="Bookman Old Style" w:hAnsi="Bookman Old Style" w:cs="Arial"/>
        </w:rPr>
      </w:pPr>
      <w:r w:rsidRPr="00D95767">
        <w:rPr>
          <w:rFonts w:ascii="Bookman Old Style" w:hAnsi="Bookman Old Style" w:cs="Arial"/>
        </w:rPr>
        <w:lastRenderedPageBreak/>
        <w:t>Para los efectos del literal b</w:t>
      </w:r>
      <w:r w:rsidR="00197A30" w:rsidRPr="00D95767">
        <w:rPr>
          <w:rFonts w:ascii="Bookman Old Style" w:hAnsi="Bookman Old Style" w:cs="Arial"/>
        </w:rPr>
        <w:t xml:space="preserve"> de este </w:t>
      </w:r>
      <w:r w:rsidR="000D7801" w:rsidRPr="00D95767">
        <w:rPr>
          <w:rFonts w:ascii="Bookman Old Style" w:hAnsi="Bookman Old Style" w:cs="Arial"/>
        </w:rPr>
        <w:t>artículo</w:t>
      </w:r>
      <w:r w:rsidRPr="00D95767">
        <w:rPr>
          <w:rFonts w:ascii="Bookman Old Style" w:hAnsi="Bookman Old Style" w:cs="Arial"/>
        </w:rPr>
        <w:t xml:space="preserve">, cuando se hace referencia al acceso a un Sistema de Distribución por parte de un Usuario </w:t>
      </w:r>
      <w:r w:rsidR="00813137" w:rsidRPr="00D95767">
        <w:rPr>
          <w:rFonts w:ascii="Bookman Old Style" w:hAnsi="Bookman Old Style" w:cs="Arial"/>
        </w:rPr>
        <w:t>No Regulado</w:t>
      </w:r>
      <w:r w:rsidRPr="00D95767">
        <w:rPr>
          <w:rFonts w:ascii="Bookman Old Style" w:hAnsi="Bookman Old Style" w:cs="Arial"/>
        </w:rPr>
        <w:t>, se debe entender que esta expresión no incluye a los “Distribuidores-Comercializadores</w:t>
      </w:r>
      <w:r w:rsidR="00D95767">
        <w:rPr>
          <w:rFonts w:ascii="Bookman Old Style" w:hAnsi="Bookman Old Style" w:cs="Arial"/>
        </w:rPr>
        <w:t>”</w:t>
      </w:r>
      <w:r w:rsidRPr="00D95767">
        <w:rPr>
          <w:rFonts w:ascii="Bookman Old Style" w:hAnsi="Bookman Old Style" w:cs="Arial"/>
        </w:rPr>
        <w:t xml:space="preserve">. </w:t>
      </w:r>
    </w:p>
    <w:p w:rsidR="002F4B4C" w:rsidRPr="00D95767" w:rsidRDefault="002F4B4C" w:rsidP="002F4B4C">
      <w:pPr>
        <w:ind w:left="0"/>
        <w:jc w:val="both"/>
        <w:rPr>
          <w:rFonts w:ascii="Bookman Old Style" w:hAnsi="Bookman Old Style" w:cs="Arial"/>
        </w:rPr>
      </w:pPr>
    </w:p>
    <w:p w:rsidR="002F4B4C" w:rsidRPr="00D95767" w:rsidRDefault="002F4B4C" w:rsidP="00D95767">
      <w:pPr>
        <w:ind w:left="0"/>
        <w:jc w:val="both"/>
        <w:rPr>
          <w:rFonts w:ascii="Bookman Old Style" w:hAnsi="Bookman Old Style" w:cs="Arial"/>
        </w:rPr>
      </w:pPr>
      <w:r w:rsidRPr="00D95767">
        <w:rPr>
          <w:rFonts w:ascii="Bookman Old Style" w:hAnsi="Bookman Old Style" w:cs="Arial"/>
        </w:rPr>
        <w:t>Las disposiciones de</w:t>
      </w:r>
      <w:r w:rsidR="00197A30" w:rsidRPr="00D95767">
        <w:rPr>
          <w:rFonts w:ascii="Bookman Old Style" w:hAnsi="Bookman Old Style" w:cs="Arial"/>
        </w:rPr>
        <w:t>l</w:t>
      </w:r>
      <w:r w:rsidRPr="00D95767">
        <w:rPr>
          <w:rFonts w:ascii="Bookman Old Style" w:hAnsi="Bookman Old Style" w:cs="Arial"/>
        </w:rPr>
        <w:t xml:space="preserve"> literal b</w:t>
      </w:r>
      <w:r w:rsidR="00197A30" w:rsidRPr="00D95767">
        <w:rPr>
          <w:rFonts w:ascii="Bookman Old Style" w:hAnsi="Bookman Old Style" w:cs="Arial"/>
        </w:rPr>
        <w:t xml:space="preserve"> de este artículo</w:t>
      </w:r>
      <w:r w:rsidRPr="00D95767">
        <w:rPr>
          <w:rFonts w:ascii="Bookman Old Style" w:hAnsi="Bookman Old Style" w:cs="Arial"/>
        </w:rPr>
        <w:t xml:space="preserve"> se aplican a las conexiones de inmuebles o predios, sin importar cualquier modificación relativa a la propiedad, posesión, tenencia, usufructo, administración o similares que pueda ocurrir en relación con éstos”.</w:t>
      </w:r>
    </w:p>
    <w:p w:rsidR="002F4B4C" w:rsidRPr="006D6EF0" w:rsidRDefault="002F4B4C" w:rsidP="002F4B4C">
      <w:pPr>
        <w:ind w:left="0"/>
        <w:jc w:val="both"/>
        <w:rPr>
          <w:rFonts w:ascii="Bookman Old Style" w:hAnsi="Bookman Old Style" w:cs="Arial"/>
        </w:rPr>
      </w:pPr>
    </w:p>
    <w:p w:rsidR="002F4B4C" w:rsidRPr="006D6EF0" w:rsidRDefault="002F4B4C" w:rsidP="002F4B4C">
      <w:pPr>
        <w:pStyle w:val="Ttulo1"/>
        <w:spacing w:before="240" w:after="60"/>
        <w:ind w:left="0"/>
        <w:jc w:val="both"/>
        <w:rPr>
          <w:rFonts w:ascii="Bookman Old Style" w:hAnsi="Bookman Old Style" w:cs="Arial"/>
          <w:b w:val="0"/>
          <w:szCs w:val="24"/>
        </w:rPr>
      </w:pPr>
      <w:r w:rsidRPr="006D6EF0">
        <w:rPr>
          <w:rFonts w:ascii="Bookman Old Style" w:hAnsi="Bookman Old Style" w:cs="Arial"/>
          <w:szCs w:val="24"/>
        </w:rPr>
        <w:t xml:space="preserve">ARTÍCULO </w:t>
      </w:r>
      <w:r>
        <w:rPr>
          <w:rFonts w:ascii="Bookman Old Style" w:hAnsi="Bookman Old Style" w:cs="Arial"/>
          <w:szCs w:val="24"/>
        </w:rPr>
        <w:t>2</w:t>
      </w:r>
      <w:r w:rsidRPr="006D6EF0">
        <w:rPr>
          <w:rFonts w:ascii="Bookman Old Style" w:hAnsi="Bookman Old Style" w:cs="Arial"/>
          <w:szCs w:val="24"/>
        </w:rPr>
        <w:t>. VIGENCIA</w:t>
      </w:r>
      <w:r>
        <w:rPr>
          <w:rFonts w:ascii="Bookman Old Style" w:hAnsi="Bookman Old Style" w:cs="Arial"/>
          <w:szCs w:val="24"/>
        </w:rPr>
        <w:t xml:space="preserve"> </w:t>
      </w:r>
      <w:r w:rsidRPr="006D6EF0">
        <w:rPr>
          <w:rFonts w:ascii="Bookman Old Style" w:hAnsi="Bookman Old Style" w:cs="Arial"/>
          <w:szCs w:val="24"/>
        </w:rPr>
        <w:t>Y DEROGATORIAS</w:t>
      </w:r>
      <w:r w:rsidRPr="006D6EF0">
        <w:rPr>
          <w:rFonts w:ascii="Bookman Old Style" w:hAnsi="Bookman Old Style" w:cs="Arial"/>
          <w:b w:val="0"/>
          <w:szCs w:val="24"/>
        </w:rPr>
        <w:t xml:space="preserve">. La presente resolución rige a partir de la fecha de su publicación en el </w:t>
      </w:r>
      <w:r w:rsidRPr="00730D49">
        <w:rPr>
          <w:rFonts w:ascii="Bookman Old Style" w:hAnsi="Bookman Old Style" w:cs="Arial"/>
          <w:b w:val="0"/>
          <w:i/>
          <w:szCs w:val="24"/>
        </w:rPr>
        <w:t>Diario Oficial</w:t>
      </w:r>
      <w:r w:rsidRPr="006D6EF0">
        <w:rPr>
          <w:rFonts w:ascii="Bookman Old Style" w:hAnsi="Bookman Old Style" w:cs="Arial"/>
          <w:b w:val="0"/>
          <w:szCs w:val="24"/>
        </w:rPr>
        <w:t xml:space="preserve">, </w:t>
      </w:r>
      <w:r>
        <w:rPr>
          <w:rFonts w:ascii="Bookman Old Style" w:hAnsi="Bookman Old Style" w:cs="Arial"/>
          <w:b w:val="0"/>
          <w:szCs w:val="24"/>
        </w:rPr>
        <w:t xml:space="preserve">y deroga </w:t>
      </w:r>
      <w:r w:rsidRPr="006D6EF0">
        <w:rPr>
          <w:rFonts w:ascii="Bookman Old Style" w:hAnsi="Bookman Old Style" w:cs="Arial"/>
          <w:b w:val="0"/>
          <w:szCs w:val="24"/>
        </w:rPr>
        <w:t>todas las disposiciones que le sean contrarias.</w:t>
      </w:r>
    </w:p>
    <w:p w:rsidR="002F4B4C" w:rsidRDefault="002F4B4C" w:rsidP="002F4B4C">
      <w:pPr>
        <w:ind w:left="0"/>
        <w:jc w:val="both"/>
        <w:rPr>
          <w:rFonts w:ascii="Bookman Old Style" w:hAnsi="Bookman Old Style" w:cs="Arial"/>
        </w:rPr>
      </w:pPr>
    </w:p>
    <w:p w:rsidR="000251A0" w:rsidRPr="006D6EF0" w:rsidRDefault="000251A0" w:rsidP="002F4B4C">
      <w:pPr>
        <w:ind w:left="0"/>
        <w:jc w:val="both"/>
        <w:rPr>
          <w:rFonts w:ascii="Bookman Old Style" w:hAnsi="Bookman Old Style" w:cs="Arial"/>
        </w:rPr>
      </w:pPr>
    </w:p>
    <w:p w:rsidR="002F4B4C" w:rsidRPr="006D6EF0" w:rsidRDefault="002F4B4C" w:rsidP="002F4B4C">
      <w:pPr>
        <w:ind w:left="0"/>
        <w:jc w:val="center"/>
        <w:rPr>
          <w:rFonts w:ascii="Bookman Old Style" w:hAnsi="Bookman Old Style" w:cs="Arial"/>
          <w:b/>
          <w:bCs/>
        </w:rPr>
      </w:pPr>
      <w:r w:rsidRPr="006D6EF0">
        <w:rPr>
          <w:rFonts w:ascii="Bookman Old Style" w:hAnsi="Bookman Old Style" w:cs="Arial"/>
          <w:b/>
          <w:bCs/>
        </w:rPr>
        <w:t>PUBLÍQUESE Y CÚMPLASE</w:t>
      </w:r>
    </w:p>
    <w:p w:rsidR="002F4B4C" w:rsidRPr="006D6EF0" w:rsidRDefault="002F4B4C" w:rsidP="002F4B4C">
      <w:pPr>
        <w:ind w:left="0"/>
        <w:jc w:val="both"/>
        <w:rPr>
          <w:rFonts w:ascii="Bookman Old Style" w:hAnsi="Bookman Old Style" w:cs="Arial"/>
        </w:rPr>
      </w:pPr>
    </w:p>
    <w:p w:rsidR="002F4B4C" w:rsidRPr="006D6EF0" w:rsidRDefault="002F4B4C" w:rsidP="002F4B4C">
      <w:pPr>
        <w:ind w:left="0"/>
        <w:jc w:val="both"/>
        <w:rPr>
          <w:rFonts w:ascii="Bookman Old Style" w:hAnsi="Bookman Old Style" w:cs="Arial"/>
        </w:rPr>
      </w:pPr>
      <w:r w:rsidRPr="006D6EF0">
        <w:rPr>
          <w:rFonts w:ascii="Bookman Old Style" w:hAnsi="Bookman Old Style" w:cs="Arial"/>
        </w:rPr>
        <w:t>Dada en Bogotá a los</w:t>
      </w:r>
    </w:p>
    <w:p w:rsidR="002F4B4C" w:rsidRPr="006D6EF0" w:rsidRDefault="002F4B4C" w:rsidP="002F4B4C">
      <w:pPr>
        <w:ind w:left="0"/>
        <w:jc w:val="both"/>
        <w:rPr>
          <w:rFonts w:ascii="Bookman Old Style" w:hAnsi="Bookman Old Style" w:cs="Arial"/>
        </w:rPr>
      </w:pPr>
    </w:p>
    <w:p w:rsidR="002F4B4C" w:rsidRDefault="002F4B4C" w:rsidP="002F4B4C">
      <w:pPr>
        <w:ind w:left="0"/>
        <w:jc w:val="both"/>
        <w:rPr>
          <w:rFonts w:ascii="Bookman Old Style" w:hAnsi="Bookman Old Style" w:cs="Arial"/>
        </w:rPr>
      </w:pPr>
    </w:p>
    <w:p w:rsidR="000251A0" w:rsidRDefault="000251A0" w:rsidP="002F4B4C">
      <w:pPr>
        <w:ind w:left="0"/>
        <w:jc w:val="both"/>
        <w:rPr>
          <w:rFonts w:ascii="Bookman Old Style" w:hAnsi="Bookman Old Style" w:cs="Arial"/>
        </w:rPr>
      </w:pPr>
    </w:p>
    <w:p w:rsidR="000251A0" w:rsidRPr="006D6EF0" w:rsidRDefault="000251A0" w:rsidP="002F4B4C">
      <w:pPr>
        <w:ind w:left="0"/>
        <w:jc w:val="both"/>
        <w:rPr>
          <w:rFonts w:ascii="Bookman Old Style" w:hAnsi="Bookman Old Style" w:cs="Arial"/>
        </w:rPr>
      </w:pPr>
    </w:p>
    <w:p w:rsidR="002F4B4C" w:rsidRPr="006D6EF0" w:rsidRDefault="002F4B4C" w:rsidP="002F4B4C">
      <w:pPr>
        <w:ind w:left="0"/>
        <w:jc w:val="both"/>
        <w:rPr>
          <w:rFonts w:ascii="Bookman Old Style" w:hAnsi="Bookman Old Style" w:cs="Arial"/>
        </w:rPr>
      </w:pPr>
    </w:p>
    <w:tbl>
      <w:tblPr>
        <w:tblW w:w="0" w:type="auto"/>
        <w:tblLook w:val="04A0" w:firstRow="1" w:lastRow="0" w:firstColumn="1" w:lastColumn="0" w:noHBand="0" w:noVBand="1"/>
      </w:tblPr>
      <w:tblGrid>
        <w:gridCol w:w="4773"/>
        <w:gridCol w:w="4774"/>
      </w:tblGrid>
      <w:tr w:rsidR="002F4B4C" w:rsidRPr="006D6EF0" w:rsidTr="003E5BC2">
        <w:tc>
          <w:tcPr>
            <w:tcW w:w="4773" w:type="dxa"/>
          </w:tcPr>
          <w:p w:rsidR="002F4B4C" w:rsidRPr="006D6EF0" w:rsidRDefault="002F4B4C" w:rsidP="00C65458">
            <w:pPr>
              <w:ind w:left="0"/>
              <w:jc w:val="center"/>
              <w:rPr>
                <w:rFonts w:ascii="Bookman Old Style" w:hAnsi="Bookman Old Style" w:cs="Arial"/>
                <w:b/>
              </w:rPr>
            </w:pPr>
            <w:r w:rsidRPr="006D6EF0">
              <w:rPr>
                <w:rFonts w:ascii="Bookman Old Style" w:hAnsi="Bookman Old Style" w:cs="Arial"/>
                <w:b/>
              </w:rPr>
              <w:t>TOMÁS GONZ</w:t>
            </w:r>
            <w:r w:rsidR="00C65458">
              <w:rPr>
                <w:rFonts w:ascii="Bookman Old Style" w:hAnsi="Bookman Old Style" w:cs="Arial"/>
                <w:b/>
              </w:rPr>
              <w:t>Á</w:t>
            </w:r>
            <w:r w:rsidRPr="006D6EF0">
              <w:rPr>
                <w:rFonts w:ascii="Bookman Old Style" w:hAnsi="Bookman Old Style" w:cs="Arial"/>
                <w:b/>
              </w:rPr>
              <w:t>LEZ ESTRADA</w:t>
            </w:r>
          </w:p>
        </w:tc>
        <w:tc>
          <w:tcPr>
            <w:tcW w:w="4774" w:type="dxa"/>
          </w:tcPr>
          <w:p w:rsidR="002F4B4C" w:rsidRPr="006D6EF0" w:rsidRDefault="002F4B4C" w:rsidP="00C65458">
            <w:pPr>
              <w:ind w:left="0"/>
              <w:jc w:val="center"/>
              <w:rPr>
                <w:rFonts w:ascii="Bookman Old Style" w:hAnsi="Bookman Old Style" w:cs="Arial"/>
              </w:rPr>
            </w:pPr>
            <w:r w:rsidRPr="006D6EF0">
              <w:rPr>
                <w:rFonts w:ascii="Bookman Old Style" w:hAnsi="Bookman Old Style" w:cs="Arial"/>
                <w:b/>
              </w:rPr>
              <w:t>JAVIER AUGUSTO D</w:t>
            </w:r>
            <w:r w:rsidR="00C65458">
              <w:rPr>
                <w:rFonts w:ascii="Bookman Old Style" w:hAnsi="Bookman Old Style" w:cs="Arial"/>
                <w:b/>
              </w:rPr>
              <w:t>Í</w:t>
            </w:r>
            <w:r w:rsidRPr="006D6EF0">
              <w:rPr>
                <w:rFonts w:ascii="Bookman Old Style" w:hAnsi="Bookman Old Style" w:cs="Arial"/>
                <w:b/>
              </w:rPr>
              <w:t>AZ VELASCO</w:t>
            </w:r>
          </w:p>
        </w:tc>
      </w:tr>
      <w:tr w:rsidR="002F4B4C" w:rsidRPr="006D6EF0" w:rsidTr="003E5BC2">
        <w:tc>
          <w:tcPr>
            <w:tcW w:w="4773" w:type="dxa"/>
          </w:tcPr>
          <w:p w:rsidR="002F4B4C" w:rsidRPr="006D6EF0" w:rsidRDefault="002F4B4C" w:rsidP="003E5BC2">
            <w:pPr>
              <w:ind w:left="0"/>
              <w:jc w:val="center"/>
              <w:rPr>
                <w:rFonts w:ascii="Bookman Old Style" w:hAnsi="Bookman Old Style" w:cs="Arial"/>
              </w:rPr>
            </w:pPr>
            <w:r w:rsidRPr="006D6EF0">
              <w:rPr>
                <w:rFonts w:ascii="Bookman Old Style" w:hAnsi="Bookman Old Style" w:cs="Arial"/>
              </w:rPr>
              <w:t>Viceministro de Minas y Energía</w:t>
            </w:r>
          </w:p>
          <w:p w:rsidR="002F4B4C" w:rsidRPr="006D6EF0" w:rsidRDefault="002F4B4C" w:rsidP="003E5BC2">
            <w:pPr>
              <w:ind w:left="0"/>
              <w:jc w:val="center"/>
              <w:rPr>
                <w:rFonts w:ascii="Bookman Old Style" w:hAnsi="Bookman Old Style" w:cs="Arial"/>
              </w:rPr>
            </w:pPr>
            <w:r w:rsidRPr="006D6EF0">
              <w:rPr>
                <w:rFonts w:ascii="Bookman Old Style" w:hAnsi="Bookman Old Style" w:cs="Arial"/>
              </w:rPr>
              <w:t>Delegad</w:t>
            </w:r>
            <w:r w:rsidR="000D7A62">
              <w:rPr>
                <w:rFonts w:ascii="Bookman Old Style" w:hAnsi="Bookman Old Style" w:cs="Arial"/>
              </w:rPr>
              <w:t>o</w:t>
            </w:r>
            <w:r w:rsidRPr="006D6EF0">
              <w:rPr>
                <w:rFonts w:ascii="Bookman Old Style" w:hAnsi="Bookman Old Style" w:cs="Arial"/>
              </w:rPr>
              <w:t xml:space="preserve"> del Ministro de Minas y Energía</w:t>
            </w:r>
          </w:p>
          <w:p w:rsidR="002F4B4C" w:rsidRPr="006D6EF0" w:rsidRDefault="002F4B4C" w:rsidP="003E5BC2">
            <w:pPr>
              <w:ind w:left="0"/>
              <w:jc w:val="center"/>
              <w:rPr>
                <w:rFonts w:ascii="Bookman Old Style" w:hAnsi="Bookman Old Style" w:cs="Arial"/>
              </w:rPr>
            </w:pPr>
            <w:r w:rsidRPr="006D6EF0">
              <w:rPr>
                <w:rFonts w:ascii="Bookman Old Style" w:hAnsi="Bookman Old Style" w:cs="Arial"/>
              </w:rPr>
              <w:t>Presidente</w:t>
            </w:r>
          </w:p>
        </w:tc>
        <w:tc>
          <w:tcPr>
            <w:tcW w:w="4774" w:type="dxa"/>
          </w:tcPr>
          <w:p w:rsidR="002F4B4C" w:rsidRPr="006D6EF0" w:rsidRDefault="002F4B4C" w:rsidP="003E5BC2">
            <w:pPr>
              <w:ind w:left="0"/>
              <w:jc w:val="center"/>
              <w:rPr>
                <w:rFonts w:ascii="Bookman Old Style" w:hAnsi="Bookman Old Style" w:cs="Arial"/>
              </w:rPr>
            </w:pPr>
            <w:r w:rsidRPr="006D6EF0">
              <w:rPr>
                <w:rFonts w:ascii="Bookman Old Style" w:hAnsi="Bookman Old Style" w:cs="Arial"/>
              </w:rPr>
              <w:t>Director Ejecutivo</w:t>
            </w:r>
          </w:p>
          <w:p w:rsidR="002F4B4C" w:rsidRPr="006D6EF0" w:rsidRDefault="002F4B4C" w:rsidP="003E5BC2">
            <w:pPr>
              <w:ind w:left="0"/>
              <w:jc w:val="center"/>
              <w:rPr>
                <w:rFonts w:ascii="Bookman Old Style" w:hAnsi="Bookman Old Style" w:cs="Arial"/>
                <w:b/>
              </w:rPr>
            </w:pPr>
          </w:p>
          <w:p w:rsidR="002F4B4C" w:rsidRPr="006D6EF0" w:rsidRDefault="002F4B4C" w:rsidP="003E5BC2">
            <w:pPr>
              <w:ind w:left="0"/>
              <w:jc w:val="center"/>
              <w:rPr>
                <w:rFonts w:ascii="Bookman Old Style" w:hAnsi="Bookman Old Style" w:cs="Arial"/>
                <w:b/>
              </w:rPr>
            </w:pPr>
          </w:p>
        </w:tc>
      </w:tr>
    </w:tbl>
    <w:p w:rsidR="00B351B4" w:rsidRPr="006B4647" w:rsidRDefault="00B351B4" w:rsidP="00012259">
      <w:pPr>
        <w:ind w:left="0"/>
        <w:rPr>
          <w:rFonts w:ascii="Bookman Old Style" w:hAnsi="Bookman Old Style"/>
          <w:bCs/>
          <w:lang w:val="es-CO"/>
        </w:rPr>
      </w:pPr>
    </w:p>
    <w:sectPr w:rsidR="00B351B4" w:rsidRPr="006B4647" w:rsidSect="005A59EF">
      <w:headerReference w:type="default" r:id="rId10"/>
      <w:headerReference w:type="first" r:id="rId11"/>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928" w:rsidRDefault="00A63928">
      <w:r>
        <w:separator/>
      </w:r>
    </w:p>
  </w:endnote>
  <w:endnote w:type="continuationSeparator" w:id="0">
    <w:p w:rsidR="00A63928" w:rsidRDefault="00A6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928" w:rsidRDefault="00A63928">
      <w:r>
        <w:separator/>
      </w:r>
    </w:p>
  </w:footnote>
  <w:footnote w:type="continuationSeparator" w:id="0">
    <w:p w:rsidR="00A63928" w:rsidRDefault="00A63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28" w:rsidRDefault="00A63928" w:rsidP="00951F79">
    <w:pPr>
      <w:pStyle w:val="Ttulo1"/>
      <w:ind w:right="6"/>
      <w:jc w:val="left"/>
      <w:rPr>
        <w:rFonts w:ascii="Bookman Old Style" w:hAnsi="Bookman Old Style" w:cs="Arial"/>
        <w:b w:val="0"/>
        <w:sz w:val="22"/>
        <w:szCs w:val="22"/>
      </w:rPr>
    </w:pPr>
  </w:p>
  <w:p w:rsidR="00A63928" w:rsidRPr="00951F79" w:rsidRDefault="00A63928"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396578">
      <w:rPr>
        <w:rFonts w:ascii="Bookman Old Style" w:hAnsi="Bookman Old Style" w:cs="Arial"/>
        <w:b w:val="0"/>
        <w:noProof/>
        <w:sz w:val="22"/>
        <w:szCs w:val="22"/>
      </w:rPr>
      <w:t>6</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396578">
      <w:fldChar w:fldCharType="begin"/>
    </w:r>
    <w:r w:rsidR="00396578">
      <w:instrText xml:space="preserve"> NUMPAGES  \* MERGEFORMAT </w:instrText>
    </w:r>
    <w:r w:rsidR="00396578">
      <w:fldChar w:fldCharType="separate"/>
    </w:r>
    <w:r w:rsidR="00396578" w:rsidRPr="00396578">
      <w:rPr>
        <w:rFonts w:ascii="Bookman Old Style" w:hAnsi="Bookman Old Style" w:cs="Arial"/>
        <w:b w:val="0"/>
        <w:noProof/>
        <w:sz w:val="22"/>
        <w:szCs w:val="22"/>
      </w:rPr>
      <w:t>6</w:t>
    </w:r>
    <w:r w:rsidR="00396578">
      <w:rPr>
        <w:rFonts w:ascii="Bookman Old Style" w:hAnsi="Bookman Old Style" w:cs="Arial"/>
        <w:b w:val="0"/>
        <w:noProof/>
        <w:sz w:val="22"/>
        <w:szCs w:val="22"/>
      </w:rPr>
      <w:fldChar w:fldCharType="end"/>
    </w:r>
  </w:p>
  <w:p w:rsidR="00A63928" w:rsidRDefault="00A63928"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7216" behindDoc="0" locked="0" layoutInCell="1" allowOverlap="1" wp14:anchorId="70E746A8" wp14:editId="738E9A8E">
              <wp:simplePos x="0" y="0"/>
              <wp:positionH relativeFrom="column">
                <wp:posOffset>-175260</wp:posOffset>
              </wp:positionH>
              <wp:positionV relativeFrom="paragraph">
                <wp:posOffset>139065</wp:posOffset>
              </wp:positionV>
              <wp:extent cx="6267450" cy="9900920"/>
              <wp:effectExtent l="9525" t="12065" r="9525" b="1206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A63928" w:rsidRPr="00437D0D" w:rsidRDefault="00A63928" w:rsidP="00437D0D">
    <w:pPr>
      <w:ind w:left="0"/>
      <w:jc w:val="center"/>
      <w:rPr>
        <w:rFonts w:ascii="Bookman Old Style" w:hAnsi="Bookman Old Style" w:cs="Arial"/>
        <w:sz w:val="22"/>
        <w:szCs w:val="22"/>
      </w:rPr>
    </w:pPr>
    <w:r w:rsidRPr="00437D0D">
      <w:rPr>
        <w:rFonts w:ascii="Bookman Old Style" w:hAnsi="Bookman Old Style" w:cs="Arial"/>
        <w:sz w:val="22"/>
        <w:szCs w:val="22"/>
      </w:rPr>
      <w:t>Por la cual se modifica el numeral 2.1.1 del RUT</w:t>
    </w:r>
  </w:p>
  <w:p w:rsidR="00A63928" w:rsidRPr="006B4647" w:rsidRDefault="00A63928" w:rsidP="00AD01E4">
    <w:pPr>
      <w:pBdr>
        <w:bottom w:val="single" w:sz="4" w:space="1" w:color="auto"/>
      </w:pBdr>
      <w:ind w:left="142" w:right="148"/>
      <w:rPr>
        <w:b/>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28" w:rsidRDefault="00A63928" w:rsidP="00025383">
    <w:pPr>
      <w:pStyle w:val="Encabezado"/>
      <w:jc w:val="both"/>
      <w:rPr>
        <w:rFonts w:ascii="Arial" w:hAnsi="Arial" w:cs="Arial"/>
        <w:spacing w:val="20"/>
        <w:sz w:val="20"/>
      </w:rPr>
    </w:pPr>
    <w:r>
      <w:rPr>
        <w:rFonts w:ascii="Arial" w:hAnsi="Arial" w:cs="Arial"/>
        <w:spacing w:val="20"/>
        <w:sz w:val="20"/>
      </w:rPr>
      <w:t xml:space="preserve">                                   República de Colombia</w:t>
    </w:r>
  </w:p>
  <w:p w:rsidR="00A63928" w:rsidRDefault="00A63928">
    <w:pPr>
      <w:pStyle w:val="Encabezado"/>
      <w:jc w:val="center"/>
      <w:rPr>
        <w:rFonts w:ascii="Arial" w:hAnsi="Arial" w:cs="Arial"/>
        <w:spacing w:val="20"/>
        <w:sz w:val="20"/>
      </w:rPr>
    </w:pPr>
  </w:p>
  <w:p w:rsidR="00A63928" w:rsidRDefault="00A63928"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052351A1"/>
    <w:multiLevelType w:val="hybridMultilevel"/>
    <w:tmpl w:val="B2C01806"/>
    <w:lvl w:ilvl="0" w:tplc="DA767208">
      <w:start w:val="1"/>
      <w:numFmt w:val="lowerRoman"/>
      <w:lvlText w:val="(%1)"/>
      <w:lvlJc w:val="left"/>
      <w:pPr>
        <w:ind w:left="1800" w:hanging="720"/>
      </w:pPr>
      <w:rPr>
        <w:rFonts w:hint="default"/>
      </w:rPr>
    </w:lvl>
    <w:lvl w:ilvl="1" w:tplc="240A0011">
      <w:start w:val="1"/>
      <w:numFmt w:val="decimal"/>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nsid w:val="062F5F10"/>
    <w:multiLevelType w:val="hybridMultilevel"/>
    <w:tmpl w:val="42648336"/>
    <w:lvl w:ilvl="0" w:tplc="2AAA430E">
      <w:start w:val="1"/>
      <w:numFmt w:val="bullet"/>
      <w:lvlText w:val="•"/>
      <w:lvlJc w:val="left"/>
      <w:pPr>
        <w:tabs>
          <w:tab w:val="num" w:pos="720"/>
        </w:tabs>
        <w:ind w:left="720" w:hanging="360"/>
      </w:pPr>
      <w:rPr>
        <w:rFonts w:ascii="Arial" w:hAnsi="Arial" w:hint="default"/>
      </w:rPr>
    </w:lvl>
    <w:lvl w:ilvl="1" w:tplc="C8B8F2B8" w:tentative="1">
      <w:start w:val="1"/>
      <w:numFmt w:val="bullet"/>
      <w:lvlText w:val="•"/>
      <w:lvlJc w:val="left"/>
      <w:pPr>
        <w:tabs>
          <w:tab w:val="num" w:pos="1440"/>
        </w:tabs>
        <w:ind w:left="1440" w:hanging="360"/>
      </w:pPr>
      <w:rPr>
        <w:rFonts w:ascii="Arial" w:hAnsi="Arial" w:hint="default"/>
      </w:rPr>
    </w:lvl>
    <w:lvl w:ilvl="2" w:tplc="030E73CE" w:tentative="1">
      <w:start w:val="1"/>
      <w:numFmt w:val="bullet"/>
      <w:lvlText w:val="•"/>
      <w:lvlJc w:val="left"/>
      <w:pPr>
        <w:tabs>
          <w:tab w:val="num" w:pos="2160"/>
        </w:tabs>
        <w:ind w:left="2160" w:hanging="360"/>
      </w:pPr>
      <w:rPr>
        <w:rFonts w:ascii="Arial" w:hAnsi="Arial" w:hint="default"/>
      </w:rPr>
    </w:lvl>
    <w:lvl w:ilvl="3" w:tplc="24E02CF6" w:tentative="1">
      <w:start w:val="1"/>
      <w:numFmt w:val="bullet"/>
      <w:lvlText w:val="•"/>
      <w:lvlJc w:val="left"/>
      <w:pPr>
        <w:tabs>
          <w:tab w:val="num" w:pos="2880"/>
        </w:tabs>
        <w:ind w:left="2880" w:hanging="360"/>
      </w:pPr>
      <w:rPr>
        <w:rFonts w:ascii="Arial" w:hAnsi="Arial" w:hint="default"/>
      </w:rPr>
    </w:lvl>
    <w:lvl w:ilvl="4" w:tplc="60947FDC" w:tentative="1">
      <w:start w:val="1"/>
      <w:numFmt w:val="bullet"/>
      <w:lvlText w:val="•"/>
      <w:lvlJc w:val="left"/>
      <w:pPr>
        <w:tabs>
          <w:tab w:val="num" w:pos="3600"/>
        </w:tabs>
        <w:ind w:left="3600" w:hanging="360"/>
      </w:pPr>
      <w:rPr>
        <w:rFonts w:ascii="Arial" w:hAnsi="Arial" w:hint="default"/>
      </w:rPr>
    </w:lvl>
    <w:lvl w:ilvl="5" w:tplc="AF5E4E4A" w:tentative="1">
      <w:start w:val="1"/>
      <w:numFmt w:val="bullet"/>
      <w:lvlText w:val="•"/>
      <w:lvlJc w:val="left"/>
      <w:pPr>
        <w:tabs>
          <w:tab w:val="num" w:pos="4320"/>
        </w:tabs>
        <w:ind w:left="4320" w:hanging="360"/>
      </w:pPr>
      <w:rPr>
        <w:rFonts w:ascii="Arial" w:hAnsi="Arial" w:hint="default"/>
      </w:rPr>
    </w:lvl>
    <w:lvl w:ilvl="6" w:tplc="EF5ACE8E" w:tentative="1">
      <w:start w:val="1"/>
      <w:numFmt w:val="bullet"/>
      <w:lvlText w:val="•"/>
      <w:lvlJc w:val="left"/>
      <w:pPr>
        <w:tabs>
          <w:tab w:val="num" w:pos="5040"/>
        </w:tabs>
        <w:ind w:left="5040" w:hanging="360"/>
      </w:pPr>
      <w:rPr>
        <w:rFonts w:ascii="Arial" w:hAnsi="Arial" w:hint="default"/>
      </w:rPr>
    </w:lvl>
    <w:lvl w:ilvl="7" w:tplc="A9C0A2A0" w:tentative="1">
      <w:start w:val="1"/>
      <w:numFmt w:val="bullet"/>
      <w:lvlText w:val="•"/>
      <w:lvlJc w:val="left"/>
      <w:pPr>
        <w:tabs>
          <w:tab w:val="num" w:pos="5760"/>
        </w:tabs>
        <w:ind w:left="5760" w:hanging="360"/>
      </w:pPr>
      <w:rPr>
        <w:rFonts w:ascii="Arial" w:hAnsi="Arial" w:hint="default"/>
      </w:rPr>
    </w:lvl>
    <w:lvl w:ilvl="8" w:tplc="5C383F20" w:tentative="1">
      <w:start w:val="1"/>
      <w:numFmt w:val="bullet"/>
      <w:lvlText w:val="•"/>
      <w:lvlJc w:val="left"/>
      <w:pPr>
        <w:tabs>
          <w:tab w:val="num" w:pos="6480"/>
        </w:tabs>
        <w:ind w:left="6480" w:hanging="360"/>
      </w:pPr>
      <w:rPr>
        <w:rFonts w:ascii="Arial" w:hAnsi="Arial" w:hint="default"/>
      </w:rPr>
    </w:lvl>
  </w:abstractNum>
  <w:abstractNum w:abstractNumId="6">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84C4D9D"/>
    <w:multiLevelType w:val="hybridMultilevel"/>
    <w:tmpl w:val="756E58C0"/>
    <w:lvl w:ilvl="0" w:tplc="DA767208">
      <w:start w:val="1"/>
      <w:numFmt w:val="lowerRoman"/>
      <w:lvlText w:val="(%1)"/>
      <w:lvlJc w:val="left"/>
      <w:pPr>
        <w:ind w:left="1800" w:hanging="720"/>
      </w:pPr>
      <w:rPr>
        <w:rFonts w:hint="default"/>
      </w:rPr>
    </w:lvl>
    <w:lvl w:ilvl="1" w:tplc="240A0001">
      <w:start w:val="1"/>
      <w:numFmt w:val="bullet"/>
      <w:lvlText w:val=""/>
      <w:lvlJc w:val="left"/>
      <w:pPr>
        <w:ind w:left="2160" w:hanging="360"/>
      </w:pPr>
      <w:rPr>
        <w:rFonts w:ascii="Symbol" w:hAnsi="Symbol" w:hint="default"/>
      </w:r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6ED0799"/>
    <w:multiLevelType w:val="hybridMultilevel"/>
    <w:tmpl w:val="23D4BFB0"/>
    <w:lvl w:ilvl="0" w:tplc="91C6DC6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2E220FCE"/>
    <w:multiLevelType w:val="hybridMultilevel"/>
    <w:tmpl w:val="F8E6579E"/>
    <w:lvl w:ilvl="0" w:tplc="BEDC9F06">
      <w:start w:val="1"/>
      <w:numFmt w:val="bullet"/>
      <w:lvlText w:val="•"/>
      <w:lvlJc w:val="left"/>
      <w:pPr>
        <w:tabs>
          <w:tab w:val="num" w:pos="720"/>
        </w:tabs>
        <w:ind w:left="720" w:hanging="360"/>
      </w:pPr>
      <w:rPr>
        <w:rFonts w:ascii="Arial" w:hAnsi="Arial" w:hint="default"/>
      </w:rPr>
    </w:lvl>
    <w:lvl w:ilvl="1" w:tplc="28A6E008" w:tentative="1">
      <w:start w:val="1"/>
      <w:numFmt w:val="bullet"/>
      <w:lvlText w:val="•"/>
      <w:lvlJc w:val="left"/>
      <w:pPr>
        <w:tabs>
          <w:tab w:val="num" w:pos="1440"/>
        </w:tabs>
        <w:ind w:left="1440" w:hanging="360"/>
      </w:pPr>
      <w:rPr>
        <w:rFonts w:ascii="Arial" w:hAnsi="Arial" w:hint="default"/>
      </w:rPr>
    </w:lvl>
    <w:lvl w:ilvl="2" w:tplc="410826C8" w:tentative="1">
      <w:start w:val="1"/>
      <w:numFmt w:val="bullet"/>
      <w:lvlText w:val="•"/>
      <w:lvlJc w:val="left"/>
      <w:pPr>
        <w:tabs>
          <w:tab w:val="num" w:pos="2160"/>
        </w:tabs>
        <w:ind w:left="2160" w:hanging="360"/>
      </w:pPr>
      <w:rPr>
        <w:rFonts w:ascii="Arial" w:hAnsi="Arial" w:hint="default"/>
      </w:rPr>
    </w:lvl>
    <w:lvl w:ilvl="3" w:tplc="1C3221E0" w:tentative="1">
      <w:start w:val="1"/>
      <w:numFmt w:val="bullet"/>
      <w:lvlText w:val="•"/>
      <w:lvlJc w:val="left"/>
      <w:pPr>
        <w:tabs>
          <w:tab w:val="num" w:pos="2880"/>
        </w:tabs>
        <w:ind w:left="2880" w:hanging="360"/>
      </w:pPr>
      <w:rPr>
        <w:rFonts w:ascii="Arial" w:hAnsi="Arial" w:hint="default"/>
      </w:rPr>
    </w:lvl>
    <w:lvl w:ilvl="4" w:tplc="0634537A" w:tentative="1">
      <w:start w:val="1"/>
      <w:numFmt w:val="bullet"/>
      <w:lvlText w:val="•"/>
      <w:lvlJc w:val="left"/>
      <w:pPr>
        <w:tabs>
          <w:tab w:val="num" w:pos="3600"/>
        </w:tabs>
        <w:ind w:left="3600" w:hanging="360"/>
      </w:pPr>
      <w:rPr>
        <w:rFonts w:ascii="Arial" w:hAnsi="Arial" w:hint="default"/>
      </w:rPr>
    </w:lvl>
    <w:lvl w:ilvl="5" w:tplc="E80A8162" w:tentative="1">
      <w:start w:val="1"/>
      <w:numFmt w:val="bullet"/>
      <w:lvlText w:val="•"/>
      <w:lvlJc w:val="left"/>
      <w:pPr>
        <w:tabs>
          <w:tab w:val="num" w:pos="4320"/>
        </w:tabs>
        <w:ind w:left="4320" w:hanging="360"/>
      </w:pPr>
      <w:rPr>
        <w:rFonts w:ascii="Arial" w:hAnsi="Arial" w:hint="default"/>
      </w:rPr>
    </w:lvl>
    <w:lvl w:ilvl="6" w:tplc="006473DE" w:tentative="1">
      <w:start w:val="1"/>
      <w:numFmt w:val="bullet"/>
      <w:lvlText w:val="•"/>
      <w:lvlJc w:val="left"/>
      <w:pPr>
        <w:tabs>
          <w:tab w:val="num" w:pos="5040"/>
        </w:tabs>
        <w:ind w:left="5040" w:hanging="360"/>
      </w:pPr>
      <w:rPr>
        <w:rFonts w:ascii="Arial" w:hAnsi="Arial" w:hint="default"/>
      </w:rPr>
    </w:lvl>
    <w:lvl w:ilvl="7" w:tplc="9C68B250" w:tentative="1">
      <w:start w:val="1"/>
      <w:numFmt w:val="bullet"/>
      <w:lvlText w:val="•"/>
      <w:lvlJc w:val="left"/>
      <w:pPr>
        <w:tabs>
          <w:tab w:val="num" w:pos="5760"/>
        </w:tabs>
        <w:ind w:left="5760" w:hanging="360"/>
      </w:pPr>
      <w:rPr>
        <w:rFonts w:ascii="Arial" w:hAnsi="Arial" w:hint="default"/>
      </w:rPr>
    </w:lvl>
    <w:lvl w:ilvl="8" w:tplc="35C411D0" w:tentative="1">
      <w:start w:val="1"/>
      <w:numFmt w:val="bullet"/>
      <w:lvlText w:val="•"/>
      <w:lvlJc w:val="left"/>
      <w:pPr>
        <w:tabs>
          <w:tab w:val="num" w:pos="6480"/>
        </w:tabs>
        <w:ind w:left="6480" w:hanging="360"/>
      </w:pPr>
      <w:rPr>
        <w:rFonts w:ascii="Arial" w:hAnsi="Arial" w:hint="default"/>
      </w:rPr>
    </w:lvl>
  </w:abstractNum>
  <w:abstractNum w:abstractNumId="11">
    <w:nsid w:val="317F19E5"/>
    <w:multiLevelType w:val="hybridMultilevel"/>
    <w:tmpl w:val="0C8A65FE"/>
    <w:lvl w:ilvl="0" w:tplc="DA767208">
      <w:start w:val="1"/>
      <w:numFmt w:val="lowerRoman"/>
      <w:lvlText w:val="(%1)"/>
      <w:lvlJc w:val="left"/>
      <w:pPr>
        <w:ind w:left="3414" w:hanging="720"/>
      </w:pPr>
      <w:rPr>
        <w:rFonts w:hint="default"/>
      </w:rPr>
    </w:lvl>
    <w:lvl w:ilvl="1" w:tplc="240A0019">
      <w:start w:val="1"/>
      <w:numFmt w:val="lowerLetter"/>
      <w:lvlText w:val="%2."/>
      <w:lvlJc w:val="left"/>
      <w:pPr>
        <w:ind w:left="3774" w:hanging="360"/>
      </w:pPr>
    </w:lvl>
    <w:lvl w:ilvl="2" w:tplc="240A001B" w:tentative="1">
      <w:start w:val="1"/>
      <w:numFmt w:val="lowerRoman"/>
      <w:lvlText w:val="%3."/>
      <w:lvlJc w:val="right"/>
      <w:pPr>
        <w:ind w:left="4494" w:hanging="180"/>
      </w:pPr>
    </w:lvl>
    <w:lvl w:ilvl="3" w:tplc="240A000F" w:tentative="1">
      <w:start w:val="1"/>
      <w:numFmt w:val="decimal"/>
      <w:lvlText w:val="%4."/>
      <w:lvlJc w:val="left"/>
      <w:pPr>
        <w:ind w:left="5214" w:hanging="360"/>
      </w:pPr>
    </w:lvl>
    <w:lvl w:ilvl="4" w:tplc="240A0019" w:tentative="1">
      <w:start w:val="1"/>
      <w:numFmt w:val="lowerLetter"/>
      <w:lvlText w:val="%5."/>
      <w:lvlJc w:val="left"/>
      <w:pPr>
        <w:ind w:left="5934" w:hanging="360"/>
      </w:pPr>
    </w:lvl>
    <w:lvl w:ilvl="5" w:tplc="240A001B" w:tentative="1">
      <w:start w:val="1"/>
      <w:numFmt w:val="lowerRoman"/>
      <w:lvlText w:val="%6."/>
      <w:lvlJc w:val="right"/>
      <w:pPr>
        <w:ind w:left="6654" w:hanging="180"/>
      </w:pPr>
    </w:lvl>
    <w:lvl w:ilvl="6" w:tplc="240A000F" w:tentative="1">
      <w:start w:val="1"/>
      <w:numFmt w:val="decimal"/>
      <w:lvlText w:val="%7."/>
      <w:lvlJc w:val="left"/>
      <w:pPr>
        <w:ind w:left="7374" w:hanging="360"/>
      </w:pPr>
    </w:lvl>
    <w:lvl w:ilvl="7" w:tplc="240A0019" w:tentative="1">
      <w:start w:val="1"/>
      <w:numFmt w:val="lowerLetter"/>
      <w:lvlText w:val="%8."/>
      <w:lvlJc w:val="left"/>
      <w:pPr>
        <w:ind w:left="8094" w:hanging="360"/>
      </w:pPr>
    </w:lvl>
    <w:lvl w:ilvl="8" w:tplc="240A001B" w:tentative="1">
      <w:start w:val="1"/>
      <w:numFmt w:val="lowerRoman"/>
      <w:lvlText w:val="%9."/>
      <w:lvlJc w:val="right"/>
      <w:pPr>
        <w:ind w:left="8814" w:hanging="180"/>
      </w:pPr>
    </w:lvl>
  </w:abstractNum>
  <w:abstractNum w:abstractNumId="12">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4">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6">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0"/>
  </w:num>
  <w:num w:numId="4">
    <w:abstractNumId w:val="8"/>
  </w:num>
  <w:num w:numId="5">
    <w:abstractNumId w:val="16"/>
  </w:num>
  <w:num w:numId="6">
    <w:abstractNumId w:val="3"/>
  </w:num>
  <w:num w:numId="7">
    <w:abstractNumId w:val="2"/>
  </w:num>
  <w:num w:numId="8">
    <w:abstractNumId w:val="18"/>
  </w:num>
  <w:num w:numId="9">
    <w:abstractNumId w:val="17"/>
  </w:num>
  <w:num w:numId="10">
    <w:abstractNumId w:val="14"/>
  </w:num>
  <w:num w:numId="11">
    <w:abstractNumId w:val="21"/>
  </w:num>
  <w:num w:numId="12">
    <w:abstractNumId w:val="19"/>
  </w:num>
  <w:num w:numId="13">
    <w:abstractNumId w:val="12"/>
  </w:num>
  <w:num w:numId="14">
    <w:abstractNumId w:val="1"/>
  </w:num>
  <w:num w:numId="15">
    <w:abstractNumId w:val="15"/>
  </w:num>
  <w:num w:numId="16">
    <w:abstractNumId w:val="0"/>
  </w:num>
  <w:num w:numId="17">
    <w:abstractNumId w:val="9"/>
  </w:num>
  <w:num w:numId="18">
    <w:abstractNumId w:val="11"/>
  </w:num>
  <w:num w:numId="19">
    <w:abstractNumId w:val="5"/>
  </w:num>
  <w:num w:numId="20">
    <w:abstractNumId w:val="10"/>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40"/>
    <w:rsid w:val="00006AE2"/>
    <w:rsid w:val="000076A1"/>
    <w:rsid w:val="00012259"/>
    <w:rsid w:val="000157E7"/>
    <w:rsid w:val="000251A0"/>
    <w:rsid w:val="00025383"/>
    <w:rsid w:val="00063657"/>
    <w:rsid w:val="00076680"/>
    <w:rsid w:val="00076A1D"/>
    <w:rsid w:val="0008073E"/>
    <w:rsid w:val="00086187"/>
    <w:rsid w:val="00091465"/>
    <w:rsid w:val="00091CDB"/>
    <w:rsid w:val="000A19AC"/>
    <w:rsid w:val="000D26F8"/>
    <w:rsid w:val="000D7801"/>
    <w:rsid w:val="000D7A62"/>
    <w:rsid w:val="00115FD3"/>
    <w:rsid w:val="001405C6"/>
    <w:rsid w:val="00141013"/>
    <w:rsid w:val="001520C5"/>
    <w:rsid w:val="0016768B"/>
    <w:rsid w:val="00192CBF"/>
    <w:rsid w:val="00192FF1"/>
    <w:rsid w:val="00197A30"/>
    <w:rsid w:val="001A5F1B"/>
    <w:rsid w:val="001B1C22"/>
    <w:rsid w:val="001B34C6"/>
    <w:rsid w:val="001D7832"/>
    <w:rsid w:val="001F6470"/>
    <w:rsid w:val="00211D34"/>
    <w:rsid w:val="00214F04"/>
    <w:rsid w:val="002270B0"/>
    <w:rsid w:val="002421F9"/>
    <w:rsid w:val="00266CD6"/>
    <w:rsid w:val="00275DAB"/>
    <w:rsid w:val="002A782A"/>
    <w:rsid w:val="002B11E2"/>
    <w:rsid w:val="002B24B8"/>
    <w:rsid w:val="002D3AE9"/>
    <w:rsid w:val="002D3E33"/>
    <w:rsid w:val="002D4510"/>
    <w:rsid w:val="002E6FFD"/>
    <w:rsid w:val="002F0734"/>
    <w:rsid w:val="002F46E7"/>
    <w:rsid w:val="002F4B4C"/>
    <w:rsid w:val="003101DA"/>
    <w:rsid w:val="00314757"/>
    <w:rsid w:val="003211CE"/>
    <w:rsid w:val="0035403A"/>
    <w:rsid w:val="00356259"/>
    <w:rsid w:val="0036394B"/>
    <w:rsid w:val="00366098"/>
    <w:rsid w:val="003676A3"/>
    <w:rsid w:val="003709B5"/>
    <w:rsid w:val="003759C2"/>
    <w:rsid w:val="00396578"/>
    <w:rsid w:val="00397365"/>
    <w:rsid w:val="003A31F6"/>
    <w:rsid w:val="003C3447"/>
    <w:rsid w:val="003D076C"/>
    <w:rsid w:val="003D2D8B"/>
    <w:rsid w:val="003E5BC2"/>
    <w:rsid w:val="003E78B5"/>
    <w:rsid w:val="0040363C"/>
    <w:rsid w:val="00413977"/>
    <w:rsid w:val="00415BAB"/>
    <w:rsid w:val="00415ED2"/>
    <w:rsid w:val="0042068C"/>
    <w:rsid w:val="00437D0D"/>
    <w:rsid w:val="00437D9E"/>
    <w:rsid w:val="0047122B"/>
    <w:rsid w:val="00473B7A"/>
    <w:rsid w:val="004902C0"/>
    <w:rsid w:val="004960E9"/>
    <w:rsid w:val="004A2E88"/>
    <w:rsid w:val="004A5305"/>
    <w:rsid w:val="004A5888"/>
    <w:rsid w:val="004A6C06"/>
    <w:rsid w:val="004C38E5"/>
    <w:rsid w:val="004D68BA"/>
    <w:rsid w:val="004D7634"/>
    <w:rsid w:val="004F639D"/>
    <w:rsid w:val="005300D3"/>
    <w:rsid w:val="00544F82"/>
    <w:rsid w:val="00593C4F"/>
    <w:rsid w:val="005946A8"/>
    <w:rsid w:val="005A4407"/>
    <w:rsid w:val="005A59EF"/>
    <w:rsid w:val="005B7CF1"/>
    <w:rsid w:val="005C6976"/>
    <w:rsid w:val="005E1D5D"/>
    <w:rsid w:val="005E7283"/>
    <w:rsid w:val="005E7CDD"/>
    <w:rsid w:val="005F6F41"/>
    <w:rsid w:val="00625DC6"/>
    <w:rsid w:val="00641C6C"/>
    <w:rsid w:val="0064391D"/>
    <w:rsid w:val="00651821"/>
    <w:rsid w:val="00654384"/>
    <w:rsid w:val="006615EC"/>
    <w:rsid w:val="006675CD"/>
    <w:rsid w:val="00684D9B"/>
    <w:rsid w:val="00685B80"/>
    <w:rsid w:val="00697556"/>
    <w:rsid w:val="006B4647"/>
    <w:rsid w:val="006B4C2B"/>
    <w:rsid w:val="006B6D47"/>
    <w:rsid w:val="006C5AFE"/>
    <w:rsid w:val="006F6D95"/>
    <w:rsid w:val="00700382"/>
    <w:rsid w:val="00706F13"/>
    <w:rsid w:val="007072E8"/>
    <w:rsid w:val="0071618D"/>
    <w:rsid w:val="00725FA4"/>
    <w:rsid w:val="00730D49"/>
    <w:rsid w:val="00740446"/>
    <w:rsid w:val="007438A9"/>
    <w:rsid w:val="0074491E"/>
    <w:rsid w:val="0076247A"/>
    <w:rsid w:val="00775964"/>
    <w:rsid w:val="007765FE"/>
    <w:rsid w:val="00795BFB"/>
    <w:rsid w:val="007A1075"/>
    <w:rsid w:val="007B2760"/>
    <w:rsid w:val="007B6F0E"/>
    <w:rsid w:val="007C752F"/>
    <w:rsid w:val="00806C01"/>
    <w:rsid w:val="00813137"/>
    <w:rsid w:val="008148CC"/>
    <w:rsid w:val="008211A4"/>
    <w:rsid w:val="008333A6"/>
    <w:rsid w:val="00873150"/>
    <w:rsid w:val="0087657D"/>
    <w:rsid w:val="008807D5"/>
    <w:rsid w:val="00880832"/>
    <w:rsid w:val="00886EE1"/>
    <w:rsid w:val="0088727D"/>
    <w:rsid w:val="00896940"/>
    <w:rsid w:val="00897C75"/>
    <w:rsid w:val="008C1130"/>
    <w:rsid w:val="008D18E6"/>
    <w:rsid w:val="008D7A9B"/>
    <w:rsid w:val="008E76AC"/>
    <w:rsid w:val="008F21F6"/>
    <w:rsid w:val="008F5A2D"/>
    <w:rsid w:val="00916791"/>
    <w:rsid w:val="00951F79"/>
    <w:rsid w:val="009636C9"/>
    <w:rsid w:val="00970EE6"/>
    <w:rsid w:val="00972B7C"/>
    <w:rsid w:val="00974AB5"/>
    <w:rsid w:val="0098706D"/>
    <w:rsid w:val="009935FB"/>
    <w:rsid w:val="009F4A54"/>
    <w:rsid w:val="009F4BEC"/>
    <w:rsid w:val="00A167B9"/>
    <w:rsid w:val="00A25FD7"/>
    <w:rsid w:val="00A43AFF"/>
    <w:rsid w:val="00A63928"/>
    <w:rsid w:val="00A7793A"/>
    <w:rsid w:val="00AA0057"/>
    <w:rsid w:val="00AA4CC7"/>
    <w:rsid w:val="00AA5E8E"/>
    <w:rsid w:val="00AA66BD"/>
    <w:rsid w:val="00AB6CA7"/>
    <w:rsid w:val="00AC0221"/>
    <w:rsid w:val="00AD01E4"/>
    <w:rsid w:val="00AD0858"/>
    <w:rsid w:val="00AE7340"/>
    <w:rsid w:val="00AF1BBD"/>
    <w:rsid w:val="00B10207"/>
    <w:rsid w:val="00B141E7"/>
    <w:rsid w:val="00B351B4"/>
    <w:rsid w:val="00B46BCA"/>
    <w:rsid w:val="00B87806"/>
    <w:rsid w:val="00B87EC9"/>
    <w:rsid w:val="00B929A9"/>
    <w:rsid w:val="00BC38FD"/>
    <w:rsid w:val="00BE1EF2"/>
    <w:rsid w:val="00C01932"/>
    <w:rsid w:val="00C034CB"/>
    <w:rsid w:val="00C051A8"/>
    <w:rsid w:val="00C054BC"/>
    <w:rsid w:val="00C15DE6"/>
    <w:rsid w:val="00C17897"/>
    <w:rsid w:val="00C409D5"/>
    <w:rsid w:val="00C435C3"/>
    <w:rsid w:val="00C54165"/>
    <w:rsid w:val="00C6002E"/>
    <w:rsid w:val="00C6234B"/>
    <w:rsid w:val="00C63EAE"/>
    <w:rsid w:val="00C65458"/>
    <w:rsid w:val="00C65956"/>
    <w:rsid w:val="00C7629F"/>
    <w:rsid w:val="00C8661B"/>
    <w:rsid w:val="00C90AEF"/>
    <w:rsid w:val="00C918BC"/>
    <w:rsid w:val="00CA139A"/>
    <w:rsid w:val="00CA2899"/>
    <w:rsid w:val="00CA3A3D"/>
    <w:rsid w:val="00CA77FB"/>
    <w:rsid w:val="00CB379B"/>
    <w:rsid w:val="00CB5DD0"/>
    <w:rsid w:val="00CC392E"/>
    <w:rsid w:val="00CC51D4"/>
    <w:rsid w:val="00CC65DA"/>
    <w:rsid w:val="00CD1BAA"/>
    <w:rsid w:val="00CF21B9"/>
    <w:rsid w:val="00CF6BF9"/>
    <w:rsid w:val="00D03800"/>
    <w:rsid w:val="00D065D3"/>
    <w:rsid w:val="00D14C94"/>
    <w:rsid w:val="00D342A6"/>
    <w:rsid w:val="00D464BF"/>
    <w:rsid w:val="00D53E26"/>
    <w:rsid w:val="00D8328C"/>
    <w:rsid w:val="00D95767"/>
    <w:rsid w:val="00D95C2B"/>
    <w:rsid w:val="00DD4F0E"/>
    <w:rsid w:val="00DD656B"/>
    <w:rsid w:val="00DF0BF0"/>
    <w:rsid w:val="00E01463"/>
    <w:rsid w:val="00E05E0A"/>
    <w:rsid w:val="00E226C7"/>
    <w:rsid w:val="00E534CF"/>
    <w:rsid w:val="00E65AE9"/>
    <w:rsid w:val="00E65FAB"/>
    <w:rsid w:val="00E7485B"/>
    <w:rsid w:val="00E81CB4"/>
    <w:rsid w:val="00E8585B"/>
    <w:rsid w:val="00E86FD1"/>
    <w:rsid w:val="00E96922"/>
    <w:rsid w:val="00EA1B91"/>
    <w:rsid w:val="00EA3F15"/>
    <w:rsid w:val="00EA49A8"/>
    <w:rsid w:val="00EA7847"/>
    <w:rsid w:val="00EB34E6"/>
    <w:rsid w:val="00EE2E6E"/>
    <w:rsid w:val="00EE74F2"/>
    <w:rsid w:val="00F0759E"/>
    <w:rsid w:val="00F16A43"/>
    <w:rsid w:val="00F821A3"/>
    <w:rsid w:val="00F9314A"/>
    <w:rsid w:val="00FA609C"/>
    <w:rsid w:val="00FC58EF"/>
    <w:rsid w:val="00FD33DF"/>
    <w:rsid w:val="00FD45D9"/>
    <w:rsid w:val="00FD79B2"/>
    <w:rsid w:val="00FE1E3D"/>
    <w:rsid w:val="00FE39D7"/>
    <w:rsid w:val="00FF36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character" w:styleId="nfasis">
    <w:name w:val="Emphasis"/>
    <w:uiPriority w:val="20"/>
    <w:qFormat/>
    <w:rsid w:val="002F4B4C"/>
    <w:rPr>
      <w:i/>
      <w:iCs/>
    </w:rPr>
  </w:style>
  <w:style w:type="character" w:styleId="Textoennegrita">
    <w:name w:val="Strong"/>
    <w:uiPriority w:val="22"/>
    <w:qFormat/>
    <w:rsid w:val="002F4B4C"/>
    <w:rPr>
      <w:b/>
      <w:bCs/>
    </w:rPr>
  </w:style>
  <w:style w:type="paragraph" w:styleId="Textonotapie">
    <w:name w:val="footnote text"/>
    <w:basedOn w:val="Normal"/>
    <w:link w:val="TextonotapieCar"/>
    <w:uiPriority w:val="99"/>
    <w:semiHidden/>
    <w:unhideWhenUsed/>
    <w:rsid w:val="002F4B4C"/>
    <w:rPr>
      <w:sz w:val="20"/>
      <w:szCs w:val="20"/>
    </w:rPr>
  </w:style>
  <w:style w:type="character" w:customStyle="1" w:styleId="TextonotapieCar">
    <w:name w:val="Texto nota pie Car"/>
    <w:link w:val="Textonotapie"/>
    <w:uiPriority w:val="99"/>
    <w:semiHidden/>
    <w:rsid w:val="002F4B4C"/>
    <w:rPr>
      <w:lang w:val="es-ES" w:eastAsia="es-ES"/>
    </w:rPr>
  </w:style>
  <w:style w:type="character" w:styleId="Refdenotaalpie">
    <w:name w:val="footnote reference"/>
    <w:uiPriority w:val="99"/>
    <w:semiHidden/>
    <w:unhideWhenUsed/>
    <w:rsid w:val="002F4B4C"/>
    <w:rPr>
      <w:vertAlign w:val="superscript"/>
    </w:rPr>
  </w:style>
  <w:style w:type="table" w:customStyle="1" w:styleId="Tablaconcuadrcula1">
    <w:name w:val="Tabla con cuadrícula1"/>
    <w:basedOn w:val="Tablanormal"/>
    <w:next w:val="Tablaconcuadrcula"/>
    <w:uiPriority w:val="59"/>
    <w:rsid w:val="00EA1B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1F6470"/>
    <w:rPr>
      <w:color w:val="808080"/>
    </w:rPr>
  </w:style>
  <w:style w:type="paragraph" w:styleId="NormalWeb">
    <w:name w:val="Normal (Web)"/>
    <w:basedOn w:val="Normal"/>
    <w:rsid w:val="00197A30"/>
    <w:pPr>
      <w:spacing w:before="100" w:beforeAutospacing="1" w:after="100" w:afterAutospacing="1"/>
      <w:ind w:left="0"/>
    </w:pPr>
    <w:rPr>
      <w:rFonts w:ascii="Arial Unicode MS" w:hAnsi="Arial Unicode MS"/>
      <w:lang w:val="it-IT" w:eastAsia="it-IT"/>
    </w:rPr>
  </w:style>
  <w:style w:type="character" w:styleId="Refdecomentario">
    <w:name w:val="annotation reference"/>
    <w:basedOn w:val="Fuentedeprrafopredeter"/>
    <w:uiPriority w:val="99"/>
    <w:semiHidden/>
    <w:unhideWhenUsed/>
    <w:rsid w:val="00197A30"/>
    <w:rPr>
      <w:sz w:val="16"/>
      <w:szCs w:val="16"/>
    </w:rPr>
  </w:style>
  <w:style w:type="paragraph" w:styleId="Textocomentario">
    <w:name w:val="annotation text"/>
    <w:basedOn w:val="Normal"/>
    <w:link w:val="TextocomentarioCar"/>
    <w:uiPriority w:val="99"/>
    <w:semiHidden/>
    <w:unhideWhenUsed/>
    <w:rsid w:val="00197A30"/>
    <w:pPr>
      <w:spacing w:after="200"/>
      <w:ind w:left="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semiHidden/>
    <w:rsid w:val="00197A30"/>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character" w:styleId="nfasis">
    <w:name w:val="Emphasis"/>
    <w:uiPriority w:val="20"/>
    <w:qFormat/>
    <w:rsid w:val="002F4B4C"/>
    <w:rPr>
      <w:i/>
      <w:iCs/>
    </w:rPr>
  </w:style>
  <w:style w:type="character" w:styleId="Textoennegrita">
    <w:name w:val="Strong"/>
    <w:uiPriority w:val="22"/>
    <w:qFormat/>
    <w:rsid w:val="002F4B4C"/>
    <w:rPr>
      <w:b/>
      <w:bCs/>
    </w:rPr>
  </w:style>
  <w:style w:type="paragraph" w:styleId="Textonotapie">
    <w:name w:val="footnote text"/>
    <w:basedOn w:val="Normal"/>
    <w:link w:val="TextonotapieCar"/>
    <w:uiPriority w:val="99"/>
    <w:semiHidden/>
    <w:unhideWhenUsed/>
    <w:rsid w:val="002F4B4C"/>
    <w:rPr>
      <w:sz w:val="20"/>
      <w:szCs w:val="20"/>
    </w:rPr>
  </w:style>
  <w:style w:type="character" w:customStyle="1" w:styleId="TextonotapieCar">
    <w:name w:val="Texto nota pie Car"/>
    <w:link w:val="Textonotapie"/>
    <w:uiPriority w:val="99"/>
    <w:semiHidden/>
    <w:rsid w:val="002F4B4C"/>
    <w:rPr>
      <w:lang w:val="es-ES" w:eastAsia="es-ES"/>
    </w:rPr>
  </w:style>
  <w:style w:type="character" w:styleId="Refdenotaalpie">
    <w:name w:val="footnote reference"/>
    <w:uiPriority w:val="99"/>
    <w:semiHidden/>
    <w:unhideWhenUsed/>
    <w:rsid w:val="002F4B4C"/>
    <w:rPr>
      <w:vertAlign w:val="superscript"/>
    </w:rPr>
  </w:style>
  <w:style w:type="table" w:customStyle="1" w:styleId="Tablaconcuadrcula1">
    <w:name w:val="Tabla con cuadrícula1"/>
    <w:basedOn w:val="Tablanormal"/>
    <w:next w:val="Tablaconcuadrcula"/>
    <w:uiPriority w:val="59"/>
    <w:rsid w:val="00EA1B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1F6470"/>
    <w:rPr>
      <w:color w:val="808080"/>
    </w:rPr>
  </w:style>
  <w:style w:type="paragraph" w:styleId="NormalWeb">
    <w:name w:val="Normal (Web)"/>
    <w:basedOn w:val="Normal"/>
    <w:rsid w:val="00197A30"/>
    <w:pPr>
      <w:spacing w:before="100" w:beforeAutospacing="1" w:after="100" w:afterAutospacing="1"/>
      <w:ind w:left="0"/>
    </w:pPr>
    <w:rPr>
      <w:rFonts w:ascii="Arial Unicode MS" w:hAnsi="Arial Unicode MS"/>
      <w:lang w:val="it-IT" w:eastAsia="it-IT"/>
    </w:rPr>
  </w:style>
  <w:style w:type="character" w:styleId="Refdecomentario">
    <w:name w:val="annotation reference"/>
    <w:basedOn w:val="Fuentedeprrafopredeter"/>
    <w:uiPriority w:val="99"/>
    <w:semiHidden/>
    <w:unhideWhenUsed/>
    <w:rsid w:val="00197A30"/>
    <w:rPr>
      <w:sz w:val="16"/>
      <w:szCs w:val="16"/>
    </w:rPr>
  </w:style>
  <w:style w:type="paragraph" w:styleId="Textocomentario">
    <w:name w:val="annotation text"/>
    <w:basedOn w:val="Normal"/>
    <w:link w:val="TextocomentarioCar"/>
    <w:uiPriority w:val="99"/>
    <w:semiHidden/>
    <w:unhideWhenUsed/>
    <w:rsid w:val="00197A30"/>
    <w:pPr>
      <w:spacing w:after="200"/>
      <w:ind w:left="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semiHidden/>
    <w:rsid w:val="00197A3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428229">
      <w:bodyDiv w:val="1"/>
      <w:marLeft w:val="0"/>
      <w:marRight w:val="0"/>
      <w:marTop w:val="0"/>
      <w:marBottom w:val="0"/>
      <w:divBdr>
        <w:top w:val="none" w:sz="0" w:space="0" w:color="auto"/>
        <w:left w:val="none" w:sz="0" w:space="0" w:color="auto"/>
        <w:bottom w:val="none" w:sz="0" w:space="0" w:color="auto"/>
        <w:right w:val="none" w:sz="0" w:space="0" w:color="auto"/>
      </w:divBdr>
      <w:divsChild>
        <w:div w:id="675957269">
          <w:marLeft w:val="144"/>
          <w:marRight w:val="0"/>
          <w:marTop w:val="0"/>
          <w:marBottom w:val="0"/>
          <w:divBdr>
            <w:top w:val="none" w:sz="0" w:space="0" w:color="auto"/>
            <w:left w:val="none" w:sz="0" w:space="0" w:color="auto"/>
            <w:bottom w:val="none" w:sz="0" w:space="0" w:color="auto"/>
            <w:right w:val="none" w:sz="0" w:space="0" w:color="auto"/>
          </w:divBdr>
        </w:div>
        <w:div w:id="180902658">
          <w:marLeft w:val="144"/>
          <w:marRight w:val="0"/>
          <w:marTop w:val="0"/>
          <w:marBottom w:val="0"/>
          <w:divBdr>
            <w:top w:val="none" w:sz="0" w:space="0" w:color="auto"/>
            <w:left w:val="none" w:sz="0" w:space="0" w:color="auto"/>
            <w:bottom w:val="none" w:sz="0" w:space="0" w:color="auto"/>
            <w:right w:val="none" w:sz="0" w:space="0" w:color="auto"/>
          </w:divBdr>
        </w:div>
        <w:div w:id="1319575190">
          <w:marLeft w:val="144"/>
          <w:marRight w:val="0"/>
          <w:marTop w:val="0"/>
          <w:marBottom w:val="0"/>
          <w:divBdr>
            <w:top w:val="none" w:sz="0" w:space="0" w:color="auto"/>
            <w:left w:val="none" w:sz="0" w:space="0" w:color="auto"/>
            <w:bottom w:val="none" w:sz="0" w:space="0" w:color="auto"/>
            <w:right w:val="none" w:sz="0" w:space="0" w:color="auto"/>
          </w:divBdr>
        </w:div>
        <w:div w:id="850146853">
          <w:marLeft w:val="144"/>
          <w:marRight w:val="0"/>
          <w:marTop w:val="0"/>
          <w:marBottom w:val="0"/>
          <w:divBdr>
            <w:top w:val="none" w:sz="0" w:space="0" w:color="auto"/>
            <w:left w:val="none" w:sz="0" w:space="0" w:color="auto"/>
            <w:bottom w:val="none" w:sz="0" w:space="0" w:color="auto"/>
            <w:right w:val="none" w:sz="0" w:space="0" w:color="auto"/>
          </w:divBdr>
        </w:div>
      </w:divsChild>
    </w:div>
    <w:div w:id="1611663990">
      <w:bodyDiv w:val="1"/>
      <w:marLeft w:val="0"/>
      <w:marRight w:val="0"/>
      <w:marTop w:val="0"/>
      <w:marBottom w:val="0"/>
      <w:divBdr>
        <w:top w:val="none" w:sz="0" w:space="0" w:color="auto"/>
        <w:left w:val="none" w:sz="0" w:space="0" w:color="auto"/>
        <w:bottom w:val="none" w:sz="0" w:space="0" w:color="auto"/>
        <w:right w:val="none" w:sz="0" w:space="0" w:color="auto"/>
      </w:divBdr>
      <w:divsChild>
        <w:div w:id="584844628">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PLANTILLA1</Template>
  <TotalTime>1</TotalTime>
  <Pages>6</Pages>
  <Words>2208</Words>
  <Characters>12150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LSROJAS</dc:creator>
  <cp:lastModifiedBy>Luz Stella Rojas Macias</cp:lastModifiedBy>
  <cp:revision>2</cp:revision>
  <cp:lastPrinted>2011-12-21T14:33:00Z</cp:lastPrinted>
  <dcterms:created xsi:type="dcterms:W3CDTF">2011-12-22T19:40:00Z</dcterms:created>
  <dcterms:modified xsi:type="dcterms:W3CDTF">2011-12-22T19:40:00Z</dcterms:modified>
</cp:coreProperties>
</file>