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9E2240" w:rsidRDefault="00942C2A" w:rsidP="000200D5">
      <w:pPr>
        <w:pStyle w:val="Encabezado"/>
        <w:widowControl w:val="0"/>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9pt;margin-top:-8.7pt;width:52.5pt;height:48.75pt;z-index:251657728" fillcolor="#0c9">
            <v:imagedata r:id="rId9" o:title=""/>
          </v:shape>
          <o:OLEObject Type="Embed" ProgID="PBrush" ShapeID="_x0000_s1026" DrawAspect="Content" ObjectID="_1398167306" r:id="rId10"/>
        </w:pict>
      </w:r>
    </w:p>
    <w:p w:rsidR="00625DC6" w:rsidRPr="000200D5"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rsidR="00EB244A" w:rsidRDefault="00EB244A" w:rsidP="000200D5">
      <w:pPr>
        <w:widowControl w:val="0"/>
        <w:ind w:left="0"/>
        <w:jc w:val="center"/>
        <w:rPr>
          <w:rFonts w:ascii="Bookman Old Style" w:hAnsi="Bookman Old Style"/>
          <w:bCs/>
        </w:rPr>
      </w:pPr>
    </w:p>
    <w:p w:rsidR="00EB244A" w:rsidRDefault="00EB244A" w:rsidP="000200D5">
      <w:pPr>
        <w:widowControl w:val="0"/>
        <w:ind w:left="0"/>
        <w:jc w:val="center"/>
        <w:rPr>
          <w:rFonts w:ascii="Bookman Old Style" w:hAnsi="Bookman Old Style"/>
          <w:bCs/>
        </w:rPr>
      </w:pPr>
    </w:p>
    <w:p w:rsidR="00CA77FB" w:rsidRPr="000200D5" w:rsidRDefault="00CA77FB" w:rsidP="000200D5">
      <w:pPr>
        <w:widowControl w:val="0"/>
        <w:ind w:left="0"/>
        <w:jc w:val="center"/>
        <w:rPr>
          <w:rFonts w:ascii="Bookman Old Style" w:hAnsi="Bookman Old Style"/>
          <w:bCs/>
          <w:noProof/>
        </w:rPr>
      </w:pPr>
      <w:r w:rsidRPr="000200D5">
        <w:rPr>
          <w:rFonts w:ascii="Bookman Old Style" w:hAnsi="Bookman Old Style"/>
          <w:bCs/>
        </w:rPr>
        <w:t>Ministerio de Minas y Energía</w:t>
      </w:r>
    </w:p>
    <w:p w:rsidR="00CA77FB" w:rsidRPr="000200D5" w:rsidRDefault="00CA77FB" w:rsidP="000200D5">
      <w:pPr>
        <w:widowControl w:val="0"/>
        <w:ind w:left="0"/>
        <w:jc w:val="center"/>
        <w:rPr>
          <w:rFonts w:ascii="Bookman Old Style" w:hAnsi="Bookman Old Style"/>
          <w:b/>
          <w:bCs/>
        </w:rPr>
      </w:pPr>
    </w:p>
    <w:p w:rsidR="00CA77FB" w:rsidRPr="000200D5" w:rsidRDefault="00CA77FB" w:rsidP="000200D5">
      <w:pPr>
        <w:widowControl w:val="0"/>
        <w:ind w:left="0"/>
        <w:jc w:val="center"/>
        <w:rPr>
          <w:rFonts w:ascii="Bookman Old Style" w:hAnsi="Bookman Old Style" w:cs="Arial"/>
          <w:b/>
          <w:spacing w:val="20"/>
        </w:rPr>
      </w:pPr>
      <w:r w:rsidRPr="000200D5">
        <w:rPr>
          <w:rFonts w:ascii="Bookman Old Style" w:hAnsi="Bookman Old Style" w:cs="Arial"/>
          <w:b/>
          <w:spacing w:val="20"/>
        </w:rPr>
        <w:t>COMISIÓN DE REGULACIÓN DE ENERGÍA Y GAS</w:t>
      </w:r>
    </w:p>
    <w:p w:rsidR="00CA77FB" w:rsidRPr="000200D5" w:rsidRDefault="00CA77FB" w:rsidP="000200D5">
      <w:pPr>
        <w:widowControl w:val="0"/>
        <w:ind w:left="0"/>
        <w:jc w:val="center"/>
        <w:rPr>
          <w:rFonts w:ascii="Bookman Old Style" w:hAnsi="Bookman Old Style"/>
        </w:rPr>
      </w:pPr>
    </w:p>
    <w:p w:rsidR="00CA77FB" w:rsidRPr="000200D5" w:rsidRDefault="00CA77FB" w:rsidP="000200D5">
      <w:pPr>
        <w:widowControl w:val="0"/>
        <w:ind w:left="0"/>
        <w:jc w:val="center"/>
        <w:rPr>
          <w:rFonts w:ascii="Bookman Old Style" w:hAnsi="Bookman Old Style"/>
        </w:rPr>
      </w:pPr>
    </w:p>
    <w:p w:rsidR="00CA77FB" w:rsidRPr="000200D5" w:rsidRDefault="00CA77FB" w:rsidP="000200D5">
      <w:pPr>
        <w:widowControl w:val="0"/>
        <w:ind w:left="0"/>
        <w:jc w:val="center"/>
        <w:rPr>
          <w:rFonts w:ascii="Bookman Old Style" w:hAnsi="Bookman Old Style"/>
          <w:b/>
        </w:rPr>
      </w:pPr>
      <w:r w:rsidRPr="000200D5">
        <w:rPr>
          <w:rFonts w:ascii="Bookman Old Style" w:hAnsi="Bookman Old Style"/>
          <w:b/>
        </w:rPr>
        <w:t xml:space="preserve">RESOLUCIÓN No. </w:t>
      </w:r>
      <w:r w:rsidR="00795BFB" w:rsidRPr="000200D5">
        <w:rPr>
          <w:rFonts w:ascii="Bookman Old Style" w:hAnsi="Bookman Old Style"/>
          <w:b/>
        </w:rPr>
        <w:t xml:space="preserve">                  </w:t>
      </w:r>
      <w:r w:rsidRPr="000200D5">
        <w:rPr>
          <w:rFonts w:ascii="Bookman Old Style" w:hAnsi="Bookman Old Style"/>
          <w:b/>
        </w:rPr>
        <w:t>DE 20</w:t>
      </w:r>
      <w:r w:rsidR="00795BFB" w:rsidRPr="000200D5">
        <w:rPr>
          <w:rFonts w:ascii="Bookman Old Style" w:hAnsi="Bookman Old Style"/>
          <w:b/>
        </w:rPr>
        <w:t>1</w:t>
      </w:r>
      <w:r w:rsidR="003D0792" w:rsidRPr="000200D5">
        <w:rPr>
          <w:rFonts w:ascii="Bookman Old Style" w:hAnsi="Bookman Old Style"/>
          <w:b/>
        </w:rPr>
        <w:t>2</w:t>
      </w:r>
    </w:p>
    <w:p w:rsidR="00CA77FB" w:rsidRPr="000200D5" w:rsidRDefault="00CA77FB" w:rsidP="000200D5">
      <w:pPr>
        <w:widowControl w:val="0"/>
        <w:tabs>
          <w:tab w:val="left" w:pos="0"/>
          <w:tab w:val="right" w:pos="9356"/>
        </w:tabs>
        <w:ind w:left="0"/>
        <w:jc w:val="center"/>
        <w:rPr>
          <w:rFonts w:ascii="Bookman Old Style" w:hAnsi="Bookman Old Style" w:cs="Arial"/>
          <w:b/>
          <w:snapToGrid w:val="0"/>
          <w:color w:val="000000"/>
          <w:lang w:val="es-ES_tradnl"/>
        </w:rPr>
      </w:pPr>
    </w:p>
    <w:p w:rsidR="00CA77FB" w:rsidRPr="000200D5" w:rsidRDefault="00CA77FB" w:rsidP="000200D5">
      <w:pPr>
        <w:widowControl w:val="0"/>
        <w:ind w:left="0"/>
        <w:jc w:val="center"/>
        <w:rPr>
          <w:rFonts w:ascii="Bookman Old Style" w:hAnsi="Bookman Old Style"/>
          <w:b/>
        </w:rPr>
      </w:pPr>
      <w:r w:rsidRPr="000200D5">
        <w:rPr>
          <w:rFonts w:ascii="Bookman Old Style" w:hAnsi="Bookman Old Style"/>
          <w:b/>
        </w:rPr>
        <w:t>(                                  )</w:t>
      </w:r>
    </w:p>
    <w:p w:rsidR="00CA77FB" w:rsidRPr="000200D5" w:rsidRDefault="00CA77FB" w:rsidP="000200D5">
      <w:pPr>
        <w:widowControl w:val="0"/>
        <w:tabs>
          <w:tab w:val="left" w:pos="0"/>
          <w:tab w:val="right" w:pos="9356"/>
        </w:tabs>
        <w:ind w:left="0"/>
        <w:jc w:val="center"/>
        <w:rPr>
          <w:rFonts w:ascii="Bookman Old Style" w:hAnsi="Bookman Old Style"/>
          <w:lang w:val="es-ES_tradnl"/>
        </w:rPr>
      </w:pPr>
    </w:p>
    <w:p w:rsidR="006F3D11" w:rsidRDefault="006F3D11" w:rsidP="000200D5">
      <w:pPr>
        <w:widowControl w:val="0"/>
        <w:ind w:left="0"/>
        <w:jc w:val="both"/>
        <w:rPr>
          <w:rFonts w:ascii="Bookman Old Style" w:hAnsi="Bookman Old Style"/>
          <w:bCs/>
          <w:lang w:val="es-CO"/>
        </w:rPr>
      </w:pPr>
    </w:p>
    <w:p w:rsidR="00EB244A" w:rsidRDefault="00EB244A" w:rsidP="000200D5">
      <w:pPr>
        <w:widowControl w:val="0"/>
        <w:ind w:left="0"/>
        <w:jc w:val="both"/>
        <w:rPr>
          <w:rFonts w:ascii="Bookman Old Style" w:hAnsi="Bookman Old Style"/>
          <w:bCs/>
          <w:lang w:val="es-CO"/>
        </w:rPr>
      </w:pPr>
    </w:p>
    <w:p w:rsidR="00BC5B67" w:rsidRPr="000200D5" w:rsidRDefault="00312D6B" w:rsidP="000200D5">
      <w:pPr>
        <w:widowControl w:val="0"/>
        <w:ind w:left="0" w:right="47"/>
        <w:jc w:val="center"/>
        <w:rPr>
          <w:rFonts w:ascii="Bookman Old Style" w:hAnsi="Bookman Old Style" w:cs="Arial"/>
        </w:rPr>
      </w:pPr>
      <w:r w:rsidRPr="000200D5">
        <w:rPr>
          <w:rFonts w:ascii="Bookman Old Style" w:hAnsi="Bookman Old Style"/>
          <w:lang w:eastAsia="es-CO"/>
        </w:rPr>
        <w:t xml:space="preserve">Por la cual se ordena publicar un proyecto de resolución </w:t>
      </w:r>
      <w:r w:rsidR="000C4DEC" w:rsidRPr="000200D5">
        <w:rPr>
          <w:rFonts w:ascii="Bookman Old Style" w:hAnsi="Bookman Old Style"/>
          <w:lang w:eastAsia="es-CO"/>
        </w:rPr>
        <w:t xml:space="preserve">“Por la cual se modifica y complementa </w:t>
      </w:r>
      <w:r w:rsidR="00BC5B67" w:rsidRPr="000200D5">
        <w:rPr>
          <w:rFonts w:ascii="Bookman Old Style" w:hAnsi="Bookman Old Style"/>
          <w:lang w:eastAsia="es-CO"/>
        </w:rPr>
        <w:t>la Resolución CREG 119 de 2007</w:t>
      </w:r>
      <w:r w:rsidR="000C4DEC" w:rsidRPr="000200D5">
        <w:rPr>
          <w:rFonts w:ascii="Bookman Old Style" w:hAnsi="Bookman Old Style"/>
          <w:lang w:eastAsia="es-CO"/>
        </w:rPr>
        <w:t>.”</w:t>
      </w:r>
    </w:p>
    <w:p w:rsidR="00312D6B" w:rsidRPr="000200D5" w:rsidRDefault="00312D6B" w:rsidP="000200D5">
      <w:pPr>
        <w:widowControl w:val="0"/>
        <w:ind w:left="0" w:right="340"/>
        <w:jc w:val="center"/>
        <w:rPr>
          <w:rFonts w:ascii="Bookman Old Style" w:hAnsi="Bookman Old Style"/>
        </w:rPr>
      </w:pPr>
    </w:p>
    <w:p w:rsidR="00C20249" w:rsidRPr="000200D5" w:rsidRDefault="00C20249" w:rsidP="000200D5">
      <w:pPr>
        <w:widowControl w:val="0"/>
        <w:ind w:right="788"/>
        <w:rPr>
          <w:rFonts w:ascii="Bookman Old Style" w:hAnsi="Bookman Old Style" w:cs="Arial"/>
        </w:rPr>
      </w:pPr>
    </w:p>
    <w:p w:rsidR="00C20249" w:rsidRPr="000200D5" w:rsidRDefault="00C20249" w:rsidP="000200D5">
      <w:pPr>
        <w:pStyle w:val="Ttulo7"/>
        <w:widowControl w:val="0"/>
        <w:spacing w:before="0" w:after="0"/>
        <w:jc w:val="center"/>
        <w:rPr>
          <w:rFonts w:ascii="Bookman Old Style" w:hAnsi="Bookman Old Style" w:cs="Arial"/>
          <w:b/>
          <w:bCs/>
        </w:rPr>
      </w:pPr>
      <w:r w:rsidRPr="000200D5">
        <w:rPr>
          <w:rFonts w:ascii="Bookman Old Style" w:hAnsi="Bookman Old Style" w:cs="Arial"/>
          <w:b/>
          <w:bCs/>
        </w:rPr>
        <w:t>LA COMISIÓN DE REGULACIÓN DE ENERGÍA Y GAS</w:t>
      </w:r>
    </w:p>
    <w:p w:rsidR="00C20249" w:rsidRPr="000200D5" w:rsidRDefault="00C20249" w:rsidP="000200D5">
      <w:pPr>
        <w:widowControl w:val="0"/>
        <w:ind w:right="788"/>
        <w:rPr>
          <w:rFonts w:ascii="Bookman Old Style" w:hAnsi="Bookman Old Style" w:cs="Arial"/>
          <w:b/>
        </w:rPr>
      </w:pPr>
    </w:p>
    <w:p w:rsidR="00C20249" w:rsidRPr="000200D5" w:rsidRDefault="00C20249" w:rsidP="000200D5">
      <w:pPr>
        <w:widowControl w:val="0"/>
        <w:ind w:right="788"/>
        <w:rPr>
          <w:rFonts w:ascii="Bookman Old Style" w:hAnsi="Bookman Old Style" w:cs="Arial"/>
          <w:b/>
        </w:rPr>
      </w:pPr>
    </w:p>
    <w:p w:rsidR="00C20249" w:rsidRPr="000200D5" w:rsidRDefault="00C20249" w:rsidP="000200D5">
      <w:pPr>
        <w:widowControl w:val="0"/>
        <w:tabs>
          <w:tab w:val="left" w:pos="8789"/>
        </w:tabs>
        <w:ind w:left="0" w:right="49"/>
        <w:jc w:val="center"/>
        <w:rPr>
          <w:rFonts w:ascii="Bookman Old Style" w:hAnsi="Bookman Old Style" w:cs="Arial"/>
        </w:rPr>
      </w:pPr>
      <w:r w:rsidRPr="000200D5">
        <w:rPr>
          <w:rFonts w:ascii="Bookman Old Style" w:hAnsi="Bookman Old Style" w:cs="Arial"/>
        </w:rPr>
        <w:t>En ejercicio de sus atribuciones legales, en especial las conferidas por las leyes 142 y 143 de 1994, y en desarrollo de los decretos 1524 y 2253 de 1994</w:t>
      </w:r>
      <w:r w:rsidR="00173AAF" w:rsidRPr="000200D5">
        <w:rPr>
          <w:rFonts w:ascii="Bookman Old Style" w:hAnsi="Bookman Old Style" w:cs="Arial"/>
        </w:rPr>
        <w:t>, y</w:t>
      </w:r>
    </w:p>
    <w:p w:rsidR="00C20249" w:rsidRPr="000200D5" w:rsidRDefault="00C20249" w:rsidP="000200D5">
      <w:pPr>
        <w:widowControl w:val="0"/>
        <w:rPr>
          <w:rFonts w:ascii="Bookman Old Style" w:hAnsi="Bookman Old Style" w:cs="Arial"/>
        </w:rPr>
      </w:pPr>
    </w:p>
    <w:p w:rsidR="00BB1ED6" w:rsidRPr="000200D5" w:rsidRDefault="00BB1ED6" w:rsidP="000200D5">
      <w:pPr>
        <w:widowControl w:val="0"/>
        <w:rPr>
          <w:rFonts w:ascii="Bookman Old Style" w:hAnsi="Bookman Old Style" w:cs="Arial"/>
        </w:rPr>
      </w:pPr>
    </w:p>
    <w:p w:rsidR="00C20249" w:rsidRPr="000200D5" w:rsidRDefault="00C20249" w:rsidP="000200D5">
      <w:pPr>
        <w:widowControl w:val="0"/>
        <w:ind w:left="0"/>
        <w:jc w:val="center"/>
        <w:rPr>
          <w:rFonts w:ascii="Bookman Old Style" w:hAnsi="Bookman Old Style" w:cs="Arial"/>
          <w:b/>
        </w:rPr>
      </w:pPr>
      <w:r w:rsidRPr="000200D5">
        <w:rPr>
          <w:rFonts w:ascii="Bookman Old Style" w:hAnsi="Bookman Old Style" w:cs="Arial"/>
          <w:b/>
          <w:spacing w:val="80"/>
        </w:rPr>
        <w:t>CONSIDERANDO QUE</w:t>
      </w:r>
      <w:r w:rsidRPr="000200D5">
        <w:rPr>
          <w:rFonts w:ascii="Bookman Old Style" w:hAnsi="Bookman Old Style" w:cs="Arial"/>
          <w:b/>
        </w:rPr>
        <w:t>:</w:t>
      </w:r>
    </w:p>
    <w:p w:rsidR="00C20249" w:rsidRPr="000200D5" w:rsidRDefault="00C20249" w:rsidP="000200D5">
      <w:pPr>
        <w:widowControl w:val="0"/>
        <w:ind w:left="0"/>
        <w:rPr>
          <w:rFonts w:ascii="Bookman Old Style" w:hAnsi="Bookman Old Style" w:cs="Arial"/>
        </w:rPr>
      </w:pPr>
    </w:p>
    <w:p w:rsidR="00D92B07" w:rsidRPr="000200D5" w:rsidRDefault="00D92B07" w:rsidP="000200D5">
      <w:pPr>
        <w:widowControl w:val="0"/>
        <w:ind w:left="0"/>
        <w:rPr>
          <w:rFonts w:ascii="Bookman Old Style" w:hAnsi="Bookman Old Style" w:cs="Arial"/>
        </w:rPr>
      </w:pPr>
    </w:p>
    <w:p w:rsidR="001A7674" w:rsidRPr="000200D5" w:rsidRDefault="00941E02" w:rsidP="000200D5">
      <w:pPr>
        <w:widowControl w:val="0"/>
        <w:ind w:left="0"/>
        <w:jc w:val="both"/>
        <w:rPr>
          <w:rFonts w:ascii="Bookman Old Style" w:hAnsi="Bookman Old Style"/>
        </w:rPr>
      </w:pPr>
      <w:r w:rsidRPr="000200D5">
        <w:rPr>
          <w:rFonts w:ascii="Bookman Old Style" w:hAnsi="Bookman Old Style"/>
        </w:rPr>
        <w:t>C</w:t>
      </w:r>
      <w:r w:rsidR="001A7674" w:rsidRPr="000200D5">
        <w:rPr>
          <w:rFonts w:ascii="Bookman Old Style" w:hAnsi="Bookman Old Style"/>
        </w:rPr>
        <w:t>onforme a lo dispuesto por el artículo 9 del Decreto 2696 de 2004, la Comisión debe hacer público</w:t>
      </w:r>
      <w:r w:rsidR="001B5578" w:rsidRPr="000200D5">
        <w:rPr>
          <w:rFonts w:ascii="Bookman Old Style" w:hAnsi="Bookman Old Style"/>
        </w:rPr>
        <w:t>s</w:t>
      </w:r>
      <w:r w:rsidR="001A7674" w:rsidRPr="000200D5">
        <w:rPr>
          <w:rFonts w:ascii="Bookman Old Style" w:hAnsi="Bookman Old Style"/>
        </w:rPr>
        <w:t xml:space="preserve"> en su página web todos los proyectos de resoluciones de carácter general que pretenda adoptar</w:t>
      </w:r>
      <w:r w:rsidR="00D92B07" w:rsidRPr="000200D5">
        <w:rPr>
          <w:rFonts w:ascii="Bookman Old Style" w:hAnsi="Bookman Old Style"/>
        </w:rPr>
        <w:t>.</w:t>
      </w:r>
    </w:p>
    <w:p w:rsidR="00A40B2A" w:rsidRPr="000200D5" w:rsidRDefault="00A40B2A" w:rsidP="000200D5">
      <w:pPr>
        <w:widowControl w:val="0"/>
        <w:ind w:left="0"/>
        <w:jc w:val="both"/>
        <w:rPr>
          <w:rFonts w:ascii="Bookman Old Style" w:hAnsi="Bookman Old Style"/>
          <w:lang w:eastAsia="es-CO"/>
        </w:rPr>
      </w:pPr>
    </w:p>
    <w:p w:rsidR="00A40B2A" w:rsidRPr="000200D5" w:rsidRDefault="00A40B2A" w:rsidP="000200D5">
      <w:pPr>
        <w:pStyle w:val="Encabezado"/>
        <w:widowControl w:val="0"/>
        <w:tabs>
          <w:tab w:val="left" w:pos="-720"/>
        </w:tabs>
        <w:ind w:left="0"/>
        <w:jc w:val="both"/>
        <w:rPr>
          <w:rFonts w:ascii="Bookman Old Style" w:hAnsi="Bookman Old Style" w:cs="Arial"/>
          <w:szCs w:val="24"/>
          <w:lang w:val="es-ES_tradnl"/>
        </w:rPr>
      </w:pPr>
      <w:r w:rsidRPr="000200D5">
        <w:rPr>
          <w:rFonts w:ascii="Bookman Old Style" w:hAnsi="Bookman Old Style" w:cs="Arial"/>
          <w:szCs w:val="24"/>
          <w:lang w:val="es-ES_tradnl"/>
        </w:rPr>
        <w:t xml:space="preserve">Los análisis y fundamentos que soportan esta propuesta se encuentran contenidos en el Documento CREG </w:t>
      </w:r>
      <w:r w:rsidR="004F5F9C" w:rsidRPr="000200D5">
        <w:rPr>
          <w:rFonts w:ascii="Bookman Old Style" w:hAnsi="Bookman Old Style" w:cs="Arial"/>
          <w:szCs w:val="24"/>
          <w:lang w:val="es-ES_tradnl"/>
        </w:rPr>
        <w:t>020</w:t>
      </w:r>
      <w:r w:rsidRPr="000200D5">
        <w:rPr>
          <w:rFonts w:ascii="Bookman Old Style" w:hAnsi="Bookman Old Style" w:cs="Arial"/>
          <w:szCs w:val="24"/>
          <w:lang w:val="es-ES_tradnl"/>
        </w:rPr>
        <w:t xml:space="preserve"> de 2012.</w:t>
      </w:r>
    </w:p>
    <w:p w:rsidR="001A7674" w:rsidRPr="000200D5" w:rsidRDefault="001A7674" w:rsidP="000200D5">
      <w:pPr>
        <w:widowControl w:val="0"/>
        <w:ind w:left="0"/>
        <w:jc w:val="both"/>
        <w:rPr>
          <w:rFonts w:ascii="Bookman Old Style" w:hAnsi="Bookman Old Style"/>
          <w:lang w:val="es-ES_tradnl"/>
        </w:rPr>
      </w:pPr>
    </w:p>
    <w:p w:rsidR="00A73D50" w:rsidRPr="000200D5" w:rsidRDefault="00A73D50" w:rsidP="000200D5">
      <w:pPr>
        <w:widowControl w:val="0"/>
        <w:ind w:left="0" w:right="47"/>
        <w:jc w:val="both"/>
        <w:rPr>
          <w:rFonts w:ascii="Bookman Old Style" w:hAnsi="Bookman Old Style"/>
          <w:lang w:eastAsia="es-CO"/>
        </w:rPr>
      </w:pPr>
      <w:r w:rsidRPr="000200D5">
        <w:rPr>
          <w:rFonts w:ascii="Bookman Old Style" w:hAnsi="Bookman Old Style"/>
          <w:lang w:eastAsia="es-CO"/>
        </w:rPr>
        <w:t xml:space="preserve">La Comisión de Regulación de Energía y Gas, en su sesión No. </w:t>
      </w:r>
      <w:r w:rsidR="00036AFE" w:rsidRPr="000200D5">
        <w:rPr>
          <w:rFonts w:ascii="Bookman Old Style" w:hAnsi="Bookman Old Style"/>
          <w:lang w:eastAsia="es-CO"/>
        </w:rPr>
        <w:t xml:space="preserve">517 </w:t>
      </w:r>
      <w:r w:rsidRPr="000200D5">
        <w:rPr>
          <w:rFonts w:ascii="Bookman Old Style" w:hAnsi="Bookman Old Style"/>
          <w:lang w:eastAsia="es-CO"/>
        </w:rPr>
        <w:t xml:space="preserve">del </w:t>
      </w:r>
      <w:r w:rsidR="00D92B07" w:rsidRPr="000200D5">
        <w:rPr>
          <w:rFonts w:ascii="Bookman Old Style" w:hAnsi="Bookman Old Style"/>
          <w:lang w:eastAsia="es-CO"/>
        </w:rPr>
        <w:t>24</w:t>
      </w:r>
      <w:r w:rsidRPr="000200D5">
        <w:rPr>
          <w:rFonts w:ascii="Bookman Old Style" w:hAnsi="Bookman Old Style"/>
          <w:lang w:eastAsia="es-CO"/>
        </w:rPr>
        <w:t xml:space="preserve"> de </w:t>
      </w:r>
      <w:r w:rsidR="00D92B07" w:rsidRPr="000200D5">
        <w:rPr>
          <w:rFonts w:ascii="Bookman Old Style" w:hAnsi="Bookman Old Style"/>
          <w:lang w:eastAsia="es-CO"/>
        </w:rPr>
        <w:t>a</w:t>
      </w:r>
      <w:r w:rsidR="00036AFE" w:rsidRPr="000200D5">
        <w:rPr>
          <w:rFonts w:ascii="Bookman Old Style" w:hAnsi="Bookman Old Style"/>
          <w:lang w:eastAsia="es-CO"/>
        </w:rPr>
        <w:t>bril</w:t>
      </w:r>
      <w:r w:rsidRPr="000200D5">
        <w:rPr>
          <w:rFonts w:ascii="Bookman Old Style" w:hAnsi="Bookman Old Style"/>
          <w:lang w:eastAsia="es-CO"/>
        </w:rPr>
        <w:t xml:space="preserve"> de 201</w:t>
      </w:r>
      <w:r w:rsidR="00036AFE" w:rsidRPr="000200D5">
        <w:rPr>
          <w:rFonts w:ascii="Bookman Old Style" w:hAnsi="Bookman Old Style"/>
          <w:lang w:eastAsia="es-CO"/>
        </w:rPr>
        <w:t>2</w:t>
      </w:r>
      <w:r w:rsidRPr="000200D5">
        <w:rPr>
          <w:rFonts w:ascii="Bookman Old Style" w:hAnsi="Bookman Old Style"/>
          <w:lang w:eastAsia="es-CO"/>
        </w:rPr>
        <w:t>, aprobó hacer público el proyecto de resolución “</w:t>
      </w:r>
      <w:r w:rsidR="00955829" w:rsidRPr="000200D5">
        <w:rPr>
          <w:rFonts w:ascii="Bookman Old Style" w:hAnsi="Bookman Old Style"/>
          <w:lang w:eastAsia="es-CO"/>
        </w:rPr>
        <w:t>Por la cual se modifica el artículo 11 de la Resolución CREG 119 de 2007</w:t>
      </w:r>
      <w:r w:rsidR="00EA09E7" w:rsidRPr="000200D5">
        <w:rPr>
          <w:rFonts w:ascii="Bookman Old Style" w:hAnsi="Bookman Old Style"/>
          <w:lang w:eastAsia="es-CO"/>
        </w:rPr>
        <w:t>”.</w:t>
      </w:r>
    </w:p>
    <w:p w:rsidR="00A40B2A" w:rsidRPr="000200D5" w:rsidRDefault="00A40B2A" w:rsidP="000200D5">
      <w:pPr>
        <w:pStyle w:val="Encabezado"/>
        <w:widowControl w:val="0"/>
        <w:tabs>
          <w:tab w:val="left" w:pos="-720"/>
        </w:tabs>
        <w:ind w:left="0"/>
        <w:rPr>
          <w:rFonts w:ascii="Bookman Old Style" w:hAnsi="Bookman Old Style" w:cs="Arial"/>
          <w:szCs w:val="24"/>
          <w:lang w:val="es-ES_tradnl"/>
        </w:rPr>
      </w:pPr>
    </w:p>
    <w:p w:rsidR="00A40B2A" w:rsidRPr="000200D5" w:rsidRDefault="00A40B2A" w:rsidP="000200D5">
      <w:pPr>
        <w:pStyle w:val="Encabezado"/>
        <w:widowControl w:val="0"/>
        <w:tabs>
          <w:tab w:val="left" w:pos="-720"/>
        </w:tabs>
        <w:ind w:left="0"/>
        <w:rPr>
          <w:rFonts w:ascii="Bookman Old Style" w:hAnsi="Bookman Old Style" w:cs="Arial"/>
          <w:szCs w:val="24"/>
          <w:lang w:val="es-ES_tradnl"/>
        </w:rPr>
      </w:pPr>
    </w:p>
    <w:p w:rsidR="00C20249" w:rsidRPr="000200D5" w:rsidRDefault="00C20249" w:rsidP="000200D5">
      <w:pPr>
        <w:widowControl w:val="0"/>
        <w:ind w:left="0"/>
        <w:jc w:val="center"/>
        <w:rPr>
          <w:rFonts w:ascii="Bookman Old Style" w:hAnsi="Bookman Old Style" w:cs="Arial"/>
        </w:rPr>
      </w:pPr>
      <w:r w:rsidRPr="000200D5">
        <w:rPr>
          <w:rFonts w:ascii="Bookman Old Style" w:hAnsi="Bookman Old Style" w:cs="Arial"/>
          <w:b/>
          <w:spacing w:val="80"/>
        </w:rPr>
        <w:t>RESUELVE</w:t>
      </w:r>
      <w:r w:rsidRPr="000200D5">
        <w:rPr>
          <w:rFonts w:ascii="Bookman Old Style" w:hAnsi="Bookman Old Style" w:cs="Arial"/>
        </w:rPr>
        <w:t>:</w:t>
      </w:r>
    </w:p>
    <w:p w:rsidR="00A73D50" w:rsidRPr="00EB244A" w:rsidRDefault="00A73D50" w:rsidP="000200D5">
      <w:pPr>
        <w:widowControl w:val="0"/>
        <w:tabs>
          <w:tab w:val="left" w:pos="1701"/>
        </w:tabs>
        <w:ind w:left="0"/>
        <w:jc w:val="both"/>
        <w:rPr>
          <w:rFonts w:ascii="Bookman Old Style" w:hAnsi="Bookman Old Style" w:cs="Arial"/>
          <w:b/>
          <w:sz w:val="36"/>
        </w:rPr>
      </w:pPr>
    </w:p>
    <w:p w:rsidR="00FE2824" w:rsidRPr="000200D5" w:rsidRDefault="00FE2824" w:rsidP="000200D5">
      <w:pPr>
        <w:widowControl w:val="0"/>
        <w:tabs>
          <w:tab w:val="left" w:pos="-720"/>
        </w:tabs>
        <w:ind w:left="0"/>
        <w:rPr>
          <w:rFonts w:ascii="Bookman Old Style" w:hAnsi="Bookman Old Style" w:cs="Arial"/>
          <w:b/>
          <w:spacing w:val="-3"/>
        </w:rPr>
      </w:pPr>
    </w:p>
    <w:p w:rsidR="00BA77C9" w:rsidRPr="000200D5" w:rsidRDefault="00A73D50" w:rsidP="000200D5">
      <w:pPr>
        <w:pStyle w:val="Estilo2"/>
        <w:keepNext w:val="0"/>
        <w:tabs>
          <w:tab w:val="clear" w:pos="1440"/>
        </w:tabs>
        <w:rPr>
          <w:rFonts w:cs="Arial"/>
          <w:b w:val="0"/>
          <w:lang w:eastAsia="es-CO"/>
        </w:rPr>
      </w:pPr>
      <w:r w:rsidRPr="000200D5">
        <w:t>Objeto.</w:t>
      </w:r>
      <w:r w:rsidR="001817A0" w:rsidRPr="000200D5">
        <w:t xml:space="preserve"> </w:t>
      </w:r>
      <w:r w:rsidRPr="000200D5">
        <w:rPr>
          <w:b w:val="0"/>
        </w:rPr>
        <w:t>Hágase púb</w:t>
      </w:r>
      <w:r w:rsidR="00EA09E7" w:rsidRPr="000200D5">
        <w:rPr>
          <w:b w:val="0"/>
        </w:rPr>
        <w:t xml:space="preserve">lico el proyecto de resolución </w:t>
      </w:r>
      <w:r w:rsidR="000C4DEC" w:rsidRPr="000200D5">
        <w:rPr>
          <w:b w:val="0"/>
        </w:rPr>
        <w:t>“Por la cual se modifica y complementa la Resolución CREG 119 de 2007”</w:t>
      </w:r>
      <w:r w:rsidR="00EA09E7" w:rsidRPr="000200D5">
        <w:rPr>
          <w:b w:val="0"/>
        </w:rPr>
        <w:t>.</w:t>
      </w:r>
    </w:p>
    <w:p w:rsidR="00EA09E7" w:rsidRPr="000200D5" w:rsidRDefault="00EA09E7" w:rsidP="000200D5">
      <w:pPr>
        <w:pStyle w:val="Estilo2"/>
        <w:keepNext w:val="0"/>
        <w:numPr>
          <w:ilvl w:val="0"/>
          <w:numId w:val="0"/>
        </w:numPr>
        <w:rPr>
          <w:rFonts w:cs="Arial"/>
          <w:lang w:eastAsia="es-CO"/>
        </w:rPr>
      </w:pPr>
    </w:p>
    <w:p w:rsidR="001817A0" w:rsidRPr="000200D5" w:rsidRDefault="001817A0" w:rsidP="000200D5">
      <w:pPr>
        <w:pStyle w:val="Estilo2"/>
        <w:keepNext w:val="0"/>
        <w:tabs>
          <w:tab w:val="clear" w:pos="1440"/>
        </w:tabs>
      </w:pPr>
      <w:r w:rsidRPr="000200D5">
        <w:t>Presentación de comentarios, observaciones y sugerencias.</w:t>
      </w:r>
      <w:r w:rsidRPr="000200D5">
        <w:rPr>
          <w:b w:val="0"/>
        </w:rPr>
        <w:t xml:space="preserve"> Se invita a los agentes, a los usuarios, a las Autoridades Municipales y Departamentales competentes, a la Superintendencia de Servicios Públicos Domiciliarios y a los demás interesados, para que remitan sus observaciones o sugerencias sobre la propuesta en el término de</w:t>
      </w:r>
      <w:r w:rsidR="00551A25" w:rsidRPr="000200D5">
        <w:rPr>
          <w:b w:val="0"/>
        </w:rPr>
        <w:t xml:space="preserve"> los dos</w:t>
      </w:r>
      <w:r w:rsidR="000D1160" w:rsidRPr="000200D5">
        <w:rPr>
          <w:b w:val="0"/>
        </w:rPr>
        <w:t xml:space="preserve"> (2)</w:t>
      </w:r>
      <w:r w:rsidR="00B316E3" w:rsidRPr="000200D5">
        <w:rPr>
          <w:b w:val="0"/>
        </w:rPr>
        <w:t xml:space="preserve"> meses</w:t>
      </w:r>
      <w:r w:rsidRPr="000200D5">
        <w:rPr>
          <w:b w:val="0"/>
        </w:rPr>
        <w:t xml:space="preserve"> siguientes a la fecha de publicación de la presente resolución en la página web de la CREG.</w:t>
      </w:r>
    </w:p>
    <w:p w:rsidR="001817A0" w:rsidRDefault="001817A0" w:rsidP="000200D5">
      <w:pPr>
        <w:widowControl w:val="0"/>
        <w:ind w:left="0"/>
        <w:rPr>
          <w:rFonts w:ascii="Bookman Old Style" w:hAnsi="Bookman Old Style"/>
        </w:rPr>
      </w:pPr>
    </w:p>
    <w:p w:rsidR="001817A0" w:rsidRPr="000200D5" w:rsidRDefault="001817A0" w:rsidP="000200D5">
      <w:pPr>
        <w:pStyle w:val="Estilo2"/>
        <w:keepNext w:val="0"/>
        <w:tabs>
          <w:tab w:val="clear" w:pos="1440"/>
        </w:tabs>
      </w:pPr>
      <w:r w:rsidRPr="000200D5">
        <w:lastRenderedPageBreak/>
        <w:t xml:space="preserve">Información. </w:t>
      </w:r>
      <w:r w:rsidRPr="000200D5">
        <w:rPr>
          <w:b w:val="0"/>
        </w:rPr>
        <w:t xml:space="preserve">Infórmese en la página </w:t>
      </w:r>
      <w:r w:rsidR="00D92B07" w:rsidRPr="000200D5">
        <w:rPr>
          <w:b w:val="0"/>
        </w:rPr>
        <w:t>w</w:t>
      </w:r>
      <w:r w:rsidRPr="000200D5">
        <w:rPr>
          <w:b w:val="0"/>
        </w:rPr>
        <w:t xml:space="preserve">eb </w:t>
      </w:r>
      <w:r w:rsidR="00B316E3" w:rsidRPr="000200D5">
        <w:rPr>
          <w:b w:val="0"/>
        </w:rPr>
        <w:t xml:space="preserve">de la CREG </w:t>
      </w:r>
      <w:r w:rsidRPr="000200D5">
        <w:rPr>
          <w:b w:val="0"/>
        </w:rPr>
        <w:t>la identificación de la dependencia administrativa y de las personas a quienes se podrá solicitar información sobre el proyecto y hacer llegar las observaciones, reparos o sugerencias, y los demás aspectos previstos en el artículo 11 del Decreto 2696 de 2004.</w:t>
      </w:r>
    </w:p>
    <w:p w:rsidR="001817A0" w:rsidRPr="000200D5" w:rsidRDefault="001817A0" w:rsidP="000200D5">
      <w:pPr>
        <w:pStyle w:val="Prrafodelista"/>
        <w:widowControl w:val="0"/>
        <w:rPr>
          <w:rFonts w:ascii="Bookman Old Style" w:hAnsi="Bookman Old Style"/>
          <w:sz w:val="24"/>
          <w:szCs w:val="24"/>
        </w:rPr>
      </w:pPr>
    </w:p>
    <w:p w:rsidR="001817A0" w:rsidRPr="000200D5" w:rsidRDefault="001817A0" w:rsidP="000200D5">
      <w:pPr>
        <w:pStyle w:val="Estilo2"/>
        <w:keepNext w:val="0"/>
        <w:tabs>
          <w:tab w:val="clear" w:pos="1440"/>
        </w:tabs>
      </w:pPr>
      <w:r w:rsidRPr="000200D5">
        <w:t xml:space="preserve">Vigencia. </w:t>
      </w:r>
      <w:r w:rsidRPr="000200D5">
        <w:rPr>
          <w:b w:val="0"/>
        </w:rPr>
        <w:t xml:space="preserve">La presente Resolución rige a partir de su publicación en el </w:t>
      </w:r>
      <w:r w:rsidRPr="00EB244A">
        <w:rPr>
          <w:b w:val="0"/>
          <w:i/>
        </w:rPr>
        <w:t>Diario Oficial</w:t>
      </w:r>
      <w:r w:rsidRPr="000200D5">
        <w:rPr>
          <w:b w:val="0"/>
        </w:rPr>
        <w:t xml:space="preserve"> y no deroga ni modifica disposiciones vigentes por tratarse de un acto de trámite.</w:t>
      </w:r>
    </w:p>
    <w:p w:rsidR="00C20249" w:rsidRPr="000200D5" w:rsidRDefault="00C20249" w:rsidP="000200D5">
      <w:pPr>
        <w:widowControl w:val="0"/>
        <w:ind w:left="142"/>
        <w:jc w:val="both"/>
        <w:rPr>
          <w:rFonts w:ascii="Bookman Old Style" w:hAnsi="Bookman Old Style" w:cs="Arial"/>
        </w:rPr>
      </w:pPr>
    </w:p>
    <w:p w:rsidR="00FE2824" w:rsidRPr="000200D5" w:rsidRDefault="00FE2824" w:rsidP="000200D5">
      <w:pPr>
        <w:widowControl w:val="0"/>
        <w:ind w:left="142"/>
        <w:jc w:val="both"/>
        <w:rPr>
          <w:rFonts w:ascii="Bookman Old Style" w:hAnsi="Bookman Old Style" w:cs="Arial"/>
        </w:rPr>
      </w:pPr>
    </w:p>
    <w:p w:rsidR="00C20249" w:rsidRPr="000200D5" w:rsidRDefault="00C20249" w:rsidP="000200D5">
      <w:pPr>
        <w:widowControl w:val="0"/>
        <w:ind w:left="142"/>
        <w:jc w:val="center"/>
        <w:rPr>
          <w:rFonts w:ascii="Bookman Old Style" w:hAnsi="Bookman Old Style" w:cs="Arial"/>
          <w:b/>
        </w:rPr>
      </w:pPr>
      <w:r w:rsidRPr="000200D5">
        <w:rPr>
          <w:rFonts w:ascii="Bookman Old Style" w:hAnsi="Bookman Old Style" w:cs="Arial"/>
          <w:b/>
        </w:rPr>
        <w:t>PUBLÍQUESE Y CÚMPLASE</w:t>
      </w:r>
    </w:p>
    <w:p w:rsidR="00FE2824" w:rsidRDefault="00FE2824" w:rsidP="000200D5">
      <w:pPr>
        <w:widowControl w:val="0"/>
        <w:ind w:left="0"/>
        <w:rPr>
          <w:rFonts w:ascii="Bookman Old Style" w:hAnsi="Bookman Old Style" w:cs="Arial"/>
          <w:color w:val="000000"/>
        </w:rPr>
      </w:pPr>
    </w:p>
    <w:p w:rsidR="00EB244A" w:rsidRPr="000200D5" w:rsidRDefault="00EB244A" w:rsidP="000200D5">
      <w:pPr>
        <w:widowControl w:val="0"/>
        <w:ind w:left="0"/>
        <w:rPr>
          <w:rFonts w:ascii="Bookman Old Style" w:hAnsi="Bookman Old Style" w:cs="Arial"/>
          <w:color w:val="000000"/>
        </w:rPr>
      </w:pPr>
    </w:p>
    <w:p w:rsidR="00EF5307" w:rsidRPr="000200D5" w:rsidRDefault="00EB244A" w:rsidP="000200D5">
      <w:pPr>
        <w:widowControl w:val="0"/>
        <w:ind w:left="142"/>
        <w:jc w:val="both"/>
        <w:rPr>
          <w:rFonts w:ascii="Bookman Old Style" w:hAnsi="Bookman Old Style" w:cs="Arial"/>
        </w:rPr>
      </w:pPr>
      <w:r>
        <w:rPr>
          <w:rFonts w:ascii="Bookman Old Style" w:hAnsi="Bookman Old Style" w:cs="Arial"/>
        </w:rPr>
        <w:t>Dada en Bogotá, D.C.</w:t>
      </w:r>
    </w:p>
    <w:p w:rsidR="00EF5307" w:rsidRPr="000200D5" w:rsidRDefault="00EF5307" w:rsidP="000200D5">
      <w:pPr>
        <w:widowControl w:val="0"/>
        <w:jc w:val="center"/>
        <w:rPr>
          <w:rFonts w:ascii="Bookman Old Style" w:hAnsi="Bookman Old Style" w:cs="Arial"/>
          <w:color w:val="000000"/>
        </w:rPr>
      </w:pPr>
    </w:p>
    <w:p w:rsidR="00EF5307" w:rsidRPr="000200D5" w:rsidRDefault="00EF5307" w:rsidP="000200D5">
      <w:pPr>
        <w:widowControl w:val="0"/>
        <w:jc w:val="center"/>
        <w:rPr>
          <w:rFonts w:ascii="Bookman Old Style" w:hAnsi="Bookman Old Style" w:cs="Arial"/>
          <w:color w:val="000000"/>
        </w:rPr>
      </w:pPr>
    </w:p>
    <w:p w:rsidR="00EF5307" w:rsidRDefault="00EF5307" w:rsidP="000200D5">
      <w:pPr>
        <w:widowControl w:val="0"/>
        <w:jc w:val="center"/>
        <w:rPr>
          <w:rFonts w:ascii="Bookman Old Style" w:hAnsi="Bookman Old Style" w:cs="Arial"/>
          <w:color w:val="000000"/>
        </w:rPr>
      </w:pPr>
    </w:p>
    <w:p w:rsidR="00EB244A" w:rsidRPr="000200D5" w:rsidRDefault="00EB244A" w:rsidP="000200D5">
      <w:pPr>
        <w:widowControl w:val="0"/>
        <w:jc w:val="center"/>
        <w:rPr>
          <w:rFonts w:ascii="Bookman Old Style" w:hAnsi="Bookman Old Style" w:cs="Arial"/>
          <w:color w:val="000000"/>
        </w:rPr>
      </w:pPr>
    </w:p>
    <w:p w:rsidR="00EF5307" w:rsidRPr="000200D5" w:rsidRDefault="00EF5307" w:rsidP="000200D5">
      <w:pPr>
        <w:widowControl w:val="0"/>
        <w:jc w:val="center"/>
        <w:rPr>
          <w:rFonts w:ascii="Bookman Old Style" w:hAnsi="Bookman Old Style" w:cs="Arial"/>
          <w:color w:val="000000"/>
        </w:rPr>
      </w:pPr>
    </w:p>
    <w:tbl>
      <w:tblPr>
        <w:tblW w:w="0" w:type="auto"/>
        <w:jc w:val="center"/>
        <w:tblCellSpacing w:w="0" w:type="dxa"/>
        <w:tblCellMar>
          <w:left w:w="0" w:type="dxa"/>
          <w:right w:w="0" w:type="dxa"/>
        </w:tblCellMar>
        <w:tblLook w:val="04A0" w:firstRow="1" w:lastRow="0" w:firstColumn="1" w:lastColumn="0" w:noHBand="0" w:noVBand="1"/>
      </w:tblPr>
      <w:tblGrid>
        <w:gridCol w:w="4320"/>
        <w:gridCol w:w="4513"/>
      </w:tblGrid>
      <w:tr w:rsidR="00EF5307" w:rsidRPr="000200D5" w:rsidTr="00EF5307">
        <w:trPr>
          <w:tblCellSpacing w:w="0" w:type="dxa"/>
          <w:jc w:val="center"/>
        </w:trPr>
        <w:tc>
          <w:tcPr>
            <w:tcW w:w="4320" w:type="dxa"/>
            <w:hideMark/>
          </w:tcPr>
          <w:p w:rsidR="00EF5307" w:rsidRPr="000200D5" w:rsidRDefault="00EF5307" w:rsidP="000200D5">
            <w:pPr>
              <w:widowControl w:val="0"/>
              <w:ind w:left="0"/>
              <w:jc w:val="center"/>
              <w:rPr>
                <w:rFonts w:ascii="Bookman Old Style" w:hAnsi="Bookman Old Style" w:cs="Arial"/>
                <w:color w:val="000000"/>
              </w:rPr>
            </w:pPr>
            <w:r w:rsidRPr="000200D5">
              <w:rPr>
                <w:rFonts w:ascii="Bookman Old Style" w:hAnsi="Bookman Old Style" w:cs="Arial"/>
                <w:b/>
                <w:bCs/>
                <w:color w:val="000000"/>
              </w:rPr>
              <w:t>TOM</w:t>
            </w:r>
            <w:r w:rsidR="006F3D11" w:rsidRPr="000200D5">
              <w:rPr>
                <w:rFonts w:ascii="Bookman Old Style" w:hAnsi="Bookman Old Style" w:cs="Arial"/>
                <w:b/>
                <w:bCs/>
                <w:color w:val="000000"/>
              </w:rPr>
              <w:t>Á</w:t>
            </w:r>
            <w:r w:rsidRPr="000200D5">
              <w:rPr>
                <w:rFonts w:ascii="Bookman Old Style" w:hAnsi="Bookman Old Style" w:cs="Arial"/>
                <w:b/>
                <w:bCs/>
                <w:color w:val="000000"/>
              </w:rPr>
              <w:t>S GONZÁLEZ ESTRADA</w:t>
            </w:r>
          </w:p>
        </w:tc>
        <w:tc>
          <w:tcPr>
            <w:tcW w:w="4513" w:type="dxa"/>
            <w:hideMark/>
          </w:tcPr>
          <w:p w:rsidR="00EF5307" w:rsidRPr="000200D5" w:rsidRDefault="00B316E3" w:rsidP="000200D5">
            <w:pPr>
              <w:widowControl w:val="0"/>
              <w:ind w:left="0"/>
              <w:jc w:val="center"/>
              <w:rPr>
                <w:rFonts w:ascii="Bookman Old Style" w:hAnsi="Bookman Old Style" w:cs="Arial"/>
                <w:color w:val="000000"/>
              </w:rPr>
            </w:pPr>
            <w:r w:rsidRPr="000200D5">
              <w:rPr>
                <w:rFonts w:ascii="Bookman Old Style" w:hAnsi="Bookman Old Style" w:cs="Arial"/>
                <w:b/>
                <w:bCs/>
                <w:color w:val="000000"/>
              </w:rPr>
              <w:t>GERMÁN CASTRO FERREIRA</w:t>
            </w:r>
          </w:p>
        </w:tc>
      </w:tr>
      <w:tr w:rsidR="00EF5307" w:rsidRPr="000200D5" w:rsidTr="00EF5307">
        <w:trPr>
          <w:tblCellSpacing w:w="0" w:type="dxa"/>
          <w:jc w:val="center"/>
        </w:trPr>
        <w:tc>
          <w:tcPr>
            <w:tcW w:w="4320" w:type="dxa"/>
            <w:hideMark/>
          </w:tcPr>
          <w:p w:rsidR="00EF5307" w:rsidRPr="000200D5" w:rsidRDefault="00EF5307" w:rsidP="00EB244A">
            <w:pPr>
              <w:widowControl w:val="0"/>
              <w:ind w:left="0"/>
              <w:jc w:val="center"/>
              <w:rPr>
                <w:rFonts w:ascii="Bookman Old Style" w:hAnsi="Bookman Old Style" w:cs="Arial"/>
                <w:color w:val="000000"/>
              </w:rPr>
            </w:pPr>
            <w:r w:rsidRPr="000200D5">
              <w:rPr>
                <w:rFonts w:ascii="Bookman Old Style" w:hAnsi="Bookman Old Style" w:cs="Arial"/>
                <w:color w:val="000000"/>
              </w:rPr>
              <w:t>Viceministro de Energía</w:t>
            </w:r>
          </w:p>
        </w:tc>
        <w:tc>
          <w:tcPr>
            <w:tcW w:w="4513" w:type="dxa"/>
            <w:hideMark/>
          </w:tcPr>
          <w:p w:rsidR="00EF5307" w:rsidRPr="000200D5" w:rsidRDefault="00EF5307" w:rsidP="000200D5">
            <w:pPr>
              <w:widowControl w:val="0"/>
              <w:ind w:left="97"/>
              <w:jc w:val="center"/>
              <w:rPr>
                <w:rFonts w:ascii="Bookman Old Style" w:hAnsi="Bookman Old Style" w:cs="Arial"/>
                <w:color w:val="000000"/>
              </w:rPr>
            </w:pPr>
            <w:r w:rsidRPr="000200D5">
              <w:rPr>
                <w:rFonts w:ascii="Bookman Old Style" w:hAnsi="Bookman Old Style" w:cs="Arial"/>
                <w:color w:val="000000"/>
              </w:rPr>
              <w:t>Director Ejecutivo</w:t>
            </w:r>
          </w:p>
        </w:tc>
      </w:tr>
      <w:tr w:rsidR="00EF5307" w:rsidRPr="000200D5" w:rsidTr="00EF5307">
        <w:trPr>
          <w:tblCellSpacing w:w="0" w:type="dxa"/>
          <w:jc w:val="center"/>
        </w:trPr>
        <w:tc>
          <w:tcPr>
            <w:tcW w:w="4320" w:type="dxa"/>
            <w:hideMark/>
          </w:tcPr>
          <w:p w:rsidR="00EF5307" w:rsidRPr="000200D5" w:rsidRDefault="00EF5307" w:rsidP="000200D5">
            <w:pPr>
              <w:widowControl w:val="0"/>
              <w:ind w:left="0"/>
              <w:jc w:val="center"/>
              <w:rPr>
                <w:rFonts w:ascii="Bookman Old Style" w:hAnsi="Bookman Old Style" w:cs="Arial"/>
                <w:color w:val="000000"/>
              </w:rPr>
            </w:pPr>
            <w:r w:rsidRPr="000200D5">
              <w:rPr>
                <w:rFonts w:ascii="Bookman Old Style" w:hAnsi="Bookman Old Style" w:cs="Arial"/>
                <w:color w:val="000000"/>
              </w:rPr>
              <w:t>Delegado del Ministro de Minas y Energía</w:t>
            </w:r>
            <w:r w:rsidRPr="000200D5">
              <w:rPr>
                <w:rFonts w:ascii="Bookman Old Style" w:hAnsi="Bookman Old Style" w:cs="Arial"/>
                <w:color w:val="000000"/>
              </w:rPr>
              <w:br/>
              <w:t>Presidente</w:t>
            </w:r>
          </w:p>
        </w:tc>
        <w:tc>
          <w:tcPr>
            <w:tcW w:w="4513" w:type="dxa"/>
            <w:hideMark/>
          </w:tcPr>
          <w:p w:rsidR="00EF5307" w:rsidRPr="000200D5" w:rsidRDefault="00E52973" w:rsidP="000200D5">
            <w:pPr>
              <w:widowControl w:val="0"/>
              <w:jc w:val="center"/>
              <w:rPr>
                <w:rFonts w:ascii="Bookman Old Style" w:hAnsi="Bookman Old Style" w:cs="Arial"/>
                <w:color w:val="000000"/>
              </w:rPr>
            </w:pPr>
            <w:r w:rsidRPr="000200D5">
              <w:rPr>
                <w:rFonts w:ascii="Bookman Old Style" w:hAnsi="Bookman Old Style" w:cs="Arial"/>
                <w:noProof/>
                <w:color w:val="000000"/>
                <w:lang w:val="es-CO" w:eastAsia="es-CO"/>
              </w:rPr>
              <w:drawing>
                <wp:inline distT="0" distB="0" distL="0" distR="0" wp14:anchorId="105A3155" wp14:editId="6F23327D">
                  <wp:extent cx="155575" cy="889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a:ln>
                            <a:noFill/>
                          </a:ln>
                        </pic:spPr>
                      </pic:pic>
                    </a:graphicData>
                  </a:graphic>
                </wp:inline>
              </w:drawing>
            </w:r>
          </w:p>
        </w:tc>
      </w:tr>
    </w:tbl>
    <w:p w:rsidR="000D7708" w:rsidRPr="000200D5" w:rsidRDefault="001C52BE" w:rsidP="000200D5">
      <w:pPr>
        <w:widowControl w:val="0"/>
        <w:ind w:left="0"/>
        <w:jc w:val="center"/>
        <w:rPr>
          <w:rFonts w:ascii="Bookman Old Style" w:hAnsi="Bookman Old Style"/>
          <w:sz w:val="22"/>
        </w:rPr>
      </w:pPr>
      <w:r w:rsidRPr="000200D5">
        <w:rPr>
          <w:rFonts w:ascii="Bookman Old Style" w:hAnsi="Bookman Old Style"/>
          <w:sz w:val="22"/>
        </w:rPr>
        <w:br w:type="page"/>
      </w:r>
    </w:p>
    <w:p w:rsidR="00715577" w:rsidRPr="000200D5" w:rsidRDefault="00715577" w:rsidP="000200D5">
      <w:pPr>
        <w:widowControl w:val="0"/>
        <w:ind w:left="0" w:right="-3"/>
        <w:jc w:val="center"/>
        <w:rPr>
          <w:rFonts w:ascii="Bookman Old Style" w:hAnsi="Bookman Old Style" w:cs="Arial"/>
          <w:b/>
        </w:rPr>
      </w:pPr>
      <w:r w:rsidRPr="000200D5">
        <w:rPr>
          <w:rFonts w:ascii="Bookman Old Style" w:hAnsi="Bookman Old Style" w:cs="Arial"/>
          <w:b/>
        </w:rPr>
        <w:lastRenderedPageBreak/>
        <w:t>PROYECTO DE RESOLUCIÓN</w:t>
      </w:r>
    </w:p>
    <w:p w:rsidR="00715577" w:rsidRPr="000200D5" w:rsidRDefault="00715577" w:rsidP="000200D5">
      <w:pPr>
        <w:widowControl w:val="0"/>
        <w:ind w:right="-3"/>
        <w:jc w:val="both"/>
        <w:rPr>
          <w:rFonts w:ascii="Bookman Old Style" w:hAnsi="Bookman Old Style" w:cs="Arial"/>
        </w:rPr>
      </w:pPr>
    </w:p>
    <w:p w:rsidR="00D92B07" w:rsidRPr="000200D5" w:rsidRDefault="00D92B07" w:rsidP="000200D5">
      <w:pPr>
        <w:widowControl w:val="0"/>
        <w:ind w:right="-3"/>
        <w:jc w:val="both"/>
        <w:rPr>
          <w:rFonts w:ascii="Bookman Old Style" w:hAnsi="Bookman Old Style" w:cs="Arial"/>
        </w:rPr>
      </w:pPr>
    </w:p>
    <w:p w:rsidR="00715577" w:rsidRPr="000200D5" w:rsidRDefault="00B6620F" w:rsidP="000200D5">
      <w:pPr>
        <w:widowControl w:val="0"/>
        <w:ind w:left="0"/>
        <w:jc w:val="center"/>
        <w:rPr>
          <w:rFonts w:ascii="Bookman Old Style" w:hAnsi="Bookman Old Style"/>
        </w:rPr>
      </w:pPr>
      <w:r w:rsidRPr="000200D5">
        <w:rPr>
          <w:rFonts w:ascii="Bookman Old Style" w:hAnsi="Bookman Old Style" w:cs="Arial"/>
        </w:rPr>
        <w:t>Por la cual se modifica y complementa la Resolución CREG 119 de 2007</w:t>
      </w:r>
    </w:p>
    <w:p w:rsidR="00D92B07" w:rsidRPr="000200D5" w:rsidRDefault="00D92B07" w:rsidP="000200D5">
      <w:pPr>
        <w:widowControl w:val="0"/>
        <w:ind w:left="0"/>
        <w:jc w:val="center"/>
        <w:rPr>
          <w:rFonts w:ascii="Bookman Old Style" w:hAnsi="Bookman Old Style"/>
        </w:rPr>
      </w:pPr>
    </w:p>
    <w:p w:rsidR="00B6620F" w:rsidRPr="000200D5" w:rsidRDefault="00B6620F" w:rsidP="000200D5">
      <w:pPr>
        <w:widowControl w:val="0"/>
        <w:ind w:left="0"/>
        <w:jc w:val="center"/>
        <w:rPr>
          <w:rFonts w:ascii="Bookman Old Style" w:hAnsi="Bookman Old Style"/>
        </w:rPr>
      </w:pPr>
    </w:p>
    <w:p w:rsidR="003C3282" w:rsidRPr="000200D5" w:rsidRDefault="003C3282" w:rsidP="000200D5">
      <w:pPr>
        <w:pStyle w:val="Ttulo7"/>
        <w:widowControl w:val="0"/>
        <w:spacing w:before="0" w:after="0"/>
        <w:jc w:val="center"/>
        <w:rPr>
          <w:rFonts w:ascii="Bookman Old Style" w:hAnsi="Bookman Old Style" w:cs="Arial"/>
          <w:b/>
          <w:bCs/>
        </w:rPr>
      </w:pPr>
      <w:r w:rsidRPr="000200D5">
        <w:rPr>
          <w:rFonts w:ascii="Bookman Old Style" w:hAnsi="Bookman Old Style" w:cs="Arial"/>
          <w:b/>
          <w:bCs/>
        </w:rPr>
        <w:t>LA COMISIÓN DE REGULACIÓN DE ENERGÍA Y GAS</w:t>
      </w:r>
    </w:p>
    <w:p w:rsidR="003C3282" w:rsidRPr="000200D5" w:rsidRDefault="003C3282" w:rsidP="000200D5">
      <w:pPr>
        <w:widowControl w:val="0"/>
        <w:ind w:right="788"/>
        <w:rPr>
          <w:rFonts w:ascii="Bookman Old Style" w:hAnsi="Bookman Old Style" w:cs="Arial"/>
          <w:b/>
        </w:rPr>
      </w:pPr>
    </w:p>
    <w:p w:rsidR="003C3282" w:rsidRPr="000200D5" w:rsidRDefault="003C3282" w:rsidP="000200D5">
      <w:pPr>
        <w:widowControl w:val="0"/>
        <w:ind w:right="788"/>
        <w:rPr>
          <w:rFonts w:ascii="Bookman Old Style" w:hAnsi="Bookman Old Style" w:cs="Arial"/>
          <w:b/>
        </w:rPr>
      </w:pPr>
    </w:p>
    <w:p w:rsidR="003C3282" w:rsidRPr="000200D5" w:rsidRDefault="003C3282" w:rsidP="000200D5">
      <w:pPr>
        <w:widowControl w:val="0"/>
        <w:tabs>
          <w:tab w:val="left" w:pos="8789"/>
        </w:tabs>
        <w:ind w:left="0" w:right="49"/>
        <w:jc w:val="center"/>
        <w:rPr>
          <w:rFonts w:ascii="Bookman Old Style" w:hAnsi="Bookman Old Style" w:cs="Arial"/>
        </w:rPr>
      </w:pPr>
      <w:r w:rsidRPr="000200D5">
        <w:rPr>
          <w:rFonts w:ascii="Bookman Old Style" w:hAnsi="Bookman Old Style" w:cs="Arial"/>
        </w:rPr>
        <w:t>En ejercicio de sus atribuciones legales, en especial las conferidas por las leyes 142 y 143 de 1994, y en desarrollo de los decretos 1524 y 2253 de 1994</w:t>
      </w:r>
      <w:r w:rsidR="00B316E3" w:rsidRPr="000200D5">
        <w:rPr>
          <w:rFonts w:ascii="Bookman Old Style" w:hAnsi="Bookman Old Style" w:cs="Arial"/>
        </w:rPr>
        <w:t>, y</w:t>
      </w:r>
    </w:p>
    <w:p w:rsidR="003C3282" w:rsidRPr="000200D5" w:rsidRDefault="003C3282" w:rsidP="000200D5">
      <w:pPr>
        <w:widowControl w:val="0"/>
        <w:rPr>
          <w:rFonts w:ascii="Bookman Old Style" w:hAnsi="Bookman Old Style" w:cs="Arial"/>
        </w:rPr>
      </w:pPr>
    </w:p>
    <w:p w:rsidR="003C3282" w:rsidRPr="000200D5" w:rsidRDefault="003C3282" w:rsidP="000200D5">
      <w:pPr>
        <w:widowControl w:val="0"/>
        <w:rPr>
          <w:rFonts w:ascii="Bookman Old Style" w:hAnsi="Bookman Old Style" w:cs="Arial"/>
        </w:rPr>
      </w:pPr>
    </w:p>
    <w:p w:rsidR="003C3282" w:rsidRPr="000200D5" w:rsidRDefault="003C3282" w:rsidP="000200D5">
      <w:pPr>
        <w:widowControl w:val="0"/>
        <w:ind w:left="0"/>
        <w:jc w:val="center"/>
        <w:rPr>
          <w:rFonts w:ascii="Bookman Old Style" w:hAnsi="Bookman Old Style"/>
        </w:rPr>
      </w:pPr>
      <w:r w:rsidRPr="000200D5">
        <w:rPr>
          <w:rFonts w:ascii="Bookman Old Style" w:hAnsi="Bookman Old Style" w:cs="Arial"/>
          <w:b/>
          <w:spacing w:val="80"/>
        </w:rPr>
        <w:t>CONSIDERANDO QUE</w:t>
      </w:r>
      <w:r w:rsidRPr="000200D5">
        <w:rPr>
          <w:rFonts w:ascii="Bookman Old Style" w:hAnsi="Bookman Old Style" w:cs="Arial"/>
          <w:b/>
        </w:rPr>
        <w:t>:</w:t>
      </w:r>
    </w:p>
    <w:p w:rsidR="00715577" w:rsidRPr="000200D5" w:rsidRDefault="00715577" w:rsidP="000200D5">
      <w:pPr>
        <w:widowControl w:val="0"/>
        <w:ind w:left="0"/>
        <w:jc w:val="center"/>
        <w:rPr>
          <w:rFonts w:ascii="Bookman Old Style" w:hAnsi="Bookman Old Style"/>
        </w:rPr>
      </w:pPr>
    </w:p>
    <w:p w:rsidR="00EB244A" w:rsidRPr="000200D5" w:rsidRDefault="00EB244A" w:rsidP="000200D5">
      <w:pPr>
        <w:widowControl w:val="0"/>
        <w:ind w:left="0" w:right="47"/>
        <w:rPr>
          <w:rFonts w:ascii="Bookman Old Style" w:hAnsi="Bookman Old Style"/>
          <w:spacing w:val="-3"/>
        </w:rPr>
      </w:pPr>
    </w:p>
    <w:p w:rsidR="001E0F36" w:rsidRPr="000200D5" w:rsidRDefault="001E0F36" w:rsidP="000200D5">
      <w:pPr>
        <w:widowControl w:val="0"/>
        <w:ind w:left="0" w:right="47"/>
        <w:jc w:val="both"/>
        <w:rPr>
          <w:rFonts w:ascii="Bookman Old Style" w:hAnsi="Bookman Old Style" w:cs="Arial"/>
        </w:rPr>
      </w:pPr>
      <w:r w:rsidRPr="000200D5">
        <w:rPr>
          <w:rFonts w:ascii="Bookman Old Style" w:hAnsi="Bookman Old Style"/>
          <w:spacing w:val="-3"/>
        </w:rPr>
        <w:t xml:space="preserve">Mediante </w:t>
      </w:r>
      <w:r w:rsidR="009E2240" w:rsidRPr="000200D5">
        <w:rPr>
          <w:rFonts w:ascii="Bookman Old Style" w:hAnsi="Bookman Old Style"/>
          <w:spacing w:val="-3"/>
        </w:rPr>
        <w:t xml:space="preserve">la </w:t>
      </w:r>
      <w:r w:rsidRPr="000200D5">
        <w:rPr>
          <w:rFonts w:ascii="Bookman Old Style" w:hAnsi="Bookman Old Style"/>
          <w:spacing w:val="-3"/>
        </w:rPr>
        <w:t>Resolución CREG 119 de 2007 se aprobó</w:t>
      </w:r>
      <w:r w:rsidRPr="000200D5">
        <w:rPr>
          <w:rFonts w:ascii="Bookman Old Style" w:hAnsi="Bookman Old Style" w:cs="Arial"/>
        </w:rPr>
        <w:t xml:space="preserve"> la fórmula tarifaria general que permite a los </w:t>
      </w:r>
      <w:r w:rsidR="00D92B07" w:rsidRPr="000200D5">
        <w:rPr>
          <w:rFonts w:ascii="Bookman Old Style" w:hAnsi="Bookman Old Style" w:cs="Arial"/>
        </w:rPr>
        <w:t>c</w:t>
      </w:r>
      <w:r w:rsidRPr="000200D5">
        <w:rPr>
          <w:rFonts w:ascii="Bookman Old Style" w:hAnsi="Bookman Old Style" w:cs="Arial"/>
        </w:rPr>
        <w:t xml:space="preserve">omercializadores </w:t>
      </w:r>
      <w:r w:rsidR="00D92B07" w:rsidRPr="000200D5">
        <w:rPr>
          <w:rFonts w:ascii="Bookman Old Style" w:hAnsi="Bookman Old Style" w:cs="Arial"/>
        </w:rPr>
        <w:t>m</w:t>
      </w:r>
      <w:r w:rsidRPr="000200D5">
        <w:rPr>
          <w:rFonts w:ascii="Bookman Old Style" w:hAnsi="Bookman Old Style" w:cs="Arial"/>
        </w:rPr>
        <w:t>inoristas de electricidad establecer los costos de prestación del servicio a usuarios regulados en el Sistema Interconectado Nacional.</w:t>
      </w:r>
    </w:p>
    <w:p w:rsidR="001E0F36" w:rsidRPr="00EB244A" w:rsidRDefault="001E0F36" w:rsidP="000200D5">
      <w:pPr>
        <w:widowControl w:val="0"/>
        <w:ind w:left="0" w:right="47"/>
        <w:jc w:val="both"/>
        <w:rPr>
          <w:rFonts w:ascii="Bookman Old Style" w:hAnsi="Bookman Old Style" w:cs="Arial"/>
          <w:sz w:val="22"/>
        </w:rPr>
      </w:pPr>
    </w:p>
    <w:p w:rsidR="001E0F36" w:rsidRPr="000200D5" w:rsidRDefault="001E0F36" w:rsidP="000200D5">
      <w:pPr>
        <w:widowControl w:val="0"/>
        <w:ind w:left="0" w:right="47"/>
        <w:jc w:val="both"/>
        <w:rPr>
          <w:rFonts w:ascii="Bookman Old Style" w:hAnsi="Bookman Old Style" w:cs="Arial"/>
        </w:rPr>
      </w:pPr>
      <w:r w:rsidRPr="000200D5">
        <w:rPr>
          <w:rFonts w:ascii="Bookman Old Style" w:hAnsi="Bookman Old Style" w:cs="Arial"/>
        </w:rPr>
        <w:t xml:space="preserve">El artículo 11 de la Resolución CREG 119 de 2007 estableció la expresión con la cual se determina el </w:t>
      </w:r>
      <w:r w:rsidR="00D92B07" w:rsidRPr="000200D5">
        <w:rPr>
          <w:rFonts w:ascii="Bookman Old Style" w:hAnsi="Bookman Old Style" w:cs="Arial"/>
        </w:rPr>
        <w:t>c</w:t>
      </w:r>
      <w:r w:rsidRPr="000200D5">
        <w:rPr>
          <w:rFonts w:ascii="Bookman Old Style" w:hAnsi="Bookman Old Style" w:cs="Arial"/>
        </w:rPr>
        <w:t xml:space="preserve">osto de </w:t>
      </w:r>
      <w:r w:rsidR="00D92B07" w:rsidRPr="000200D5">
        <w:rPr>
          <w:rFonts w:ascii="Bookman Old Style" w:hAnsi="Bookman Old Style" w:cs="Arial"/>
        </w:rPr>
        <w:t>c</w:t>
      </w:r>
      <w:r w:rsidRPr="000200D5">
        <w:rPr>
          <w:rFonts w:ascii="Bookman Old Style" w:hAnsi="Bookman Old Style" w:cs="Arial"/>
        </w:rPr>
        <w:t>omercialización.</w:t>
      </w:r>
    </w:p>
    <w:p w:rsidR="000D25BF" w:rsidRPr="00EB244A" w:rsidRDefault="000D25BF" w:rsidP="000200D5">
      <w:pPr>
        <w:widowControl w:val="0"/>
        <w:ind w:left="0" w:right="47"/>
        <w:jc w:val="both"/>
        <w:rPr>
          <w:rFonts w:ascii="Bookman Old Style" w:hAnsi="Bookman Old Style" w:cs="Arial"/>
          <w:sz w:val="22"/>
        </w:rPr>
      </w:pPr>
    </w:p>
    <w:p w:rsidR="000D25BF" w:rsidRPr="000200D5" w:rsidRDefault="000D25BF" w:rsidP="000200D5">
      <w:pPr>
        <w:widowControl w:val="0"/>
        <w:ind w:left="0" w:right="47"/>
        <w:jc w:val="both"/>
        <w:rPr>
          <w:rFonts w:ascii="Bookman Old Style" w:hAnsi="Bookman Old Style" w:cs="Arial"/>
          <w:bCs/>
        </w:rPr>
      </w:pPr>
      <w:r w:rsidRPr="000200D5">
        <w:rPr>
          <w:rFonts w:ascii="Bookman Old Style" w:hAnsi="Bookman Old Style" w:cs="Arial"/>
        </w:rPr>
        <w:t xml:space="preserve">El artículo 11 de la Resolución CREG 119 de 2007 definió </w:t>
      </w:r>
      <w:r w:rsidR="009E2240" w:rsidRPr="000200D5">
        <w:rPr>
          <w:rFonts w:ascii="Bookman Old Style" w:hAnsi="Bookman Old Style" w:cs="Arial"/>
        </w:rPr>
        <w:t>las variables</w:t>
      </w:r>
      <w:r w:rsidRPr="000200D5">
        <w:rPr>
          <w:rFonts w:ascii="Bookman Old Style" w:hAnsi="Bookman Old Style" w:cs="Arial"/>
        </w:rPr>
        <w:t xml:space="preserve"> </w:t>
      </w:r>
      <m:oMath>
        <m:sSub>
          <m:sSubPr>
            <m:ctrlPr>
              <w:rPr>
                <w:rFonts w:ascii="Cambria Math" w:hAnsi="Cambria Math" w:cs="Arial"/>
                <w:bCs/>
                <w:i/>
              </w:rPr>
            </m:ctrlPr>
          </m:sSubPr>
          <m:e>
            <m:r>
              <w:rPr>
                <w:rFonts w:ascii="Cambria Math" w:hAnsi="Cambria Math" w:cs="Arial"/>
              </w:rPr>
              <m:t>Cv</m:t>
            </m:r>
          </m:e>
          <m:sub>
            <m:r>
              <w:rPr>
                <w:rFonts w:ascii="Cambria Math" w:hAnsi="Cambria Math" w:cs="Arial"/>
              </w:rPr>
              <m:t>m,i,j</m:t>
            </m:r>
          </m:sub>
        </m:sSub>
      </m:oMath>
      <w:r w:rsidRPr="000200D5">
        <w:rPr>
          <w:rFonts w:ascii="Bookman Old Style" w:hAnsi="Bookman Old Style" w:cs="Arial"/>
          <w:bCs/>
        </w:rPr>
        <w:t xml:space="preserve"> </w:t>
      </w:r>
      <w:r w:rsidR="00135862" w:rsidRPr="000200D5">
        <w:rPr>
          <w:rFonts w:ascii="Bookman Old Style" w:hAnsi="Bookman Old Style" w:cs="Arial"/>
          <w:bCs/>
        </w:rPr>
        <w:t xml:space="preserve">y </w:t>
      </w:r>
      <w:r w:rsidR="00135862" w:rsidRPr="000200D5">
        <w:rPr>
          <w:rFonts w:ascii="Bookman Old Style" w:hAnsi="Bookman Old Style" w:cs="Arial"/>
        </w:rPr>
        <w:t xml:space="preserve">el </w:t>
      </w:r>
      <m:oMath>
        <m:sSub>
          <m:sSubPr>
            <m:ctrlPr>
              <w:rPr>
                <w:rFonts w:ascii="Cambria Math" w:hAnsi="Cambria Math" w:cs="Arial"/>
                <w:bCs/>
                <w:i/>
              </w:rPr>
            </m:ctrlPr>
          </m:sSubPr>
          <m:e>
            <m:r>
              <w:rPr>
                <w:rFonts w:ascii="Cambria Math" w:hAnsi="Cambria Math" w:cs="Arial"/>
              </w:rPr>
              <m:t>Cf</m:t>
            </m:r>
          </m:e>
          <m:sub>
            <m:r>
              <w:rPr>
                <w:rFonts w:ascii="Cambria Math" w:hAnsi="Cambria Math" w:cs="Arial"/>
              </w:rPr>
              <m:t>m,j</m:t>
            </m:r>
          </m:sub>
        </m:sSub>
      </m:oMath>
      <w:r w:rsidR="00135862" w:rsidRPr="000200D5">
        <w:rPr>
          <w:rFonts w:ascii="Bookman Old Style" w:hAnsi="Bookman Old Style" w:cs="Arial"/>
          <w:bCs/>
        </w:rPr>
        <w:t xml:space="preserve"> </w:t>
      </w:r>
      <w:r w:rsidRPr="000200D5">
        <w:rPr>
          <w:rFonts w:ascii="Bookman Old Style" w:hAnsi="Bookman Old Style" w:cs="Arial"/>
          <w:bCs/>
        </w:rPr>
        <w:t xml:space="preserve">como el margen </w:t>
      </w:r>
      <w:r w:rsidR="00135862" w:rsidRPr="000200D5">
        <w:rPr>
          <w:rFonts w:ascii="Bookman Old Style" w:hAnsi="Bookman Old Style" w:cs="Arial"/>
          <w:bCs/>
        </w:rPr>
        <w:t xml:space="preserve">y el costo base </w:t>
      </w:r>
      <w:r w:rsidRPr="000200D5">
        <w:rPr>
          <w:rFonts w:ascii="Bookman Old Style" w:hAnsi="Bookman Old Style" w:cs="Arial"/>
          <w:bCs/>
        </w:rPr>
        <w:t>a reconocer a los comercializadores que atienden usuarios regulados</w:t>
      </w:r>
      <w:r w:rsidR="009E2240" w:rsidRPr="000200D5">
        <w:rPr>
          <w:rFonts w:ascii="Bookman Old Style" w:hAnsi="Bookman Old Style" w:cs="Arial"/>
          <w:bCs/>
        </w:rPr>
        <w:t>, respectivamente</w:t>
      </w:r>
      <w:r w:rsidRPr="000200D5">
        <w:rPr>
          <w:rFonts w:ascii="Bookman Old Style" w:hAnsi="Bookman Old Style" w:cs="Arial"/>
          <w:bCs/>
        </w:rPr>
        <w:t>.</w:t>
      </w:r>
    </w:p>
    <w:p w:rsidR="003D7BA1" w:rsidRPr="00EB244A" w:rsidRDefault="003D7BA1" w:rsidP="000200D5">
      <w:pPr>
        <w:widowControl w:val="0"/>
        <w:ind w:left="0" w:right="47"/>
        <w:jc w:val="both"/>
        <w:rPr>
          <w:rFonts w:ascii="Bookman Old Style" w:hAnsi="Bookman Old Style" w:cs="Arial"/>
          <w:bCs/>
          <w:sz w:val="22"/>
        </w:rPr>
      </w:pPr>
    </w:p>
    <w:p w:rsidR="004600D8" w:rsidRPr="000200D5" w:rsidRDefault="004600D8" w:rsidP="000200D5">
      <w:pPr>
        <w:widowControl w:val="0"/>
        <w:ind w:left="0" w:right="47"/>
        <w:jc w:val="both"/>
        <w:rPr>
          <w:rFonts w:ascii="Bookman Old Style" w:hAnsi="Bookman Old Style" w:cs="Arial"/>
        </w:rPr>
      </w:pPr>
      <w:r w:rsidRPr="000200D5">
        <w:rPr>
          <w:rFonts w:ascii="Bookman Old Style" w:hAnsi="Bookman Old Style" w:cs="Arial"/>
        </w:rPr>
        <w:t>La Resolución CREG 156 de 2011 estableció la figura del Prestador de Última Instancia a efectos de garantizar la continuidad del servicio de los usuarios atendidos por el comercializador respecto del cual se produzca el retiro del mercado</w:t>
      </w:r>
      <w:r w:rsidR="004233C1" w:rsidRPr="000200D5">
        <w:rPr>
          <w:rFonts w:ascii="Bookman Old Style" w:hAnsi="Bookman Old Style" w:cs="Arial"/>
        </w:rPr>
        <w:t>.</w:t>
      </w:r>
    </w:p>
    <w:p w:rsidR="007F7081" w:rsidRPr="00EB244A" w:rsidRDefault="007F7081" w:rsidP="000200D5">
      <w:pPr>
        <w:widowControl w:val="0"/>
        <w:ind w:left="0" w:right="47"/>
        <w:jc w:val="both"/>
        <w:rPr>
          <w:rFonts w:ascii="Bookman Old Style" w:hAnsi="Bookman Old Style" w:cs="Arial"/>
          <w:sz w:val="22"/>
        </w:rPr>
      </w:pPr>
    </w:p>
    <w:p w:rsidR="007F7081" w:rsidRPr="000200D5" w:rsidRDefault="007F7081" w:rsidP="000200D5">
      <w:pPr>
        <w:widowControl w:val="0"/>
        <w:ind w:left="0" w:right="47"/>
        <w:jc w:val="both"/>
        <w:rPr>
          <w:rFonts w:ascii="Bookman Old Style" w:hAnsi="Bookman Old Style" w:cs="Arial"/>
        </w:rPr>
      </w:pPr>
      <w:r w:rsidRPr="000200D5">
        <w:rPr>
          <w:rFonts w:ascii="Bookman Old Style" w:hAnsi="Bookman Old Style" w:cs="Arial"/>
        </w:rPr>
        <w:t>De conformidad con lo dispuesto en el artículo 36 de la Resolución CREG 156 de 2011, el comercializador debe constituir los mecanismos de cubrimiento para el pago de los cargos por uso del STR y del SDL. Entre los mecanismos señalados se encuentran las garantías financieras.</w:t>
      </w:r>
    </w:p>
    <w:p w:rsidR="00084AEB" w:rsidRPr="00EB244A" w:rsidRDefault="00084AEB" w:rsidP="000200D5">
      <w:pPr>
        <w:widowControl w:val="0"/>
        <w:ind w:left="0" w:right="47"/>
        <w:jc w:val="both"/>
        <w:rPr>
          <w:rFonts w:ascii="Bookman Old Style" w:hAnsi="Bookman Old Style" w:cs="Arial"/>
          <w:sz w:val="22"/>
        </w:rPr>
      </w:pPr>
    </w:p>
    <w:p w:rsidR="00084AEB" w:rsidRPr="000200D5" w:rsidRDefault="00084AEB" w:rsidP="000200D5">
      <w:pPr>
        <w:widowControl w:val="0"/>
        <w:ind w:left="0" w:right="47"/>
        <w:jc w:val="both"/>
        <w:rPr>
          <w:rFonts w:ascii="Bookman Old Style" w:hAnsi="Bookman Old Style" w:cs="Arial"/>
        </w:rPr>
      </w:pPr>
      <w:r w:rsidRPr="000200D5">
        <w:rPr>
          <w:rFonts w:ascii="Bookman Old Style" w:hAnsi="Bookman Old Style" w:cs="Arial"/>
        </w:rPr>
        <w:t>Es necesario incluir en las variables del margen de comercialización una que remunere el costo de la actividad de comercialización realizada por el Prestador de Última Instancia y otra variable que remunere el costo de las garantías financieras para cubrir el pago que el comercializador debe realizar de los cargos por uso del STR y/o SDL.</w:t>
      </w:r>
    </w:p>
    <w:p w:rsidR="007F7081" w:rsidRPr="00EB244A" w:rsidRDefault="007F7081" w:rsidP="000200D5">
      <w:pPr>
        <w:widowControl w:val="0"/>
        <w:ind w:left="0" w:right="47"/>
        <w:jc w:val="both"/>
        <w:rPr>
          <w:rFonts w:ascii="Bookman Old Style" w:hAnsi="Bookman Old Style" w:cs="Arial"/>
          <w:sz w:val="22"/>
        </w:rPr>
      </w:pPr>
    </w:p>
    <w:p w:rsidR="00017636" w:rsidRPr="000200D5" w:rsidRDefault="0038198C" w:rsidP="000200D5">
      <w:pPr>
        <w:widowControl w:val="0"/>
        <w:ind w:left="0" w:right="47"/>
        <w:jc w:val="both"/>
        <w:rPr>
          <w:rFonts w:ascii="Bookman Old Style" w:hAnsi="Bookman Old Style" w:cs="Arial"/>
        </w:rPr>
      </w:pPr>
      <w:r w:rsidRPr="000200D5">
        <w:rPr>
          <w:rFonts w:ascii="Bookman Old Style" w:hAnsi="Bookman Old Style" w:cs="Arial"/>
        </w:rPr>
        <w:t>Con la expedición de la Resolución CREG 158 de 2011 se modifican algunas disposiciones en materia de garantías y pagos anticipados de los agentes participantes en el Mercado de Energía Mayorista</w:t>
      </w:r>
      <w:r w:rsidR="00017636" w:rsidRPr="000200D5">
        <w:rPr>
          <w:rFonts w:ascii="Bookman Old Style" w:hAnsi="Bookman Old Style" w:cs="Arial"/>
        </w:rPr>
        <w:t>.</w:t>
      </w:r>
    </w:p>
    <w:p w:rsidR="009E2240" w:rsidRDefault="009E2240" w:rsidP="000200D5">
      <w:pPr>
        <w:widowControl w:val="0"/>
        <w:ind w:left="0" w:right="47"/>
        <w:jc w:val="both"/>
        <w:rPr>
          <w:rFonts w:ascii="Bookman Old Style" w:hAnsi="Bookman Old Style" w:cs="Arial"/>
        </w:rPr>
      </w:pPr>
    </w:p>
    <w:p w:rsidR="00A40B2A" w:rsidRPr="000200D5" w:rsidRDefault="00A40B2A" w:rsidP="000200D5">
      <w:pPr>
        <w:widowControl w:val="0"/>
        <w:ind w:left="0"/>
        <w:jc w:val="both"/>
        <w:rPr>
          <w:rFonts w:ascii="Bookman Old Style" w:hAnsi="Bookman Old Style" w:cs="Arial"/>
        </w:rPr>
      </w:pPr>
      <w:r w:rsidRPr="000200D5">
        <w:rPr>
          <w:rFonts w:ascii="Bookman Old Style" w:hAnsi="Bookman Old Style" w:cs="Arial"/>
        </w:rPr>
        <w:t xml:space="preserve">Algunos agentes en los comentarios presentados a la Resolución CREG 143 de 2010 han solicitado revisar el costo de las garantías regulado a través de la </w:t>
      </w:r>
      <w:r w:rsidRPr="000200D5">
        <w:rPr>
          <w:rFonts w:ascii="Bookman Old Style" w:hAnsi="Bookman Old Style" w:cs="Arial"/>
        </w:rPr>
        <w:lastRenderedPageBreak/>
        <w:t>Resolución CREG 036 de 2006 ocasionados por el cambio regulatorio a las garantías que se deben constituir ante el Mercado de Energía Mayorista</w:t>
      </w:r>
      <w:r w:rsidR="00EB244A">
        <w:rPr>
          <w:rFonts w:ascii="Bookman Old Style" w:hAnsi="Bookman Old Style" w:cs="Arial"/>
        </w:rPr>
        <w:t>.</w:t>
      </w:r>
    </w:p>
    <w:p w:rsidR="00A40B2A" w:rsidRPr="000200D5" w:rsidRDefault="00A40B2A" w:rsidP="000200D5">
      <w:pPr>
        <w:widowControl w:val="0"/>
        <w:ind w:left="0"/>
        <w:jc w:val="both"/>
        <w:rPr>
          <w:rFonts w:ascii="Bookman Old Style" w:hAnsi="Bookman Old Style" w:cs="Arial"/>
        </w:rPr>
      </w:pPr>
    </w:p>
    <w:p w:rsidR="00A40B2A" w:rsidRPr="000200D5" w:rsidRDefault="00A40B2A" w:rsidP="000200D5">
      <w:pPr>
        <w:widowControl w:val="0"/>
        <w:ind w:left="0"/>
        <w:jc w:val="both"/>
        <w:rPr>
          <w:rFonts w:ascii="Bookman Old Style" w:hAnsi="Bookman Old Style" w:cs="Arial"/>
        </w:rPr>
      </w:pPr>
      <w:r w:rsidRPr="000200D5">
        <w:rPr>
          <w:rFonts w:ascii="Bookman Old Style" w:hAnsi="Bookman Old Style" w:cs="Arial"/>
        </w:rPr>
        <w:t>En el Documento CREG 123 de 2011 se señaló que las consecuencias de la modificación del ciclo de efectivo de la actividad de comercialización de energía eléctrica se analizarían en el marco de la metodología para la remuneración de la actividad de comercialización.</w:t>
      </w:r>
    </w:p>
    <w:p w:rsidR="00A40B2A" w:rsidRPr="000200D5" w:rsidRDefault="00A40B2A" w:rsidP="000200D5">
      <w:pPr>
        <w:widowControl w:val="0"/>
        <w:ind w:left="0" w:right="47"/>
        <w:jc w:val="both"/>
        <w:rPr>
          <w:rFonts w:ascii="Bookman Old Style" w:hAnsi="Bookman Old Style" w:cs="Arial"/>
        </w:rPr>
      </w:pPr>
    </w:p>
    <w:p w:rsidR="00017636" w:rsidRPr="000200D5" w:rsidRDefault="00882ABC" w:rsidP="000200D5">
      <w:pPr>
        <w:widowControl w:val="0"/>
        <w:ind w:left="0" w:right="47"/>
        <w:jc w:val="both"/>
        <w:rPr>
          <w:rFonts w:ascii="Bookman Old Style" w:hAnsi="Bookman Old Style" w:cs="Arial"/>
          <w:i/>
        </w:rPr>
      </w:pPr>
      <w:r w:rsidRPr="000200D5">
        <w:rPr>
          <w:rFonts w:ascii="Bookman Old Style" w:hAnsi="Bookman Old Style" w:cs="Arial"/>
        </w:rPr>
        <w:t xml:space="preserve">De conformidad con </w:t>
      </w:r>
      <w:r w:rsidR="007A6D4C" w:rsidRPr="000200D5">
        <w:rPr>
          <w:rFonts w:ascii="Bookman Old Style" w:hAnsi="Bookman Old Style" w:cs="Arial"/>
        </w:rPr>
        <w:t xml:space="preserve">el </w:t>
      </w:r>
      <w:r w:rsidR="00614FAD" w:rsidRPr="000200D5">
        <w:rPr>
          <w:rFonts w:ascii="Bookman Old Style" w:hAnsi="Bookman Old Style" w:cs="Arial"/>
        </w:rPr>
        <w:t>a</w:t>
      </w:r>
      <w:r w:rsidR="007A6D4C" w:rsidRPr="000200D5">
        <w:rPr>
          <w:rFonts w:ascii="Bookman Old Style" w:hAnsi="Bookman Old Style" w:cs="Arial"/>
        </w:rPr>
        <w:t>rtículo 1 d</w:t>
      </w:r>
      <w:r w:rsidRPr="000200D5">
        <w:rPr>
          <w:rFonts w:ascii="Bookman Old Style" w:hAnsi="Bookman Old Style" w:cs="Arial"/>
        </w:rPr>
        <w:t xml:space="preserve">el Decreto 3414 de 2009, </w:t>
      </w:r>
      <w:r w:rsidR="00614FAD" w:rsidRPr="000200D5">
        <w:rPr>
          <w:rFonts w:ascii="Bookman Old Style" w:hAnsi="Bookman Old Style" w:cs="Arial"/>
          <w:i/>
        </w:rPr>
        <w:t>“</w:t>
      </w:r>
      <w:r w:rsidRPr="000200D5">
        <w:rPr>
          <w:rFonts w:ascii="Bookman Old Style" w:hAnsi="Bookman Old Style" w:cs="Arial"/>
          <w:i/>
        </w:rPr>
        <w:t xml:space="preserve">la Comisión de Regulación de Energía y Gas, al adoptar la metodología de </w:t>
      </w:r>
      <w:r w:rsidR="000451F6">
        <w:rPr>
          <w:rFonts w:ascii="Bookman Old Style" w:hAnsi="Bookman Old Style" w:cs="Arial"/>
          <w:i/>
        </w:rPr>
        <w:t xml:space="preserve">remuneración de la actividad de </w:t>
      </w:r>
      <w:r w:rsidRPr="000200D5">
        <w:rPr>
          <w:rFonts w:ascii="Bookman Old Style" w:hAnsi="Bookman Old Style" w:cs="Arial"/>
          <w:i/>
        </w:rPr>
        <w:t xml:space="preserve">comercialización </w:t>
      </w:r>
      <w:r w:rsidR="007A6D4C" w:rsidRPr="000200D5">
        <w:rPr>
          <w:rFonts w:ascii="Bookman Old Style" w:hAnsi="Bookman Old Style" w:cs="Arial"/>
          <w:i/>
        </w:rPr>
        <w:t>sólo aplicará lo dispuesto por el literal g del artículo 3° del Decreto 387 de 2007, si al momento de aprobar dicha metodología, el Ministerio de Minas y Energía establece que a la luz de lo previsto en el Marco de Gasto de Mediano Plazo, dispondrá de los recursos necesarios para sufragar los gastos adicionales por concepto de subsidios a la demanda.</w:t>
      </w:r>
      <w:r w:rsidR="00614FAD" w:rsidRPr="000200D5">
        <w:rPr>
          <w:rFonts w:ascii="Bookman Old Style" w:hAnsi="Bookman Old Style" w:cs="Arial"/>
          <w:i/>
        </w:rPr>
        <w:t>”</w:t>
      </w:r>
    </w:p>
    <w:p w:rsidR="007A6D4C" w:rsidRPr="000200D5" w:rsidRDefault="007A6D4C" w:rsidP="000200D5">
      <w:pPr>
        <w:widowControl w:val="0"/>
        <w:ind w:left="0" w:right="47"/>
        <w:jc w:val="both"/>
        <w:rPr>
          <w:rFonts w:ascii="Bookman Old Style" w:hAnsi="Bookman Old Style" w:cs="Arial"/>
          <w:i/>
        </w:rPr>
      </w:pPr>
    </w:p>
    <w:p w:rsidR="00017636" w:rsidRPr="000200D5" w:rsidRDefault="007A6D4C" w:rsidP="000200D5">
      <w:pPr>
        <w:widowControl w:val="0"/>
        <w:ind w:left="0" w:right="47"/>
        <w:jc w:val="both"/>
        <w:rPr>
          <w:rFonts w:ascii="Bookman Old Style" w:hAnsi="Bookman Old Style" w:cs="Arial"/>
        </w:rPr>
      </w:pPr>
      <w:r w:rsidRPr="000200D5">
        <w:rPr>
          <w:rFonts w:ascii="Bookman Old Style" w:hAnsi="Bookman Old Style" w:cs="Arial"/>
        </w:rPr>
        <w:t>D</w:t>
      </w:r>
      <w:r w:rsidR="00614FAD" w:rsidRPr="000200D5">
        <w:rPr>
          <w:rFonts w:ascii="Bookman Old Style" w:hAnsi="Bookman Old Style" w:cs="Arial"/>
        </w:rPr>
        <w:t>e conformidad con el a</w:t>
      </w:r>
      <w:r w:rsidRPr="000200D5">
        <w:rPr>
          <w:rFonts w:ascii="Bookman Old Style" w:hAnsi="Bookman Old Style" w:cs="Arial"/>
        </w:rPr>
        <w:t xml:space="preserve">rtículo 2 del Decreto 3414 de 2009, </w:t>
      </w:r>
      <w:r w:rsidR="008E1CA1" w:rsidRPr="000200D5">
        <w:rPr>
          <w:rFonts w:ascii="Bookman Old Style" w:hAnsi="Bookman Old Style" w:cs="Arial"/>
        </w:rPr>
        <w:t xml:space="preserve">para efectos de la aplicación de lo dispuesto en el </w:t>
      </w:r>
      <w:r w:rsidR="00614FAD" w:rsidRPr="000200D5">
        <w:rPr>
          <w:rFonts w:ascii="Bookman Old Style" w:hAnsi="Bookman Old Style" w:cs="Arial"/>
        </w:rPr>
        <w:t>a</w:t>
      </w:r>
      <w:r w:rsidR="008E1CA1" w:rsidRPr="000200D5">
        <w:rPr>
          <w:rFonts w:ascii="Bookman Old Style" w:hAnsi="Bookman Old Style" w:cs="Arial"/>
        </w:rPr>
        <w:t>rtículo 1 del mismo Decreto, la Comisión de Regulación de Energía y Gas, realizará los ajustes necesarios a la Resolución CREG 119 de 2007.</w:t>
      </w:r>
    </w:p>
    <w:p w:rsidR="001E0F36" w:rsidRPr="000200D5" w:rsidRDefault="001E0F36" w:rsidP="000200D5">
      <w:pPr>
        <w:widowControl w:val="0"/>
        <w:ind w:left="0" w:right="47"/>
        <w:jc w:val="both"/>
        <w:rPr>
          <w:rFonts w:ascii="Bookman Old Style" w:hAnsi="Bookman Old Style" w:cs="Arial"/>
        </w:rPr>
      </w:pPr>
    </w:p>
    <w:p w:rsidR="009878DB" w:rsidRPr="009E2240" w:rsidRDefault="009878DB" w:rsidP="000200D5">
      <w:pPr>
        <w:widowControl w:val="0"/>
        <w:autoSpaceDE w:val="0"/>
        <w:autoSpaceDN w:val="0"/>
        <w:adjustRightInd w:val="0"/>
        <w:ind w:left="0"/>
        <w:jc w:val="both"/>
        <w:rPr>
          <w:rFonts w:ascii="Bookman Old Style" w:hAnsi="Bookman Old Style"/>
          <w:lang w:eastAsia="es-CO"/>
        </w:rPr>
      </w:pPr>
    </w:p>
    <w:p w:rsidR="001B36D8" w:rsidRPr="009E2240" w:rsidRDefault="001B36D8" w:rsidP="000200D5">
      <w:pPr>
        <w:widowControl w:val="0"/>
        <w:ind w:left="0"/>
        <w:jc w:val="center"/>
        <w:rPr>
          <w:rFonts w:ascii="Bookman Old Style" w:hAnsi="Bookman Old Style" w:cs="Arial"/>
        </w:rPr>
      </w:pPr>
      <w:r w:rsidRPr="009E2240">
        <w:rPr>
          <w:rFonts w:ascii="Bookman Old Style" w:hAnsi="Bookman Old Style" w:cs="Arial"/>
          <w:b/>
          <w:spacing w:val="80"/>
        </w:rPr>
        <w:t>RESUELVE</w:t>
      </w:r>
      <w:r w:rsidRPr="009E2240">
        <w:rPr>
          <w:rFonts w:ascii="Bookman Old Style" w:hAnsi="Bookman Old Style" w:cs="Arial"/>
          <w:b/>
        </w:rPr>
        <w:t>:</w:t>
      </w:r>
    </w:p>
    <w:p w:rsidR="001B36D8" w:rsidRPr="009E2240" w:rsidRDefault="001B36D8" w:rsidP="000200D5">
      <w:pPr>
        <w:widowControl w:val="0"/>
        <w:tabs>
          <w:tab w:val="left" w:pos="-720"/>
        </w:tabs>
        <w:ind w:left="0"/>
        <w:rPr>
          <w:rFonts w:ascii="Bookman Old Style" w:hAnsi="Bookman Old Style" w:cs="Arial"/>
          <w:b/>
          <w:spacing w:val="-3"/>
        </w:rPr>
      </w:pPr>
    </w:p>
    <w:p w:rsidR="00777A83" w:rsidRPr="009E2240" w:rsidRDefault="00777A83" w:rsidP="000200D5">
      <w:pPr>
        <w:widowControl w:val="0"/>
        <w:tabs>
          <w:tab w:val="left" w:pos="-720"/>
        </w:tabs>
        <w:ind w:left="0"/>
        <w:rPr>
          <w:rFonts w:ascii="Bookman Old Style" w:hAnsi="Bookman Old Style" w:cs="Arial"/>
          <w:b/>
          <w:spacing w:val="-3"/>
        </w:rPr>
      </w:pPr>
    </w:p>
    <w:p w:rsidR="00182AC2" w:rsidRPr="009E2240" w:rsidRDefault="00182AC2" w:rsidP="000200D5">
      <w:pPr>
        <w:pStyle w:val="Estilo2"/>
        <w:keepNext w:val="0"/>
        <w:numPr>
          <w:ilvl w:val="0"/>
          <w:numId w:val="17"/>
        </w:numPr>
        <w:tabs>
          <w:tab w:val="clear" w:pos="1440"/>
        </w:tabs>
      </w:pPr>
      <w:r w:rsidRPr="009E2240">
        <w:t xml:space="preserve">Costo Unitario de Prestación del Servicio de Energía Eléctrica. </w:t>
      </w:r>
      <w:r w:rsidRPr="009E2240">
        <w:rPr>
          <w:b w:val="0"/>
        </w:rPr>
        <w:t>El artículo 4 de la Resolución CREG 119 de 2007 quedará así:</w:t>
      </w:r>
    </w:p>
    <w:p w:rsidR="00182AC2" w:rsidRPr="009E2240" w:rsidRDefault="00182AC2" w:rsidP="000200D5">
      <w:pPr>
        <w:widowControl w:val="0"/>
        <w:ind w:left="709"/>
        <w:rPr>
          <w:rFonts w:ascii="Bookman Old Style" w:hAnsi="Bookman Old Style"/>
        </w:rPr>
      </w:pPr>
    </w:p>
    <w:p w:rsidR="00182AC2" w:rsidRPr="009E2240" w:rsidRDefault="00EB244A" w:rsidP="000200D5">
      <w:pPr>
        <w:widowControl w:val="0"/>
        <w:ind w:left="709"/>
        <w:jc w:val="both"/>
        <w:rPr>
          <w:rFonts w:ascii="Bookman Old Style" w:hAnsi="Bookman Old Style" w:cs="Arial"/>
          <w:b/>
        </w:rPr>
      </w:pPr>
      <w:r>
        <w:rPr>
          <w:rFonts w:ascii="Bookman Old Style" w:hAnsi="Bookman Old Style" w:cs="Arial"/>
          <w:b/>
        </w:rPr>
        <w:t>“</w:t>
      </w:r>
      <w:r w:rsidR="00182AC2" w:rsidRPr="009E2240">
        <w:rPr>
          <w:rFonts w:ascii="Bookman Old Style" w:hAnsi="Bookman Old Style" w:cs="Arial"/>
          <w:b/>
        </w:rPr>
        <w:t>Artículo 4. Costo Unitario de Prestación del Servicio de Energía Eléctrica</w:t>
      </w:r>
      <w:r w:rsidR="00614FAD">
        <w:rPr>
          <w:rFonts w:ascii="Bookman Old Style" w:hAnsi="Bookman Old Style" w:cs="Arial"/>
          <w:b/>
        </w:rPr>
        <w:t>.</w:t>
      </w:r>
      <w:r w:rsidR="00182AC2" w:rsidRPr="009E2240">
        <w:rPr>
          <w:rFonts w:ascii="Bookman Old Style" w:hAnsi="Bookman Old Style" w:cs="Arial"/>
          <w:b/>
        </w:rPr>
        <w:t xml:space="preserve"> </w:t>
      </w:r>
      <w:r w:rsidR="00182AC2" w:rsidRPr="009E2240">
        <w:rPr>
          <w:rFonts w:ascii="Bookman Old Style" w:hAnsi="Bookman Old Style"/>
        </w:rPr>
        <w:t>El Costo Unitario de Prestación del Servicio consta de un componente variable de acuerdo con el nivel de consumo, expresado en $/kWh, y un componente fijo, expresado en $/factura, según se indica a continuación:</w:t>
      </w:r>
    </w:p>
    <w:p w:rsidR="00182AC2" w:rsidRPr="009E2240" w:rsidRDefault="00182AC2" w:rsidP="000200D5">
      <w:pPr>
        <w:widowControl w:val="0"/>
        <w:ind w:left="709"/>
        <w:jc w:val="both"/>
        <w:rPr>
          <w:rFonts w:ascii="Bookman Old Style" w:hAnsi="Bookman Old Style"/>
        </w:rPr>
      </w:pPr>
    </w:p>
    <w:p w:rsidR="00182AC2" w:rsidRPr="009E2240" w:rsidRDefault="00182AC2" w:rsidP="000200D5">
      <w:pPr>
        <w:widowControl w:val="0"/>
        <w:ind w:left="709"/>
        <w:jc w:val="both"/>
        <w:rPr>
          <w:rFonts w:ascii="Bookman Old Style" w:hAnsi="Bookman Old Style"/>
        </w:rPr>
      </w:pPr>
    </w:p>
    <w:p w:rsidR="00182AC2" w:rsidRPr="009E2240" w:rsidRDefault="00942C2A" w:rsidP="000200D5">
      <w:pPr>
        <w:widowControl w:val="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CUv</m:t>
              </m:r>
            </m:e>
            <m:sub>
              <m:r>
                <w:rPr>
                  <w:rFonts w:ascii="Cambria Math" w:hAnsi="Cambria Math"/>
                  <w:color w:val="000000"/>
                </w:rPr>
                <m:t>n,m,i,j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m,i,j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m,i,j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PR</m:t>
              </m:r>
            </m:e>
            <m:sub>
              <m:r>
                <w:rPr>
                  <w:rFonts w:ascii="Cambria Math" w:hAnsi="Cambria Math"/>
                  <w:color w:val="000000"/>
                </w:rPr>
                <m:t>n,m,i,j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m,i</m:t>
              </m:r>
            </m:sub>
          </m:sSub>
        </m:oMath>
      </m:oMathPara>
    </w:p>
    <w:p w:rsidR="00A76425" w:rsidRPr="009E2240" w:rsidRDefault="00A76425" w:rsidP="000200D5">
      <w:pPr>
        <w:widowControl w:val="0"/>
        <w:ind w:left="709"/>
        <w:rPr>
          <w:rFonts w:ascii="Bookman Old Style" w:hAnsi="Bookman Old Style"/>
          <w:color w:val="000000"/>
        </w:rPr>
      </w:pPr>
    </w:p>
    <w:p w:rsidR="00A76425" w:rsidRPr="009E2240" w:rsidRDefault="00A76425" w:rsidP="000200D5">
      <w:pPr>
        <w:widowControl w:val="0"/>
        <w:ind w:left="709"/>
        <w:rPr>
          <w:rFonts w:ascii="Bookman Old Style" w:hAnsi="Bookman Old Style"/>
          <w:color w:val="000000"/>
        </w:rPr>
      </w:pPr>
    </w:p>
    <w:p w:rsidR="00182AC2" w:rsidRPr="009E2240" w:rsidRDefault="00942C2A" w:rsidP="000200D5">
      <w:pPr>
        <w:widowControl w:val="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m,j</m:t>
              </m:r>
            </m:sub>
          </m:sSub>
          <m:r>
            <w:rPr>
              <w:rFonts w:ascii="Cambria Math" w:hAnsi="Cambria Math"/>
              <w:color w:val="000000"/>
            </w:rPr>
            <m:t>=β×</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m:oMathPara>
    </w:p>
    <w:p w:rsidR="00182AC2" w:rsidRPr="009E2240" w:rsidRDefault="00182AC2" w:rsidP="000200D5">
      <w:pPr>
        <w:widowControl w:val="0"/>
        <w:ind w:left="709"/>
        <w:rPr>
          <w:rFonts w:ascii="Bookman Old Style" w:hAnsi="Bookman Old Style"/>
        </w:rPr>
      </w:pPr>
    </w:p>
    <w:p w:rsidR="00A76425" w:rsidRPr="009E2240" w:rsidRDefault="00A76425" w:rsidP="000200D5">
      <w:pPr>
        <w:widowControl w:val="0"/>
        <w:ind w:left="709"/>
        <w:rPr>
          <w:rFonts w:ascii="Bookman Old Style" w:hAnsi="Bookman Old Style"/>
        </w:rPr>
      </w:pPr>
    </w:p>
    <w:p w:rsidR="00182AC2" w:rsidRPr="009E2240" w:rsidRDefault="00182AC2" w:rsidP="000200D5">
      <w:pPr>
        <w:widowControl w:val="0"/>
        <w:ind w:left="709"/>
        <w:rPr>
          <w:rFonts w:ascii="Bookman Old Style" w:hAnsi="Bookman Old Style"/>
        </w:rPr>
      </w:pPr>
      <w:r w:rsidRPr="009E2240">
        <w:rPr>
          <w:rFonts w:ascii="Bookman Old Style" w:hAnsi="Bookman Old Style"/>
        </w:rPr>
        <w:t>Donde:</w:t>
      </w:r>
    </w:p>
    <w:p w:rsidR="00A76425" w:rsidRPr="009E2240" w:rsidRDefault="00A76425" w:rsidP="000200D5">
      <w:pPr>
        <w:widowControl w:val="0"/>
        <w:ind w:left="2410" w:hanging="1701"/>
        <w:rPr>
          <w:rFonts w:ascii="Bookman Old Style" w:hAnsi="Bookman Old Style"/>
          <w:i/>
        </w:rPr>
      </w:pPr>
    </w:p>
    <w:p w:rsidR="00182AC2" w:rsidRPr="009E2240" w:rsidRDefault="00CB2618" w:rsidP="000200D5">
      <w:pPr>
        <w:widowControl w:val="0"/>
        <w:ind w:left="2127" w:hanging="1418"/>
        <w:jc w:val="both"/>
        <w:rPr>
          <w:rFonts w:ascii="Bookman Old Style" w:hAnsi="Bookman Old Style"/>
        </w:rPr>
      </w:pPr>
      <m:oMath>
        <m:r>
          <w:rPr>
            <w:rFonts w:ascii="Cambria Math" w:hAnsi="Cambria Math"/>
          </w:rPr>
          <m:t>n</m:t>
        </m:r>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Nivel de tensión de conexión del usuario.</w:t>
      </w:r>
    </w:p>
    <w:p w:rsidR="00A76425" w:rsidRPr="009E2240" w:rsidRDefault="00A76425" w:rsidP="000200D5">
      <w:pPr>
        <w:widowControl w:val="0"/>
        <w:ind w:left="2410" w:hanging="1701"/>
        <w:jc w:val="both"/>
        <w:rPr>
          <w:rFonts w:ascii="Bookman Old Style" w:hAnsi="Bookman Old Style"/>
          <w:i/>
        </w:rPr>
      </w:pPr>
    </w:p>
    <w:p w:rsidR="00182AC2" w:rsidRPr="009E2240" w:rsidRDefault="00CB2618" w:rsidP="000200D5">
      <w:pPr>
        <w:widowControl w:val="0"/>
        <w:ind w:left="2127" w:hanging="1418"/>
        <w:jc w:val="both"/>
        <w:rPr>
          <w:rFonts w:ascii="Bookman Old Style" w:hAnsi="Bookman Old Style"/>
        </w:rPr>
      </w:pPr>
      <m:oMath>
        <m:r>
          <w:rPr>
            <w:rFonts w:ascii="Cambria Math" w:hAnsi="Cambria Math"/>
          </w:rPr>
          <m:t>m</m:t>
        </m:r>
      </m:oMath>
      <w:r w:rsidR="00182AC2" w:rsidRPr="009E2240">
        <w:rPr>
          <w:rFonts w:ascii="Bookman Old Style" w:hAnsi="Bookman Old Style"/>
        </w:rPr>
        <w:t>:</w:t>
      </w:r>
      <w:r w:rsidR="00A76425" w:rsidRPr="009E2240">
        <w:rPr>
          <w:rFonts w:ascii="Bookman Old Style" w:hAnsi="Bookman Old Style"/>
        </w:rPr>
        <w:tab/>
      </w:r>
      <w:r w:rsidR="00182AC2" w:rsidRPr="009E2240">
        <w:rPr>
          <w:rFonts w:ascii="Bookman Old Style" w:hAnsi="Bookman Old Style"/>
        </w:rPr>
        <w:t>Es el mes para el cual se calcula el Costo Unitario de Prestación del Servicio.</w:t>
      </w:r>
    </w:p>
    <w:p w:rsidR="00182AC2" w:rsidRPr="009E2240" w:rsidRDefault="00CB2618" w:rsidP="000200D5">
      <w:pPr>
        <w:widowControl w:val="0"/>
        <w:ind w:left="2127" w:hanging="1418"/>
        <w:jc w:val="both"/>
        <w:rPr>
          <w:rFonts w:ascii="Bookman Old Style" w:hAnsi="Bookman Old Style"/>
        </w:rPr>
      </w:pPr>
      <m:oMath>
        <m:r>
          <w:rPr>
            <w:rFonts w:ascii="Cambria Math" w:hAnsi="Cambria Math"/>
          </w:rPr>
          <m:t>i</m:t>
        </m:r>
      </m:oMath>
      <w:r w:rsidR="00182AC2" w:rsidRPr="009E2240">
        <w:rPr>
          <w:rFonts w:ascii="Bookman Old Style" w:hAnsi="Bookman Old Style"/>
        </w:rPr>
        <w:t xml:space="preserve">: </w:t>
      </w:r>
      <w:r w:rsidR="00A76425" w:rsidRPr="009E2240">
        <w:rPr>
          <w:rFonts w:ascii="Bookman Old Style" w:hAnsi="Bookman Old Style"/>
        </w:rPr>
        <w:tab/>
      </w:r>
      <w:r w:rsidR="00BF0D33" w:rsidRPr="009E2240">
        <w:rPr>
          <w:rFonts w:ascii="Bookman Old Style" w:hAnsi="Bookman Old Style"/>
        </w:rPr>
        <w:t>Comercializador Minorista.</w:t>
      </w:r>
    </w:p>
    <w:p w:rsidR="00182AC2" w:rsidRPr="009E2240" w:rsidRDefault="00CB2618" w:rsidP="000200D5">
      <w:pPr>
        <w:widowControl w:val="0"/>
        <w:ind w:left="2127" w:hanging="1418"/>
        <w:jc w:val="both"/>
        <w:rPr>
          <w:rFonts w:ascii="Bookman Old Style" w:hAnsi="Bookman Old Style"/>
        </w:rPr>
      </w:pPr>
      <m:oMath>
        <m:r>
          <w:rPr>
            <w:rFonts w:ascii="Cambria Math" w:hAnsi="Cambria Math"/>
          </w:rPr>
          <w:lastRenderedPageBreak/>
          <m:t>j</m:t>
        </m:r>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 xml:space="preserve">Es </w:t>
      </w:r>
      <w:r w:rsidR="00BF0D33" w:rsidRPr="009E2240">
        <w:rPr>
          <w:rFonts w:ascii="Bookman Old Style" w:hAnsi="Bookman Old Style"/>
        </w:rPr>
        <w:t>el Mercado de Comercialización.</w:t>
      </w:r>
    </w:p>
    <w:p w:rsidR="00A76425" w:rsidRPr="009E2240" w:rsidRDefault="00A76425"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CUv</m:t>
            </m:r>
          </m:e>
          <m:sub>
            <m:r>
              <w:rPr>
                <w:rFonts w:ascii="Cambria Math" w:hAnsi="Cambria Math"/>
                <w:color w:val="000000"/>
              </w:rPr>
              <m:t>n,m,i,j</m:t>
            </m:r>
          </m:sub>
        </m:sSub>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 xml:space="preserve">Componente variable del Costo Unitario de Prestación del Servicio ($/kWh) para los usuarios conectados al nivel de tensión </w:t>
      </w:r>
      <w:r w:rsidR="00182AC2" w:rsidRPr="009E2240">
        <w:rPr>
          <w:rFonts w:ascii="Bookman Old Style" w:hAnsi="Bookman Old Style"/>
          <w:i/>
        </w:rPr>
        <w:t>n</w:t>
      </w:r>
      <w:r w:rsidR="00182AC2" w:rsidRPr="009E2240">
        <w:rPr>
          <w:rFonts w:ascii="Bookman Old Style" w:hAnsi="Bookman Old Style"/>
        </w:rPr>
        <w:t xml:space="preserve">, correspondiente al mes </w:t>
      </w:r>
      <w:r w:rsidR="00182AC2" w:rsidRPr="009E2240">
        <w:rPr>
          <w:rFonts w:ascii="Bookman Old Style" w:hAnsi="Bookman Old Style"/>
          <w:i/>
        </w:rPr>
        <w:t>m</w:t>
      </w:r>
      <w:r w:rsidR="00182AC2" w:rsidRPr="009E2240">
        <w:rPr>
          <w:rFonts w:ascii="Bookman Old Style" w:hAnsi="Bookman Old Style"/>
        </w:rPr>
        <w:t xml:space="preserve">, del Comercializador Minorista </w:t>
      </w:r>
      <w:r w:rsidR="00182AC2" w:rsidRPr="009E2240">
        <w:rPr>
          <w:rFonts w:ascii="Bookman Old Style" w:hAnsi="Bookman Old Style"/>
          <w:i/>
        </w:rPr>
        <w:t>i</w:t>
      </w:r>
      <w:r w:rsidR="00182AC2" w:rsidRPr="009E2240">
        <w:rPr>
          <w:rFonts w:ascii="Bookman Old Style" w:hAnsi="Bookman Old Style"/>
        </w:rPr>
        <w:t xml:space="preserve">, en el Mercado de Comercialización </w:t>
      </w:r>
      <w:r w:rsidR="00182AC2" w:rsidRPr="009E2240">
        <w:rPr>
          <w:rFonts w:ascii="Bookman Old Style" w:hAnsi="Bookman Old Style"/>
          <w:i/>
        </w:rPr>
        <w:t>j</w:t>
      </w:r>
      <w:r w:rsidR="00182AC2" w:rsidRPr="009E2240">
        <w:rPr>
          <w:rFonts w:ascii="Bookman Old Style" w:hAnsi="Bookman Old Style"/>
        </w:rPr>
        <w:t>.</w:t>
      </w:r>
    </w:p>
    <w:p w:rsidR="00A76425" w:rsidRPr="009E2240" w:rsidRDefault="00A76425" w:rsidP="000200D5">
      <w:pPr>
        <w:widowControl w:val="0"/>
        <w:ind w:left="1560" w:hanging="85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m,i,j</m:t>
            </m:r>
          </m:sub>
        </m:sSub>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 xml:space="preserve">Costo de compra de energía ($/kWh) para el mes </w:t>
      </w:r>
      <w:r w:rsidR="00182AC2" w:rsidRPr="009E2240">
        <w:rPr>
          <w:rFonts w:ascii="Bookman Old Style" w:hAnsi="Bookman Old Style"/>
          <w:i/>
        </w:rPr>
        <w:t>m,</w:t>
      </w:r>
      <w:r w:rsidR="00182AC2" w:rsidRPr="009E2240">
        <w:rPr>
          <w:rFonts w:ascii="Bookman Old Style" w:hAnsi="Bookman Old Style"/>
        </w:rPr>
        <w:t xml:space="preserve"> del Comercializador Minorista </w:t>
      </w:r>
      <w:r w:rsidR="00182AC2" w:rsidRPr="009E2240">
        <w:rPr>
          <w:rFonts w:ascii="Bookman Old Style" w:hAnsi="Bookman Old Style"/>
          <w:i/>
        </w:rPr>
        <w:t>i</w:t>
      </w:r>
      <w:r w:rsidR="00182AC2" w:rsidRPr="009E2240">
        <w:rPr>
          <w:rFonts w:ascii="Bookman Old Style" w:hAnsi="Bookman Old Style"/>
        </w:rPr>
        <w:t xml:space="preserve">, en el Mercado de Comercialización </w:t>
      </w:r>
      <w:r w:rsidR="00182AC2" w:rsidRPr="009E2240">
        <w:rPr>
          <w:rFonts w:ascii="Bookman Old Style" w:hAnsi="Bookman Old Style"/>
          <w:i/>
        </w:rPr>
        <w:t>j</w:t>
      </w:r>
      <w:r w:rsidR="00614FAD">
        <w:rPr>
          <w:rFonts w:ascii="Bookman Old Style" w:hAnsi="Bookman Old Style"/>
        </w:rPr>
        <w:t>, determinado</w:t>
      </w:r>
      <w:r w:rsidR="00182AC2" w:rsidRPr="009E2240">
        <w:rPr>
          <w:rFonts w:ascii="Bookman Old Style" w:hAnsi="Bookman Old Style"/>
        </w:rPr>
        <w:t xml:space="preserve"> conforme se establece en el Capítulo </w:t>
      </w:r>
      <w:r w:rsidR="00BF0D33" w:rsidRPr="009E2240">
        <w:rPr>
          <w:rFonts w:ascii="Bookman Old Style" w:hAnsi="Bookman Old Style"/>
        </w:rPr>
        <w:t>III de la presente Resolución.</w:t>
      </w:r>
    </w:p>
    <w:p w:rsidR="00A76425" w:rsidRPr="009E2240" w:rsidRDefault="00A76425"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m</m:t>
            </m:r>
          </m:sub>
        </m:sSub>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 xml:space="preserve">Costo por uso del Sistema Nacional de Transmisión ($/kWh) para el mes </w:t>
      </w:r>
      <w:r w:rsidR="00182AC2" w:rsidRPr="009E2240">
        <w:rPr>
          <w:rFonts w:ascii="Bookman Old Style" w:hAnsi="Bookman Old Style"/>
          <w:i/>
        </w:rPr>
        <w:t>m</w:t>
      </w:r>
      <w:r w:rsidR="00182AC2" w:rsidRPr="009E2240">
        <w:rPr>
          <w:rFonts w:ascii="Bookman Old Style" w:hAnsi="Bookman Old Style"/>
        </w:rPr>
        <w:t xml:space="preserve"> determinado conforme al Capítul</w:t>
      </w:r>
      <w:r w:rsidR="00BF0D33" w:rsidRPr="009E2240">
        <w:rPr>
          <w:rFonts w:ascii="Bookman Old Style" w:hAnsi="Bookman Old Style"/>
        </w:rPr>
        <w:t>o IV de la presente Resolución.</w:t>
      </w:r>
    </w:p>
    <w:p w:rsidR="00A76425" w:rsidRPr="009E2240" w:rsidRDefault="00A76425"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m:t>
            </m:r>
          </m:sub>
        </m:sSub>
      </m:oMath>
      <w:r w:rsidR="00182AC2" w:rsidRPr="009E2240">
        <w:rPr>
          <w:rFonts w:ascii="Bookman Old Style" w:hAnsi="Bookman Old Style"/>
        </w:rPr>
        <w:t xml:space="preserve">: </w:t>
      </w:r>
      <w:r w:rsidR="00A76425" w:rsidRPr="009E2240">
        <w:rPr>
          <w:rFonts w:ascii="Bookman Old Style" w:hAnsi="Bookman Old Style"/>
        </w:rPr>
        <w:tab/>
      </w:r>
      <w:r w:rsidR="00182AC2" w:rsidRPr="009E2240">
        <w:rPr>
          <w:rFonts w:ascii="Bookman Old Style" w:hAnsi="Bookman Old Style"/>
        </w:rPr>
        <w:t xml:space="preserve">Costo por uso de Sistemas de Distribución ($/kWh) correspondiente al nivel de tensión </w:t>
      </w:r>
      <w:r w:rsidR="00182AC2" w:rsidRPr="009E2240">
        <w:rPr>
          <w:rFonts w:ascii="Bookman Old Style" w:hAnsi="Bookman Old Style"/>
          <w:i/>
        </w:rPr>
        <w:t>n</w:t>
      </w:r>
      <w:r w:rsidR="00182AC2" w:rsidRPr="009E2240">
        <w:rPr>
          <w:rFonts w:ascii="Bookman Old Style" w:hAnsi="Bookman Old Style"/>
        </w:rPr>
        <w:t xml:space="preserve"> para el mes </w:t>
      </w:r>
      <w:r w:rsidR="00182AC2" w:rsidRPr="009E2240">
        <w:rPr>
          <w:rFonts w:ascii="Bookman Old Style" w:hAnsi="Bookman Old Style"/>
          <w:i/>
        </w:rPr>
        <w:t>m</w:t>
      </w:r>
      <w:r w:rsidR="00614FAD">
        <w:rPr>
          <w:rFonts w:ascii="Bookman Old Style" w:hAnsi="Bookman Old Style"/>
        </w:rPr>
        <w:t>, determinado</w:t>
      </w:r>
      <w:r w:rsidR="00182AC2" w:rsidRPr="009E2240">
        <w:rPr>
          <w:rFonts w:ascii="Bookman Old Style" w:hAnsi="Bookman Old Style"/>
        </w:rPr>
        <w:t xml:space="preserve"> conforme al Capítulo IV de la presente Resolución.</w:t>
      </w:r>
    </w:p>
    <w:p w:rsidR="00BF0D33" w:rsidRPr="009E2240" w:rsidRDefault="00BF0D33" w:rsidP="000200D5">
      <w:pPr>
        <w:widowControl w:val="0"/>
        <w:ind w:left="2410" w:hanging="1701"/>
        <w:jc w:val="both"/>
        <w:rPr>
          <w:rFonts w:ascii="Bookman Old Style" w:hAnsi="Bookman Old Style"/>
          <w:i/>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m,i,j</m:t>
            </m:r>
          </m:sub>
        </m:sSub>
      </m:oMath>
      <w:r w:rsidR="00182AC2" w:rsidRPr="009E2240">
        <w:rPr>
          <w:rFonts w:ascii="Bookman Old Style" w:hAnsi="Bookman Old Style"/>
        </w:rPr>
        <w:t xml:space="preserve">: </w:t>
      </w:r>
      <w:r w:rsidR="00BF0D33" w:rsidRPr="009E2240">
        <w:rPr>
          <w:rFonts w:ascii="Bookman Old Style" w:hAnsi="Bookman Old Style"/>
        </w:rPr>
        <w:tab/>
      </w:r>
      <w:r w:rsidR="00182AC2" w:rsidRPr="009E2240">
        <w:rPr>
          <w:rFonts w:ascii="Bookman Old Style" w:hAnsi="Bookman Old Style"/>
        </w:rPr>
        <w:t xml:space="preserve">Margen de Comercialización correspondiente al mes </w:t>
      </w:r>
      <w:r w:rsidR="00182AC2" w:rsidRPr="009E2240">
        <w:rPr>
          <w:rFonts w:ascii="Bookman Old Style" w:hAnsi="Bookman Old Style"/>
          <w:i/>
        </w:rPr>
        <w:t>m,</w:t>
      </w:r>
      <w:r w:rsidR="00182AC2" w:rsidRPr="009E2240">
        <w:rPr>
          <w:rFonts w:ascii="Bookman Old Style" w:hAnsi="Bookman Old Style"/>
        </w:rPr>
        <w:t xml:space="preserve"> del Comercializador Minorista </w:t>
      </w:r>
      <w:r w:rsidR="00182AC2" w:rsidRPr="009E2240">
        <w:rPr>
          <w:rFonts w:ascii="Bookman Old Style" w:hAnsi="Bookman Old Style"/>
          <w:i/>
        </w:rPr>
        <w:t>i</w:t>
      </w:r>
      <w:r w:rsidR="00182AC2" w:rsidRPr="009E2240">
        <w:rPr>
          <w:rFonts w:ascii="Bookman Old Style" w:hAnsi="Bookman Old Style"/>
        </w:rPr>
        <w:t xml:space="preserve">, en el Mercado de Comercialización </w:t>
      </w:r>
      <w:r w:rsidR="00182AC2" w:rsidRPr="009E2240">
        <w:rPr>
          <w:rFonts w:ascii="Bookman Old Style" w:hAnsi="Bookman Old Style"/>
          <w:i/>
        </w:rPr>
        <w:t>j</w:t>
      </w:r>
      <w:r w:rsidR="00182AC2" w:rsidRPr="009E2240">
        <w:rPr>
          <w:rFonts w:ascii="Bookman Old Style" w:hAnsi="Bookman Old Style"/>
        </w:rPr>
        <w:t xml:space="preserve"> que incluye los costos variables de la actividad de comercialización, expresado en ($/kWh) y determinado conforme al Capítu</w:t>
      </w:r>
      <w:r w:rsidR="00BF0D33" w:rsidRPr="009E2240">
        <w:rPr>
          <w:rFonts w:ascii="Bookman Old Style" w:hAnsi="Bookman Old Style"/>
        </w:rPr>
        <w:t>lo V de la presente Resolución.</w:t>
      </w:r>
    </w:p>
    <w:p w:rsidR="00BF0D33" w:rsidRPr="009E2240" w:rsidRDefault="00BF0D33"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m,i</m:t>
            </m:r>
          </m:sub>
        </m:sSub>
      </m:oMath>
      <w:r w:rsidR="00182AC2" w:rsidRPr="009E2240">
        <w:rPr>
          <w:rFonts w:ascii="Bookman Old Style" w:hAnsi="Bookman Old Style"/>
        </w:rPr>
        <w:t xml:space="preserve">: </w:t>
      </w:r>
      <w:r w:rsidR="00BF0D33" w:rsidRPr="009E2240">
        <w:rPr>
          <w:rFonts w:ascii="Bookman Old Style" w:hAnsi="Bookman Old Style"/>
        </w:rPr>
        <w:tab/>
      </w:r>
      <w:r w:rsidR="00182AC2" w:rsidRPr="009E2240">
        <w:rPr>
          <w:rFonts w:ascii="Bookman Old Style" w:hAnsi="Bookman Old Style"/>
        </w:rPr>
        <w:t xml:space="preserve">Costo de Restricciones y de Servicios asociados con generación en $/kWh asignados al Comercializador Minorista </w:t>
      </w:r>
      <w:r w:rsidR="00182AC2" w:rsidRPr="009E2240">
        <w:rPr>
          <w:rFonts w:ascii="Bookman Old Style" w:hAnsi="Bookman Old Style"/>
          <w:i/>
        </w:rPr>
        <w:t>i</w:t>
      </w:r>
      <w:r w:rsidR="00182AC2" w:rsidRPr="009E2240">
        <w:rPr>
          <w:rFonts w:ascii="Bookman Old Style" w:hAnsi="Bookman Old Style"/>
        </w:rPr>
        <w:t xml:space="preserve"> en el mes</w:t>
      </w:r>
      <w:r w:rsidR="00182AC2" w:rsidRPr="009E2240">
        <w:rPr>
          <w:rFonts w:ascii="Bookman Old Style" w:hAnsi="Bookman Old Style"/>
          <w:b/>
          <w:bCs/>
          <w:i/>
          <w:iCs/>
        </w:rPr>
        <w:t xml:space="preserve"> </w:t>
      </w:r>
      <w:r w:rsidR="00182AC2" w:rsidRPr="009E2240">
        <w:rPr>
          <w:rFonts w:ascii="Bookman Old Style" w:hAnsi="Bookman Old Style"/>
          <w:i/>
          <w:iCs/>
        </w:rPr>
        <w:t>m</w:t>
      </w:r>
      <w:r w:rsidR="00182AC2" w:rsidRPr="009E2240">
        <w:rPr>
          <w:rFonts w:ascii="Bookman Old Style" w:hAnsi="Bookman Old Style"/>
          <w:i/>
        </w:rPr>
        <w:t xml:space="preserve">, </w:t>
      </w:r>
      <w:r w:rsidR="00182AC2" w:rsidRPr="009E2240">
        <w:rPr>
          <w:rFonts w:ascii="Bookman Old Style" w:hAnsi="Bookman Old Style"/>
        </w:rPr>
        <w:t>conforme al Capítulo VI de la presente Resolución.</w:t>
      </w:r>
    </w:p>
    <w:p w:rsidR="00BF0D33" w:rsidRPr="009E2240" w:rsidRDefault="00BF0D33"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PR</m:t>
            </m:r>
          </m:e>
          <m:sub>
            <m:r>
              <w:rPr>
                <w:rFonts w:ascii="Cambria Math" w:hAnsi="Cambria Math"/>
                <w:color w:val="000000"/>
              </w:rPr>
              <m:t>n,m,i,j</m:t>
            </m:r>
          </m:sub>
        </m:sSub>
      </m:oMath>
      <w:r w:rsidR="00182AC2" w:rsidRPr="009E2240">
        <w:rPr>
          <w:rFonts w:ascii="Bookman Old Style" w:hAnsi="Bookman Old Style"/>
        </w:rPr>
        <w:t xml:space="preserve">: </w:t>
      </w:r>
      <w:r w:rsidR="00BF0D33" w:rsidRPr="009E2240">
        <w:rPr>
          <w:rFonts w:ascii="Bookman Old Style" w:hAnsi="Bookman Old Style"/>
        </w:rPr>
        <w:tab/>
      </w:r>
      <w:r w:rsidR="00182AC2" w:rsidRPr="009E2240">
        <w:rPr>
          <w:rFonts w:ascii="Bookman Old Style" w:hAnsi="Bookman Old Style"/>
        </w:rPr>
        <w:t xml:space="preserve">Costo de compra, transporte y reducción de pérdidas de energía ($/kWh) acumuladas hasta el nivel de tensión </w:t>
      </w:r>
      <w:r w:rsidR="00182AC2" w:rsidRPr="009E2240">
        <w:rPr>
          <w:rFonts w:ascii="Bookman Old Style" w:hAnsi="Bookman Old Style"/>
          <w:i/>
        </w:rPr>
        <w:t>n</w:t>
      </w:r>
      <w:r w:rsidR="00182AC2" w:rsidRPr="009E2240">
        <w:rPr>
          <w:rFonts w:ascii="Bookman Old Style" w:hAnsi="Bookman Old Style"/>
        </w:rPr>
        <w:t xml:space="preserve">, para el mes </w:t>
      </w:r>
      <w:r w:rsidR="00182AC2" w:rsidRPr="009E2240">
        <w:rPr>
          <w:rFonts w:ascii="Bookman Old Style" w:hAnsi="Bookman Old Style"/>
          <w:i/>
        </w:rPr>
        <w:t>m</w:t>
      </w:r>
      <w:r w:rsidR="00182AC2" w:rsidRPr="009E2240">
        <w:rPr>
          <w:rFonts w:ascii="Bookman Old Style" w:hAnsi="Bookman Old Style"/>
        </w:rPr>
        <w:t xml:space="preserve">, del Comercializador Minorista </w:t>
      </w:r>
      <w:r w:rsidR="00182AC2" w:rsidRPr="009E2240">
        <w:rPr>
          <w:rFonts w:ascii="Bookman Old Style" w:hAnsi="Bookman Old Style"/>
          <w:i/>
        </w:rPr>
        <w:t>i</w:t>
      </w:r>
      <w:r w:rsidR="00182AC2" w:rsidRPr="009E2240">
        <w:rPr>
          <w:rFonts w:ascii="Bookman Old Style" w:hAnsi="Bookman Old Style"/>
        </w:rPr>
        <w:t xml:space="preserve">, en el Mercado de Comercialización </w:t>
      </w:r>
      <w:r w:rsidR="00182AC2" w:rsidRPr="009E2240">
        <w:rPr>
          <w:rFonts w:ascii="Bookman Old Style" w:hAnsi="Bookman Old Style"/>
          <w:i/>
        </w:rPr>
        <w:t>j</w:t>
      </w:r>
      <w:r w:rsidR="00182AC2" w:rsidRPr="009E2240">
        <w:rPr>
          <w:rFonts w:ascii="Bookman Old Style" w:hAnsi="Bookman Old Style"/>
        </w:rPr>
        <w:t xml:space="preserve">, determinado conforme se establece en el Capítulo </w:t>
      </w:r>
      <w:r w:rsidR="00BF0D33" w:rsidRPr="009E2240">
        <w:rPr>
          <w:rFonts w:ascii="Bookman Old Style" w:hAnsi="Bookman Old Style"/>
        </w:rPr>
        <w:t>VII  de la presente Resolución.</w:t>
      </w:r>
    </w:p>
    <w:p w:rsidR="00BF0D33" w:rsidRPr="009E2240" w:rsidRDefault="00BF0D33"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m,j</m:t>
            </m:r>
          </m:sub>
        </m:sSub>
      </m:oMath>
      <w:r w:rsidR="00182AC2" w:rsidRPr="009E2240">
        <w:rPr>
          <w:rFonts w:ascii="Bookman Old Style" w:hAnsi="Bookman Old Style"/>
        </w:rPr>
        <w:t xml:space="preserve">: </w:t>
      </w:r>
      <w:r w:rsidR="00BF0D33" w:rsidRPr="009E2240">
        <w:rPr>
          <w:rFonts w:ascii="Bookman Old Style" w:hAnsi="Bookman Old Style"/>
        </w:rPr>
        <w:tab/>
      </w:r>
      <w:r w:rsidR="00182AC2" w:rsidRPr="009E2240">
        <w:rPr>
          <w:rFonts w:ascii="Bookman Old Style" w:hAnsi="Bookman Old Style"/>
        </w:rPr>
        <w:t xml:space="preserve">Componente fija del Costo Unitario de Prestación del Servicio ($/factura) correspondiente al mes </w:t>
      </w:r>
      <w:r w:rsidR="00182AC2" w:rsidRPr="009E2240">
        <w:rPr>
          <w:rFonts w:ascii="Bookman Old Style" w:hAnsi="Bookman Old Style"/>
          <w:i/>
        </w:rPr>
        <w:t xml:space="preserve">m </w:t>
      </w:r>
      <w:r w:rsidR="00182AC2" w:rsidRPr="009E2240">
        <w:rPr>
          <w:rFonts w:ascii="Bookman Old Style" w:hAnsi="Bookman Old Style"/>
        </w:rPr>
        <w:t xml:space="preserve">para el Mercado de Comercialización </w:t>
      </w:r>
      <w:r w:rsidR="00182AC2" w:rsidRPr="009E2240">
        <w:rPr>
          <w:rFonts w:ascii="Bookman Old Style" w:hAnsi="Bookman Old Style"/>
          <w:i/>
        </w:rPr>
        <w:t>j</w:t>
      </w:r>
      <w:r w:rsidR="00182AC2" w:rsidRPr="009E2240">
        <w:rPr>
          <w:rFonts w:ascii="Bookman Old Style" w:hAnsi="Bookman Old Style"/>
        </w:rPr>
        <w:t>.</w:t>
      </w:r>
    </w:p>
    <w:p w:rsidR="00076443" w:rsidRPr="009E2240" w:rsidRDefault="00076443" w:rsidP="000200D5">
      <w:pPr>
        <w:widowControl w:val="0"/>
        <w:ind w:left="1418" w:hanging="709"/>
        <w:jc w:val="both"/>
        <w:rPr>
          <w:rFonts w:ascii="Bookman Old Style" w:hAnsi="Bookman Old Style"/>
          <w:color w:val="000000"/>
        </w:rPr>
      </w:pPr>
    </w:p>
    <w:p w:rsidR="00076443" w:rsidRPr="009E2240" w:rsidRDefault="00076443" w:rsidP="000200D5">
      <w:pPr>
        <w:widowControl w:val="0"/>
        <w:ind w:left="2127" w:hanging="1418"/>
        <w:jc w:val="both"/>
        <w:rPr>
          <w:rFonts w:ascii="Bookman Old Style" w:hAnsi="Bookman Old Style"/>
        </w:rPr>
      </w:pPr>
      <m:oMath>
        <m:r>
          <w:rPr>
            <w:rFonts w:ascii="Cambria Math" w:hAnsi="Cambria Math"/>
            <w:color w:val="000000"/>
          </w:rPr>
          <m:t>β</m:t>
        </m:r>
      </m:oMath>
      <w:r w:rsidRPr="009E2240">
        <w:rPr>
          <w:rFonts w:ascii="Bookman Old Style" w:hAnsi="Bookman Old Style" w:cs="Arial"/>
          <w:color w:val="000000"/>
        </w:rPr>
        <w:t>:</w:t>
      </w:r>
      <w:r w:rsidRPr="009E2240">
        <w:rPr>
          <w:rFonts w:ascii="Bookman Old Style" w:hAnsi="Bookman Old Style" w:cs="Arial"/>
          <w:color w:val="000000"/>
        </w:rPr>
        <w:tab/>
        <w:t>P</w:t>
      </w:r>
      <w:r w:rsidRPr="009E2240">
        <w:rPr>
          <w:rFonts w:ascii="Bookman Old Style" w:hAnsi="Bookman Old Style" w:cs="Arial"/>
        </w:rPr>
        <w:t xml:space="preserve">orción del Costo Base de Comercialización, </w:t>
      </w:r>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w:r w:rsidRPr="009E2240">
        <w:rPr>
          <w:rFonts w:ascii="Bookman Old Style" w:hAnsi="Bookman Old Style" w:cs="Arial"/>
          <w:color w:val="000000"/>
        </w:rPr>
        <w:t xml:space="preserve">, </w:t>
      </w:r>
      <w:r w:rsidRPr="009E2240">
        <w:rPr>
          <w:rFonts w:ascii="Bookman Old Style" w:hAnsi="Bookman Old Style" w:cs="Arial"/>
        </w:rPr>
        <w:t xml:space="preserve">que se remunera a través de la componente fija del </w:t>
      </w:r>
      <w:r w:rsidRPr="009E2240">
        <w:rPr>
          <w:rFonts w:ascii="Bookman Old Style" w:hAnsi="Bookman Old Style"/>
        </w:rPr>
        <w:t xml:space="preserve">Costo Unitario de Prestación del Servicio, </w:t>
      </w:r>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m,j</m:t>
            </m:r>
          </m:sub>
        </m:sSub>
      </m:oMath>
      <w:r w:rsidRPr="009E2240">
        <w:rPr>
          <w:rFonts w:ascii="Bookman Old Style" w:hAnsi="Bookman Old Style"/>
          <w:color w:val="000000"/>
        </w:rPr>
        <w:t>.</w:t>
      </w:r>
    </w:p>
    <w:p w:rsidR="00BF0D33" w:rsidRPr="009E2240" w:rsidRDefault="00BF0D33" w:rsidP="000200D5">
      <w:pPr>
        <w:widowControl w:val="0"/>
        <w:ind w:left="2410" w:hanging="1701"/>
        <w:jc w:val="both"/>
        <w:rPr>
          <w:rFonts w:ascii="Bookman Old Style" w:hAnsi="Bookman Old Style"/>
        </w:rPr>
      </w:pPr>
    </w:p>
    <w:p w:rsidR="00182AC2" w:rsidRPr="009E2240" w:rsidRDefault="00942C2A" w:rsidP="000200D5">
      <w:pPr>
        <w:widowControl w:val="0"/>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w:r w:rsidR="00182AC2" w:rsidRPr="009E2240">
        <w:rPr>
          <w:rFonts w:ascii="Bookman Old Style" w:hAnsi="Bookman Old Style"/>
        </w:rPr>
        <w:t xml:space="preserve">: </w:t>
      </w:r>
      <w:r w:rsidR="00BF0D33" w:rsidRPr="009E2240">
        <w:rPr>
          <w:rFonts w:ascii="Bookman Old Style" w:hAnsi="Bookman Old Style"/>
        </w:rPr>
        <w:tab/>
      </w:r>
      <w:r w:rsidR="00182AC2" w:rsidRPr="009E2240">
        <w:rPr>
          <w:rFonts w:ascii="Bookman Old Style" w:hAnsi="Bookman Old Style"/>
        </w:rPr>
        <w:t xml:space="preserve">Costo Base de Comercialización ($/factura) correspondiente al mes </w:t>
      </w:r>
      <w:r w:rsidR="00182AC2" w:rsidRPr="009E2240">
        <w:rPr>
          <w:rFonts w:ascii="Bookman Old Style" w:hAnsi="Bookman Old Style"/>
          <w:i/>
        </w:rPr>
        <w:t>m</w:t>
      </w:r>
      <w:r w:rsidR="00182AC2" w:rsidRPr="009E2240">
        <w:rPr>
          <w:rFonts w:ascii="Bookman Old Style" w:hAnsi="Bookman Old Style"/>
        </w:rPr>
        <w:t xml:space="preserve">, para el Mercado de Comercialización </w:t>
      </w:r>
      <w:r w:rsidR="00182AC2" w:rsidRPr="009E2240">
        <w:rPr>
          <w:rFonts w:ascii="Bookman Old Style" w:hAnsi="Bookman Old Style"/>
          <w:i/>
        </w:rPr>
        <w:t>j</w:t>
      </w:r>
      <w:r w:rsidR="00182AC2" w:rsidRPr="009E2240">
        <w:rPr>
          <w:rFonts w:ascii="Bookman Old Style" w:hAnsi="Bookman Old Style"/>
        </w:rPr>
        <w:t>.</w:t>
      </w:r>
    </w:p>
    <w:p w:rsidR="00182AC2" w:rsidRPr="009E2240" w:rsidRDefault="00EA3C32" w:rsidP="000200D5">
      <w:pPr>
        <w:pStyle w:val="Encabezado"/>
        <w:widowControl w:val="0"/>
        <w:ind w:left="709"/>
        <w:jc w:val="both"/>
        <w:rPr>
          <w:rFonts w:ascii="Bookman Old Style" w:hAnsi="Bookman Old Style"/>
          <w:b/>
          <w:szCs w:val="24"/>
          <w:lang w:val="es-MX"/>
        </w:rPr>
      </w:pPr>
      <w:r w:rsidRPr="009E2240">
        <w:rPr>
          <w:rFonts w:ascii="Bookman Old Style" w:hAnsi="Bookman Old Style"/>
          <w:b/>
          <w:szCs w:val="24"/>
          <w:lang w:val="es-MX"/>
        </w:rPr>
        <w:lastRenderedPageBreak/>
        <w:t>Parágrafo</w:t>
      </w:r>
      <w:r w:rsidR="00182AC2" w:rsidRPr="009E2240">
        <w:rPr>
          <w:rFonts w:ascii="Bookman Old Style" w:hAnsi="Bookman Old Style"/>
          <w:b/>
          <w:szCs w:val="24"/>
          <w:lang w:val="es-MX"/>
        </w:rPr>
        <w:t xml:space="preserve">: </w:t>
      </w:r>
      <w:r w:rsidR="00182AC2" w:rsidRPr="009E2240">
        <w:rPr>
          <w:rFonts w:ascii="Bookman Old Style" w:hAnsi="Bookman Old Style"/>
          <w:szCs w:val="24"/>
          <w:lang w:val="es-MX"/>
        </w:rPr>
        <w:t xml:space="preserve">El costo máximo del servicio en un período dado corresponderá a la suma de: i) el producto entre el consumo en kWh en dicho período y el componente variable del costo unitario </w:t>
      </w:r>
      <m:oMath>
        <m:sSub>
          <m:sSubPr>
            <m:ctrlPr>
              <w:rPr>
                <w:rFonts w:ascii="Cambria Math" w:hAnsi="Cambria Math"/>
                <w:i/>
                <w:color w:val="000000"/>
                <w:szCs w:val="24"/>
              </w:rPr>
            </m:ctrlPr>
          </m:sSubPr>
          <m:e>
            <m:r>
              <w:rPr>
                <w:rFonts w:ascii="Cambria Math" w:hAnsi="Cambria Math"/>
                <w:color w:val="000000"/>
                <w:szCs w:val="24"/>
              </w:rPr>
              <m:t>CUv</m:t>
            </m:r>
          </m:e>
          <m:sub>
            <m:r>
              <w:rPr>
                <w:rFonts w:ascii="Cambria Math" w:hAnsi="Cambria Math"/>
                <w:color w:val="000000"/>
                <w:szCs w:val="24"/>
              </w:rPr>
              <m:t>n,m,i,j</m:t>
            </m:r>
          </m:sub>
        </m:sSub>
      </m:oMath>
      <w:r w:rsidR="00182AC2" w:rsidRPr="009E2240">
        <w:rPr>
          <w:rFonts w:ascii="Bookman Old Style" w:hAnsi="Bookman Old Style"/>
          <w:szCs w:val="24"/>
        </w:rPr>
        <w:t xml:space="preserve">; y </w:t>
      </w:r>
      <w:r w:rsidR="00182AC2" w:rsidRPr="009E2240">
        <w:rPr>
          <w:rFonts w:ascii="Bookman Old Style" w:hAnsi="Bookman Old Style"/>
          <w:szCs w:val="24"/>
          <w:lang w:val="es-MX"/>
        </w:rPr>
        <w:t>ii) el valor del componente fijo del costo unitario</w:t>
      </w:r>
      <w:r w:rsidRPr="009E2240">
        <w:rPr>
          <w:rFonts w:ascii="Bookman Old Style" w:hAnsi="Bookman Old Style"/>
          <w:szCs w:val="24"/>
          <w:lang w:val="es-MX"/>
        </w:rPr>
        <w:t xml:space="preserve"> </w:t>
      </w:r>
      <m:oMath>
        <m:sSub>
          <m:sSubPr>
            <m:ctrlPr>
              <w:rPr>
                <w:rFonts w:ascii="Cambria Math" w:hAnsi="Cambria Math"/>
                <w:i/>
                <w:color w:val="000000"/>
                <w:szCs w:val="24"/>
              </w:rPr>
            </m:ctrlPr>
          </m:sSubPr>
          <m:e>
            <m:r>
              <w:rPr>
                <w:rFonts w:ascii="Cambria Math" w:hAnsi="Cambria Math"/>
                <w:color w:val="000000"/>
                <w:szCs w:val="24"/>
              </w:rPr>
              <m:t>CUf</m:t>
            </m:r>
          </m:e>
          <m:sub>
            <m:r>
              <w:rPr>
                <w:rFonts w:ascii="Cambria Math" w:hAnsi="Cambria Math"/>
                <w:color w:val="000000"/>
                <w:szCs w:val="24"/>
              </w:rPr>
              <m:t>m,j</m:t>
            </m:r>
          </m:sub>
        </m:sSub>
      </m:oMath>
      <w:r w:rsidR="00EB244A">
        <w:rPr>
          <w:rFonts w:ascii="Bookman Old Style" w:hAnsi="Bookman Old Style"/>
          <w:color w:val="000000"/>
          <w:szCs w:val="24"/>
        </w:rPr>
        <w:t>”</w:t>
      </w:r>
    </w:p>
    <w:p w:rsidR="00182AC2" w:rsidRPr="009E2240" w:rsidRDefault="00182AC2" w:rsidP="000200D5">
      <w:pPr>
        <w:pStyle w:val="Estilo2"/>
        <w:keepNext w:val="0"/>
        <w:numPr>
          <w:ilvl w:val="0"/>
          <w:numId w:val="0"/>
        </w:numPr>
        <w:rPr>
          <w:b w:val="0"/>
        </w:rPr>
      </w:pPr>
    </w:p>
    <w:p w:rsidR="00135862" w:rsidRPr="009E2240" w:rsidRDefault="00135862" w:rsidP="000200D5">
      <w:pPr>
        <w:pStyle w:val="Estilo2"/>
        <w:keepNext w:val="0"/>
        <w:numPr>
          <w:ilvl w:val="0"/>
          <w:numId w:val="17"/>
        </w:numPr>
        <w:tabs>
          <w:tab w:val="clear" w:pos="1440"/>
        </w:tabs>
        <w:rPr>
          <w:b w:val="0"/>
        </w:rPr>
      </w:pPr>
      <w:r w:rsidRPr="009E2240">
        <w:t>Costos de Comercialización,</w:t>
      </w:r>
      <w:r w:rsidRPr="009E2240">
        <w:rPr>
          <w:rFonts w:cs="Arial"/>
        </w:rPr>
        <w:t xml:space="preserve"> </w:t>
      </w:r>
      <m:oMath>
        <m:sSub>
          <m:sSubPr>
            <m:ctrlPr>
              <w:rPr>
                <w:rFonts w:ascii="Cambria Math" w:hAnsi="Cambria Math" w:cs="Arial"/>
                <w:i/>
              </w:rPr>
            </m:ctrlPr>
          </m:sSubPr>
          <m:e>
            <m:r>
              <m:rPr>
                <m:sty m:val="bi"/>
              </m:rPr>
              <w:rPr>
                <w:rFonts w:ascii="Cambria Math" w:hAnsi="Cambria Math"/>
              </w:rPr>
              <m:t>Cv</m:t>
            </m:r>
          </m:e>
          <m:sub>
            <m:r>
              <m:rPr>
                <m:sty m:val="bi"/>
              </m:rPr>
              <w:rPr>
                <w:rFonts w:ascii="Cambria Math" w:hAnsi="Cambria Math"/>
              </w:rPr>
              <m:t>m,i,j</m:t>
            </m:r>
          </m:sub>
        </m:sSub>
      </m:oMath>
      <w:r w:rsidRPr="009E2240">
        <w:rPr>
          <w:rFonts w:cs="Arial"/>
        </w:rPr>
        <w:t xml:space="preserve"> </w:t>
      </w:r>
      <w:r w:rsidRPr="009E2240">
        <w:rPr>
          <w:rFonts w:cs="Arial"/>
          <w:bCs w:val="0"/>
        </w:rPr>
        <w:t xml:space="preserve">y </w:t>
      </w:r>
      <m:oMath>
        <m:sSub>
          <m:sSubPr>
            <m:ctrlPr>
              <w:rPr>
                <w:rFonts w:ascii="Cambria Math" w:hAnsi="Cambria Math" w:cs="Arial"/>
                <w:i/>
              </w:rPr>
            </m:ctrlPr>
          </m:sSubPr>
          <m:e>
            <m:r>
              <m:rPr>
                <m:sty m:val="bi"/>
              </m:rPr>
              <w:rPr>
                <w:rFonts w:ascii="Cambria Math" w:hAnsi="Cambria Math"/>
              </w:rPr>
              <m:t>Cf</m:t>
            </m:r>
          </m:e>
          <m:sub>
            <m:r>
              <m:rPr>
                <m:sty m:val="bi"/>
              </m:rPr>
              <w:rPr>
                <w:rFonts w:ascii="Cambria Math" w:hAnsi="Cambria Math"/>
              </w:rPr>
              <m:t>m,j</m:t>
            </m:r>
          </m:sub>
        </m:sSub>
      </m:oMath>
      <w:r w:rsidRPr="009E2240">
        <w:t xml:space="preserve">. </w:t>
      </w:r>
      <w:r w:rsidRPr="009E2240">
        <w:rPr>
          <w:b w:val="0"/>
        </w:rPr>
        <w:t>El artículo 11 de la Resolución CREG 119 de 2007 quedará así:</w:t>
      </w:r>
      <w:r w:rsidR="001B36D8" w:rsidRPr="009E2240">
        <w:rPr>
          <w:b w:val="0"/>
        </w:rPr>
        <w:t xml:space="preserve"> </w:t>
      </w:r>
    </w:p>
    <w:p w:rsidR="00657A3E" w:rsidRPr="009E2240" w:rsidRDefault="00657A3E" w:rsidP="000200D5">
      <w:pPr>
        <w:pStyle w:val="Textoindependiente3"/>
        <w:widowControl w:val="0"/>
        <w:ind w:left="0"/>
        <w:jc w:val="both"/>
        <w:rPr>
          <w:rFonts w:ascii="Bookman Old Style" w:hAnsi="Bookman Old Style"/>
          <w:b w:val="0"/>
        </w:rPr>
      </w:pPr>
    </w:p>
    <w:p w:rsidR="00135862" w:rsidRPr="00614FAD" w:rsidRDefault="00EB244A" w:rsidP="000200D5">
      <w:pPr>
        <w:pStyle w:val="Textoindependiente3"/>
        <w:widowControl w:val="0"/>
        <w:ind w:left="709"/>
        <w:jc w:val="both"/>
        <w:rPr>
          <w:rFonts w:ascii="Bookman Old Style" w:hAnsi="Bookman Old Style"/>
          <w:b w:val="0"/>
        </w:rPr>
      </w:pPr>
      <w:r>
        <w:rPr>
          <w:rFonts w:ascii="Bookman Old Style" w:hAnsi="Bookman Old Style"/>
        </w:rPr>
        <w:t>“</w:t>
      </w:r>
      <w:r w:rsidR="00135862" w:rsidRPr="00614FAD">
        <w:rPr>
          <w:rFonts w:ascii="Bookman Old Style" w:hAnsi="Bookman Old Style"/>
        </w:rPr>
        <w:t>Artículo 11</w:t>
      </w:r>
      <w:r w:rsidR="00135862" w:rsidRPr="00614FAD">
        <w:rPr>
          <w:rFonts w:ascii="Bookman Old Style" w:hAnsi="Bookman Old Style"/>
          <w:b w:val="0"/>
        </w:rPr>
        <w:t>.</w:t>
      </w:r>
      <w:r w:rsidR="00132B01" w:rsidRPr="00614FAD">
        <w:rPr>
          <w:rFonts w:ascii="Bookman Old Style" w:hAnsi="Bookman Old Style"/>
          <w:b w:val="0"/>
        </w:rPr>
        <w:t xml:space="preserve"> </w:t>
      </w:r>
      <w:r w:rsidR="00135862" w:rsidRPr="00614FAD">
        <w:rPr>
          <w:rFonts w:ascii="Bookman Old Style" w:hAnsi="Bookman Old Style"/>
        </w:rPr>
        <w:t xml:space="preserve">Costos de Comercialización, </w:t>
      </w:r>
      <m:oMath>
        <m:sSub>
          <m:sSubPr>
            <m:ctrlPr>
              <w:rPr>
                <w:rFonts w:ascii="Cambria Math" w:hAnsi="Cambria Math"/>
                <w:i/>
              </w:rPr>
            </m:ctrlPr>
          </m:sSubPr>
          <m:e>
            <m:r>
              <m:rPr>
                <m:sty m:val="bi"/>
              </m:rPr>
              <w:rPr>
                <w:rFonts w:ascii="Cambria Math" w:hAnsi="Cambria Math"/>
              </w:rPr>
              <m:t>Cv</m:t>
            </m:r>
          </m:e>
          <m:sub>
            <m:r>
              <m:rPr>
                <m:sty m:val="bi"/>
              </m:rPr>
              <w:rPr>
                <w:rFonts w:ascii="Cambria Math" w:hAnsi="Cambria Math"/>
              </w:rPr>
              <m:t>m,i,j</m:t>
            </m:r>
          </m:sub>
        </m:sSub>
      </m:oMath>
      <w:r w:rsidR="00135862" w:rsidRPr="00614FAD">
        <w:rPr>
          <w:rFonts w:ascii="Bookman Old Style" w:hAnsi="Bookman Old Style"/>
        </w:rPr>
        <w:t xml:space="preserve"> </w:t>
      </w:r>
      <w:r w:rsidR="00135862" w:rsidRPr="00614FAD">
        <w:rPr>
          <w:rFonts w:ascii="Bookman Old Style" w:hAnsi="Bookman Old Style"/>
          <w:bCs w:val="0"/>
        </w:rPr>
        <w:t xml:space="preserve">y </w:t>
      </w:r>
      <m:oMath>
        <m:sSub>
          <m:sSubPr>
            <m:ctrlPr>
              <w:rPr>
                <w:rFonts w:ascii="Cambria Math" w:hAnsi="Cambria Math"/>
                <w:i/>
              </w:rPr>
            </m:ctrlPr>
          </m:sSubPr>
          <m:e>
            <m:r>
              <m:rPr>
                <m:sty m:val="bi"/>
              </m:rPr>
              <w:rPr>
                <w:rFonts w:ascii="Cambria Math" w:hAnsi="Cambria Math"/>
              </w:rPr>
              <m:t>Cf</m:t>
            </m:r>
          </m:e>
          <m:sub>
            <m:r>
              <m:rPr>
                <m:sty m:val="bi"/>
              </m:rPr>
              <w:rPr>
                <w:rFonts w:ascii="Cambria Math" w:hAnsi="Cambria Math"/>
              </w:rPr>
              <m:t>m,j</m:t>
            </m:r>
          </m:sub>
        </m:sSub>
      </m:oMath>
      <w:r w:rsidR="00D530D4">
        <w:rPr>
          <w:rFonts w:ascii="Bookman Old Style" w:hAnsi="Bookman Old Style"/>
        </w:rPr>
        <w:t>.</w:t>
      </w:r>
      <w:r w:rsidR="00135862" w:rsidRPr="00614FAD">
        <w:rPr>
          <w:rFonts w:ascii="Bookman Old Style" w:hAnsi="Bookman Old Style"/>
          <w:b w:val="0"/>
        </w:rPr>
        <w:t xml:space="preserve"> Los costos de comercialización del servicio de electricidad se determinarán conforme la siguiente expresión:</w:t>
      </w:r>
    </w:p>
    <w:p w:rsidR="002D5ADA" w:rsidRPr="00614FAD" w:rsidRDefault="002D5ADA" w:rsidP="000200D5">
      <w:pPr>
        <w:pStyle w:val="Textoindependiente3"/>
        <w:widowControl w:val="0"/>
        <w:ind w:left="709"/>
        <w:jc w:val="both"/>
        <w:rPr>
          <w:rFonts w:ascii="Bookman Old Style" w:hAnsi="Bookman Old Style"/>
          <w:b w:val="0"/>
        </w:rPr>
      </w:pPr>
    </w:p>
    <w:p w:rsidR="00135862" w:rsidRPr="00D530D4" w:rsidRDefault="00942C2A" w:rsidP="000200D5">
      <w:pPr>
        <w:pStyle w:val="Textoindependiente3"/>
        <w:widowControl w:val="0"/>
        <w:ind w:left="709"/>
        <w:rPr>
          <w:rFonts w:ascii="Bookman Old Style" w:hAnsi="Bookman Old Style"/>
          <w:b w:val="0"/>
        </w:rPr>
      </w:pPr>
      <m:oMathPara>
        <m:oMath>
          <m:sSub>
            <m:sSubPr>
              <m:ctrlPr>
                <w:rPr>
                  <w:rFonts w:ascii="Cambria Math" w:hAnsi="Cambria Math"/>
                  <w:b w:val="0"/>
                  <w:i/>
                </w:rPr>
              </m:ctrlPr>
            </m:sSubPr>
            <m:e>
              <m:r>
                <m:rPr>
                  <m:sty m:val="bi"/>
                </m:rPr>
                <w:rPr>
                  <w:rFonts w:ascii="Cambria Math" w:hAnsi="Cambria Math"/>
                </w:rPr>
                <m:t>Cf</m:t>
              </m:r>
            </m:e>
            <m:sub>
              <m:r>
                <m:rPr>
                  <m:sty m:val="bi"/>
                </m:rPr>
                <w:rPr>
                  <w:rFonts w:ascii="Cambria Math" w:hAnsi="Cambria Math"/>
                </w:rPr>
                <m:t>m,j</m:t>
              </m:r>
            </m:sub>
          </m:sSub>
        </m:oMath>
      </m:oMathPara>
    </w:p>
    <w:p w:rsidR="00135862" w:rsidRPr="00D530D4" w:rsidRDefault="00135862" w:rsidP="000200D5">
      <w:pPr>
        <w:widowControl w:val="0"/>
        <w:ind w:left="1985" w:hanging="1276"/>
        <w:jc w:val="both"/>
        <w:rPr>
          <w:rFonts w:ascii="Bookman Old Style" w:hAnsi="Bookman Old Style"/>
          <w:bCs/>
        </w:rPr>
      </w:pPr>
    </w:p>
    <w:p w:rsidR="00135862" w:rsidRPr="00614FAD" w:rsidRDefault="00135862" w:rsidP="000200D5">
      <w:pPr>
        <w:widowControl w:val="0"/>
        <w:ind w:left="1985" w:hanging="1276"/>
        <w:jc w:val="both"/>
        <w:rPr>
          <w:rFonts w:ascii="Bookman Old Style" w:hAnsi="Bookman Old Style"/>
          <w:bCs/>
        </w:rPr>
      </w:pPr>
    </w:p>
    <w:p w:rsidR="00135862" w:rsidRPr="00614FAD" w:rsidRDefault="00942C2A" w:rsidP="000200D5">
      <w:pPr>
        <w:widowControl w:val="0"/>
        <w:ind w:left="709"/>
        <w:jc w:val="center"/>
        <w:rPr>
          <w:rFonts w:ascii="Bookman Old Style" w:hAnsi="Bookman Old Style"/>
          <w:color w:val="000000"/>
        </w:rPr>
      </w:pPr>
      <m:oMathPara>
        <m:oMath>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m,i,j</m:t>
              </m:r>
            </m:sub>
          </m:sSub>
          <m:r>
            <w:rPr>
              <w:rFonts w:ascii="Cambria Math" w:hAnsi="Cambria Math"/>
              <w:color w:val="000000"/>
            </w:rPr>
            <m:t>=</m:t>
          </m:r>
          <m:sSubSup>
            <m:sSubSupPr>
              <m:ctrlPr>
                <w:rPr>
                  <w:rFonts w:ascii="Cambria Math" w:hAnsi="Cambria Math"/>
                  <w:bCs/>
                  <w:i/>
                </w:rPr>
              </m:ctrlPr>
            </m:sSubSupPr>
            <m:e>
              <m:r>
                <w:rPr>
                  <w:rFonts w:ascii="Cambria Math" w:hAnsi="Cambria Math"/>
                </w:rPr>
                <m:t>C</m:t>
              </m:r>
            </m:e>
            <m:sub>
              <m:r>
                <w:rPr>
                  <w:rFonts w:ascii="Cambria Math" w:hAnsi="Cambria Math"/>
                </w:rPr>
                <m:t>i,j,m</m:t>
              </m:r>
            </m:sub>
            <m:sup>
              <m:r>
                <w:rPr>
                  <w:rFonts w:ascii="Cambria Math" w:hAnsi="Cambria Math"/>
                </w:rPr>
                <m:t>*</m:t>
              </m:r>
            </m:sup>
          </m:sSubSup>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CER</m:t>
                  </m:r>
                </m:e>
                <m:sub>
                  <m:r>
                    <w:rPr>
                      <w:rFonts w:ascii="Cambria Math" w:hAnsi="Cambria Math"/>
                    </w:rPr>
                    <m:t>i,m</m:t>
                  </m:r>
                </m:sub>
              </m:sSub>
              <m:r>
                <w:rPr>
                  <w:rFonts w:ascii="Cambria Math" w:hAnsi="Cambria Math"/>
                </w:rPr>
                <m:t>+</m:t>
              </m:r>
              <m:sSub>
                <m:sSubPr>
                  <m:ctrlPr>
                    <w:rPr>
                      <w:rFonts w:ascii="Cambria Math" w:hAnsi="Cambria Math"/>
                      <w:bCs/>
                      <w:i/>
                    </w:rPr>
                  </m:ctrlPr>
                </m:sSubPr>
                <m:e>
                  <m:r>
                    <w:rPr>
                      <w:rFonts w:ascii="Cambria Math" w:hAnsi="Cambria Math"/>
                    </w:rPr>
                    <m:t>CCD</m:t>
                  </m:r>
                </m:e>
                <m:sub>
                  <m:r>
                    <w:rPr>
                      <w:rFonts w:ascii="Cambria Math" w:hAnsi="Cambria Math"/>
                    </w:rPr>
                    <m:t>i,m-1</m:t>
                  </m:r>
                </m:sub>
              </m:sSub>
              <m:sSub>
                <m:sSubPr>
                  <m:ctrlPr>
                    <w:rPr>
                      <w:rFonts w:ascii="Cambria Math" w:hAnsi="Cambria Math"/>
                      <w:bCs/>
                      <w:i/>
                    </w:rPr>
                  </m:ctrlPr>
                </m:sSubPr>
                <m:e>
                  <m:r>
                    <w:rPr>
                      <w:rFonts w:ascii="Cambria Math" w:hAnsi="Cambria Math"/>
                    </w:rPr>
                    <m:t>+CG</m:t>
                  </m:r>
                </m:e>
                <m:sub>
                  <m:r>
                    <w:rPr>
                      <w:rFonts w:ascii="Cambria Math" w:hAnsi="Cambria Math"/>
                    </w:rPr>
                    <m:t>i,m-1</m:t>
                  </m:r>
                </m:sub>
              </m:sSub>
            </m:num>
            <m:den>
              <m:sSub>
                <m:sSubPr>
                  <m:ctrlPr>
                    <w:rPr>
                      <w:rFonts w:ascii="Cambria Math" w:hAnsi="Cambria Math"/>
                      <w:bCs/>
                      <w:i/>
                    </w:rPr>
                  </m:ctrlPr>
                </m:sSubPr>
                <m:e>
                  <m:r>
                    <w:rPr>
                      <w:rFonts w:ascii="Cambria Math" w:hAnsi="Cambria Math"/>
                    </w:rPr>
                    <m:t>V</m:t>
                  </m:r>
                </m:e>
                <m:sub>
                  <m:r>
                    <w:rPr>
                      <w:rFonts w:ascii="Cambria Math" w:hAnsi="Cambria Math"/>
                    </w:rPr>
                    <m:t>i,m-1</m:t>
                  </m:r>
                </m:sub>
              </m:sSub>
            </m:den>
          </m:f>
          <m:r>
            <w:rPr>
              <w:rFonts w:ascii="Cambria Math" w:hAnsi="Cambria Math"/>
            </w:rPr>
            <m:t>+</m:t>
          </m:r>
          <m:sSub>
            <m:sSubPr>
              <m:ctrlPr>
                <w:rPr>
                  <w:rFonts w:ascii="Cambria Math" w:hAnsi="Cambria Math"/>
                  <w:i/>
                </w:rPr>
              </m:ctrlPr>
            </m:sSubPr>
            <m:e>
              <m:r>
                <w:rPr>
                  <w:rFonts w:ascii="Cambria Math" w:hAnsi="Cambria Math"/>
                </w:rPr>
                <m:t>CvR</m:t>
              </m:r>
            </m:e>
            <m:sub>
              <m:r>
                <w:rPr>
                  <w:rFonts w:ascii="Cambria Math" w:hAnsi="Cambria Math"/>
                </w:rPr>
                <m:t>i,j,m</m:t>
              </m:r>
            </m:sub>
          </m:sSub>
        </m:oMath>
      </m:oMathPara>
    </w:p>
    <w:p w:rsidR="00135862" w:rsidRPr="00614FAD" w:rsidRDefault="00135862" w:rsidP="000200D5">
      <w:pPr>
        <w:widowControl w:val="0"/>
        <w:ind w:left="1985" w:hanging="1276"/>
        <w:jc w:val="both"/>
        <w:rPr>
          <w:rFonts w:ascii="Bookman Old Style" w:hAnsi="Bookman Old Style"/>
          <w:bCs/>
        </w:rPr>
      </w:pPr>
    </w:p>
    <w:p w:rsidR="008B2757" w:rsidRPr="00614FAD" w:rsidRDefault="008B2757" w:rsidP="000200D5">
      <w:pPr>
        <w:widowControl w:val="0"/>
        <w:ind w:left="1985" w:hanging="1276"/>
        <w:jc w:val="both"/>
        <w:rPr>
          <w:rFonts w:ascii="Bookman Old Style" w:hAnsi="Bookman Old Style"/>
          <w:bCs/>
        </w:rPr>
      </w:pPr>
    </w:p>
    <w:p w:rsidR="00B73AE6" w:rsidRPr="00614FAD" w:rsidRDefault="00942C2A" w:rsidP="000200D5">
      <w:pPr>
        <w:widowControl w:val="0"/>
        <w:ind w:left="709"/>
        <w:jc w:val="both"/>
        <w:rPr>
          <w:rFonts w:ascii="Bookman Old Style" w:hAnsi="Bookman Old Style"/>
          <w:bCs/>
        </w:rPr>
      </w:pPr>
      <m:oMathPara>
        <m:oMath>
          <m:sSub>
            <m:sSubPr>
              <m:ctrlPr>
                <w:rPr>
                  <w:rFonts w:ascii="Cambria Math" w:hAnsi="Cambria Math"/>
                  <w:i/>
                </w:rPr>
              </m:ctrlPr>
            </m:sSubPr>
            <m:e>
              <m:r>
                <w:rPr>
                  <w:rFonts w:ascii="Cambria Math" w:hAnsi="Cambria Math"/>
                </w:rPr>
                <m:t>CvR</m:t>
              </m:r>
            </m:e>
            <m:sub>
              <m:r>
                <w:rPr>
                  <w:rFonts w:ascii="Cambria Math" w:hAnsi="Cambria Math"/>
                </w:rPr>
                <m:t>i,j,m</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m:t>
                  </m:r>
                  <m:r>
                    <w:rPr>
                      <w:rFonts w:ascii="Cambria Math" w:hAnsi="Cambria Math"/>
                      <w:color w:val="000000"/>
                    </w:rPr>
                    <m:t>β</m:t>
                  </m:r>
                  <m:ctrlPr>
                    <w:rPr>
                      <w:rFonts w:ascii="Cambria Math" w:hAnsi="Cambria Math"/>
                      <w:i/>
                      <w:color w:val="000000"/>
                    </w:rPr>
                  </m:ctrlP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UR</m:t>
                  </m:r>
                </m:e>
                <m:sub>
                  <m:r>
                    <w:rPr>
                      <w:rFonts w:ascii="Cambria Math" w:hAnsi="Cambria Math"/>
                      <w:color w:val="000000"/>
                    </w:rPr>
                    <m:t>i,j,m-2</m:t>
                  </m:r>
                </m:sub>
              </m:sSub>
              <m:r>
                <w:rPr>
                  <w:rFonts w:ascii="Cambria Math" w:hAnsi="Cambria Math"/>
                  <w:color w:val="000000"/>
                </w:rPr>
                <m:t>+</m:t>
              </m:r>
              <m:sSub>
                <m:sSubPr>
                  <m:ctrlPr>
                    <w:rPr>
                      <w:rFonts w:ascii="Cambria Math" w:hAnsi="Cambria Math"/>
                      <w:bCs/>
                      <w:i/>
                    </w:rPr>
                  </m:ctrlPr>
                </m:sSubPr>
                <m:e>
                  <m:r>
                    <w:rPr>
                      <w:rFonts w:ascii="Cambria Math" w:hAnsi="Cambria Math"/>
                    </w:rPr>
                    <m:t>CGCU</m:t>
                  </m:r>
                </m:e>
                <m:sub>
                  <m:r>
                    <w:rPr>
                      <w:rFonts w:ascii="Cambria Math" w:hAnsi="Cambria Math"/>
                    </w:rPr>
                    <m:t>i,j,m-1</m:t>
                  </m:r>
                </m:sub>
              </m:sSub>
              <m:r>
                <w:rPr>
                  <w:rFonts w:ascii="Cambria Math" w:hAnsi="Cambria Math"/>
                </w:rPr>
                <m:t>+</m:t>
              </m:r>
              <m:sSub>
                <m:sSubPr>
                  <m:ctrlPr>
                    <w:rPr>
                      <w:rFonts w:ascii="Cambria Math" w:hAnsi="Cambria Math"/>
                      <w:bCs/>
                      <w:i/>
                    </w:rPr>
                  </m:ctrlPr>
                </m:sSubPr>
                <m:e>
                  <m:r>
                    <w:rPr>
                      <w:rFonts w:ascii="Cambria Math" w:hAnsi="Cambria Math"/>
                    </w:rPr>
                    <m:t>PUI</m:t>
                  </m:r>
                </m:e>
                <m:sub>
                  <m:r>
                    <w:rPr>
                      <w:rFonts w:ascii="Cambria Math" w:hAnsi="Cambria Math"/>
                    </w:rPr>
                    <m:t>j,m</m:t>
                  </m:r>
                </m:sub>
              </m:sSub>
            </m:num>
            <m:den>
              <m:sSub>
                <m:sSubPr>
                  <m:ctrlPr>
                    <w:rPr>
                      <w:rFonts w:ascii="Cambria Math" w:hAnsi="Cambria Math"/>
                      <w:bCs/>
                      <w:i/>
                    </w:rPr>
                  </m:ctrlPr>
                </m:sSubPr>
                <m:e>
                  <m:r>
                    <w:rPr>
                      <w:rFonts w:ascii="Cambria Math" w:hAnsi="Cambria Math"/>
                    </w:rPr>
                    <m:t>VR</m:t>
                  </m:r>
                </m:e>
                <m:sub>
                  <m:r>
                    <w:rPr>
                      <w:rFonts w:ascii="Cambria Math" w:hAnsi="Cambria Math"/>
                    </w:rPr>
                    <m:t>i,j,m-1</m:t>
                  </m:r>
                </m:sub>
              </m:sSub>
            </m:den>
          </m:f>
        </m:oMath>
      </m:oMathPara>
    </w:p>
    <w:p w:rsidR="00B73AE6" w:rsidRPr="00614FAD" w:rsidRDefault="00B73AE6" w:rsidP="000200D5">
      <w:pPr>
        <w:widowControl w:val="0"/>
        <w:ind w:left="1985" w:hanging="1276"/>
        <w:jc w:val="both"/>
        <w:rPr>
          <w:rFonts w:ascii="Bookman Old Style" w:hAnsi="Bookman Old Style"/>
          <w:bCs/>
        </w:rPr>
      </w:pPr>
    </w:p>
    <w:p w:rsidR="00135862" w:rsidRPr="00614FAD" w:rsidRDefault="00135862" w:rsidP="000200D5">
      <w:pPr>
        <w:widowControl w:val="0"/>
        <w:ind w:left="1985" w:hanging="1276"/>
        <w:jc w:val="both"/>
        <w:rPr>
          <w:rFonts w:ascii="Bookman Old Style" w:hAnsi="Bookman Old Style"/>
          <w:bCs/>
        </w:rPr>
      </w:pPr>
      <w:r w:rsidRPr="00614FAD">
        <w:rPr>
          <w:rFonts w:ascii="Bookman Old Style" w:hAnsi="Bookman Old Style"/>
          <w:bCs/>
        </w:rPr>
        <w:t>Donde:</w:t>
      </w:r>
    </w:p>
    <w:p w:rsidR="00135862" w:rsidRPr="00614FAD" w:rsidRDefault="00135862" w:rsidP="000200D5">
      <w:pPr>
        <w:widowControl w:val="0"/>
        <w:ind w:left="1985" w:hanging="1276"/>
        <w:jc w:val="both"/>
        <w:rPr>
          <w:rFonts w:ascii="Bookman Old Style" w:hAnsi="Bookman Old Style"/>
          <w:bCs/>
        </w:rPr>
      </w:pPr>
    </w:p>
    <w:p w:rsidR="00135862" w:rsidRPr="00614FAD" w:rsidRDefault="00135862" w:rsidP="000200D5">
      <w:pPr>
        <w:widowControl w:val="0"/>
        <w:ind w:left="2127" w:hanging="1418"/>
        <w:jc w:val="both"/>
        <w:rPr>
          <w:rFonts w:ascii="Bookman Old Style" w:hAnsi="Bookman Old Style"/>
          <w:bCs/>
        </w:rPr>
      </w:pPr>
      <m:oMath>
        <m:r>
          <w:rPr>
            <w:rFonts w:ascii="Cambria Math" w:hAnsi="Cambria Math"/>
          </w:rPr>
          <m:t>m</m:t>
        </m:r>
      </m:oMath>
      <w:r w:rsidRPr="00614FAD">
        <w:rPr>
          <w:rFonts w:ascii="Bookman Old Style" w:hAnsi="Bookman Old Style"/>
          <w:bCs/>
        </w:rPr>
        <w:t xml:space="preserve">: </w:t>
      </w:r>
      <w:r w:rsidRPr="00614FAD">
        <w:rPr>
          <w:rFonts w:ascii="Bookman Old Style" w:hAnsi="Bookman Old Style"/>
          <w:bCs/>
        </w:rPr>
        <w:tab/>
        <w:t>Es el mes para el cual se calcula el Costo Unitario de Prestación del Servicio.</w:t>
      </w:r>
    </w:p>
    <w:p w:rsidR="00AF7952" w:rsidRPr="00614FAD" w:rsidRDefault="00AF7952" w:rsidP="000200D5">
      <w:pPr>
        <w:widowControl w:val="0"/>
        <w:ind w:left="1985" w:hanging="1276"/>
        <w:jc w:val="both"/>
        <w:rPr>
          <w:rFonts w:ascii="Bookman Old Style" w:hAnsi="Bookman Old Style"/>
          <w:bCs/>
        </w:rPr>
      </w:pPr>
    </w:p>
    <w:p w:rsidR="00AF7952" w:rsidRPr="00614FAD" w:rsidRDefault="00942C2A" w:rsidP="000200D5">
      <w:pPr>
        <w:widowControl w:val="0"/>
        <w:tabs>
          <w:tab w:val="left" w:pos="858"/>
        </w:tabs>
        <w:ind w:left="2127" w:hanging="1418"/>
        <w:jc w:val="both"/>
        <w:rPr>
          <w:rFonts w:ascii="Bookman Old Style" w:hAnsi="Bookman Old Style"/>
        </w:rPr>
      </w:pPr>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w:r w:rsidR="002D5ADA" w:rsidRPr="00614FAD">
        <w:rPr>
          <w:rFonts w:ascii="Bookman Old Style" w:hAnsi="Bookman Old Style"/>
          <w:color w:val="000000"/>
        </w:rPr>
        <w:t>:</w:t>
      </w:r>
      <w:r w:rsidR="00AF7952" w:rsidRPr="00614FAD">
        <w:rPr>
          <w:rFonts w:ascii="Bookman Old Style" w:hAnsi="Bookman Old Style"/>
        </w:rPr>
        <w:tab/>
        <w:t xml:space="preserve">Costo Base de Comercialización para </w:t>
      </w:r>
      <w:r w:rsidR="00F4610E" w:rsidRPr="00614FAD">
        <w:rPr>
          <w:rFonts w:ascii="Bookman Old Style" w:hAnsi="Bookman Old Style"/>
        </w:rPr>
        <w:t xml:space="preserve">el </w:t>
      </w:r>
      <w:r w:rsidR="00F4610E" w:rsidRPr="00614FAD">
        <w:rPr>
          <w:rFonts w:ascii="Bookman Old Style" w:hAnsi="Bookman Old Style"/>
        </w:rPr>
        <w:br/>
        <w:t>M</w:t>
      </w:r>
      <w:r w:rsidR="00AF7952" w:rsidRPr="00614FAD">
        <w:rPr>
          <w:rFonts w:ascii="Bookman Old Style" w:hAnsi="Bookman Old Style"/>
        </w:rPr>
        <w:t xml:space="preserve">ercado </w:t>
      </w:r>
      <w:r w:rsidR="00F4610E" w:rsidRPr="00614FAD">
        <w:rPr>
          <w:rFonts w:ascii="Bookman Old Style" w:hAnsi="Bookman Old Style"/>
        </w:rPr>
        <w:t xml:space="preserve">de Comercialización </w:t>
      </w:r>
      <w:r w:rsidR="00AF7952" w:rsidRPr="00614FAD">
        <w:rPr>
          <w:rFonts w:ascii="Bookman Old Style" w:hAnsi="Bookman Old Style"/>
          <w:i/>
        </w:rPr>
        <w:t>j</w:t>
      </w:r>
      <w:r w:rsidR="00AF7952" w:rsidRPr="00614FAD">
        <w:rPr>
          <w:rFonts w:ascii="Bookman Old Style" w:hAnsi="Bookman Old Style"/>
        </w:rPr>
        <w:t>, expresado en pesos por factura</w:t>
      </w:r>
      <w:r w:rsidR="00F4610E" w:rsidRPr="00614FAD">
        <w:rPr>
          <w:rFonts w:ascii="Bookman Old Style" w:hAnsi="Bookman Old Style"/>
        </w:rPr>
        <w:t xml:space="preserve"> ($/factura)</w:t>
      </w:r>
      <w:r w:rsidR="00AF7952" w:rsidRPr="00614FAD">
        <w:rPr>
          <w:rFonts w:ascii="Bookman Old Style" w:hAnsi="Bookman Old Style"/>
        </w:rPr>
        <w:t xml:space="preserve">, correspondiente al mes </w:t>
      </w:r>
      <w:r w:rsidR="00AF7952" w:rsidRPr="00614FAD">
        <w:rPr>
          <w:rFonts w:ascii="Bookman Old Style" w:hAnsi="Bookman Old Style"/>
          <w:i/>
        </w:rPr>
        <w:t>m</w:t>
      </w:r>
      <w:r w:rsidR="00AF7952" w:rsidRPr="00614FAD">
        <w:rPr>
          <w:rFonts w:ascii="Bookman Old Style" w:hAnsi="Bookman Old Style"/>
        </w:rPr>
        <w:t xml:space="preserve"> de prestación del servicio.</w:t>
      </w:r>
      <w:r w:rsidR="005735DB" w:rsidRPr="00614FAD">
        <w:rPr>
          <w:rFonts w:ascii="Bookman Old Style" w:hAnsi="Bookman Old Style"/>
        </w:rPr>
        <w:t xml:space="preserve"> </w:t>
      </w:r>
      <w:r w:rsidR="005735DB" w:rsidRPr="00614FAD">
        <w:rPr>
          <w:rFonts w:ascii="Bookman Old Style" w:hAnsi="Bookman Old Style"/>
          <w:bCs/>
        </w:rPr>
        <w:t xml:space="preserve">Esta variable se calculará conforme se establece en el artículo </w:t>
      </w:r>
      <w:r w:rsidR="0023736C" w:rsidRPr="00614FAD">
        <w:rPr>
          <w:rFonts w:ascii="Bookman Old Style" w:hAnsi="Bookman Old Style"/>
          <w:bCs/>
        </w:rPr>
        <w:t>6</w:t>
      </w:r>
      <w:r w:rsidR="005735DB" w:rsidRPr="00614FAD">
        <w:rPr>
          <w:rFonts w:ascii="Bookman Old Style" w:hAnsi="Bookman Old Style"/>
          <w:bCs/>
        </w:rPr>
        <w:t xml:space="preserve"> de la Resolución CREG 044 de 2012.</w:t>
      </w:r>
    </w:p>
    <w:p w:rsidR="00135862" w:rsidRPr="00614FAD" w:rsidRDefault="00135862"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Cv</m:t>
            </m:r>
          </m:e>
          <m:sub>
            <m:r>
              <w:rPr>
                <w:rFonts w:ascii="Cambria Math" w:hAnsi="Cambria Math"/>
              </w:rPr>
              <m:t>m,i,j</m:t>
            </m:r>
          </m:sub>
        </m:sSub>
      </m:oMath>
      <w:r w:rsidR="00135862" w:rsidRPr="00614FAD">
        <w:rPr>
          <w:rFonts w:ascii="Bookman Old Style" w:hAnsi="Bookman Old Style"/>
          <w:bCs/>
        </w:rPr>
        <w:t>:</w:t>
      </w:r>
      <w:r w:rsidR="00135862" w:rsidRPr="00614FAD">
        <w:rPr>
          <w:rFonts w:ascii="Bookman Old Style" w:hAnsi="Bookman Old Style"/>
          <w:bCs/>
        </w:rPr>
        <w:tab/>
        <w:t xml:space="preserve">Margen de Comercialización para el </w:t>
      </w:r>
      <w:r w:rsidR="00C764F9" w:rsidRPr="00614FAD">
        <w:rPr>
          <w:rFonts w:ascii="Bookman Old Style" w:hAnsi="Bookman Old Style"/>
          <w:bCs/>
        </w:rPr>
        <w:t>C</w:t>
      </w:r>
      <w:r w:rsidR="00135862" w:rsidRPr="00614FAD">
        <w:rPr>
          <w:rFonts w:ascii="Bookman Old Style" w:hAnsi="Bookman Old Style"/>
          <w:bCs/>
        </w:rPr>
        <w:t xml:space="preserve">omercializador </w:t>
      </w:r>
      <w:r w:rsidR="00C764F9" w:rsidRPr="00614FAD">
        <w:rPr>
          <w:rFonts w:ascii="Bookman Old Style" w:hAnsi="Bookman Old Style"/>
          <w:bCs/>
        </w:rPr>
        <w:t xml:space="preserve">Minorista </w:t>
      </w:r>
      <w:r w:rsidR="00135862" w:rsidRPr="00614FAD">
        <w:rPr>
          <w:rFonts w:ascii="Bookman Old Style" w:hAnsi="Bookman Old Style"/>
          <w:bCs/>
          <w:i/>
        </w:rPr>
        <w:t>i</w:t>
      </w:r>
      <w:r w:rsidR="00135862" w:rsidRPr="00614FAD">
        <w:rPr>
          <w:rFonts w:ascii="Bookman Old Style" w:hAnsi="Bookman Old Style"/>
          <w:bCs/>
        </w:rPr>
        <w:t xml:space="preserve">, del Mercado de Comercialización </w:t>
      </w:r>
      <w:r w:rsidR="00135862" w:rsidRPr="00614FAD">
        <w:rPr>
          <w:rFonts w:ascii="Bookman Old Style" w:hAnsi="Bookman Old Style"/>
          <w:bCs/>
          <w:i/>
        </w:rPr>
        <w:t>j</w:t>
      </w:r>
      <w:r w:rsidR="00135862" w:rsidRPr="00614FAD">
        <w:rPr>
          <w:rFonts w:ascii="Bookman Old Style" w:hAnsi="Bookman Old Style"/>
          <w:bCs/>
        </w:rPr>
        <w:t xml:space="preserve">, correspondiente al mes </w:t>
      </w:r>
      <m:oMath>
        <m:r>
          <w:rPr>
            <w:rFonts w:ascii="Cambria Math" w:hAnsi="Cambria Math"/>
          </w:rPr>
          <m:t>m</m:t>
        </m:r>
      </m:oMath>
      <w:r w:rsidR="00135862" w:rsidRPr="00614FAD">
        <w:rPr>
          <w:rFonts w:ascii="Bookman Old Style" w:hAnsi="Bookman Old Style"/>
          <w:bCs/>
        </w:rPr>
        <w:t>, expresado en pesos por kilovatio hora ($/kWh).</w:t>
      </w:r>
    </w:p>
    <w:p w:rsidR="00135862" w:rsidRPr="00614FAD" w:rsidRDefault="00135862" w:rsidP="000200D5">
      <w:pPr>
        <w:widowControl w:val="0"/>
        <w:ind w:left="1985" w:hanging="1276"/>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Sup>
          <m:sSubSupPr>
            <m:ctrlPr>
              <w:rPr>
                <w:rFonts w:ascii="Cambria Math" w:hAnsi="Cambria Math"/>
                <w:bCs/>
                <w:i/>
              </w:rPr>
            </m:ctrlPr>
          </m:sSubSupPr>
          <m:e>
            <m:r>
              <w:rPr>
                <w:rFonts w:ascii="Cambria Math" w:hAnsi="Cambria Math"/>
              </w:rPr>
              <m:t>C</m:t>
            </m:r>
          </m:e>
          <m:sub>
            <m:r>
              <w:rPr>
                <w:rFonts w:ascii="Cambria Math" w:hAnsi="Cambria Math"/>
              </w:rPr>
              <m:t>i,j,m</m:t>
            </m:r>
          </m:sub>
          <m:sup>
            <m:r>
              <w:rPr>
                <w:rFonts w:ascii="Cambria Math" w:hAnsi="Cambria Math"/>
              </w:rPr>
              <m:t>*</m:t>
            </m:r>
          </m:sup>
        </m:sSubSup>
      </m:oMath>
      <w:r w:rsidR="00135862" w:rsidRPr="00614FAD">
        <w:rPr>
          <w:rFonts w:ascii="Bookman Old Style" w:hAnsi="Bookman Old Style"/>
          <w:bCs/>
        </w:rPr>
        <w:t xml:space="preserve">: </w:t>
      </w:r>
      <w:r w:rsidR="00135862" w:rsidRPr="00614FAD">
        <w:rPr>
          <w:rFonts w:ascii="Bookman Old Style" w:hAnsi="Bookman Old Style"/>
          <w:bCs/>
        </w:rPr>
        <w:tab/>
        <w:t xml:space="preserve">Costo variable de la actividad de comercialización para el Comercializador </w:t>
      </w:r>
      <w:r w:rsidR="00C764F9" w:rsidRPr="00614FAD">
        <w:rPr>
          <w:rFonts w:ascii="Bookman Old Style" w:hAnsi="Bookman Old Style"/>
          <w:bCs/>
        </w:rPr>
        <w:t xml:space="preserve">Minorista </w:t>
      </w:r>
      <m:oMath>
        <m:r>
          <w:rPr>
            <w:rFonts w:ascii="Cambria Math" w:hAnsi="Cambria Math"/>
          </w:rPr>
          <m:t>i</m:t>
        </m:r>
      </m:oMath>
      <w:r w:rsidR="00135862" w:rsidRPr="00614FAD">
        <w:rPr>
          <w:rFonts w:ascii="Bookman Old Style" w:hAnsi="Bookman Old Style"/>
          <w:bCs/>
        </w:rPr>
        <w:t xml:space="preserve">, del Mercado de Comercialización </w:t>
      </w:r>
      <w:r w:rsidR="00135862" w:rsidRPr="00614FAD">
        <w:rPr>
          <w:rFonts w:ascii="Bookman Old Style" w:hAnsi="Bookman Old Style"/>
          <w:bCs/>
          <w:i/>
        </w:rPr>
        <w:t>j</w:t>
      </w:r>
      <w:r w:rsidR="00135862" w:rsidRPr="00614FAD">
        <w:rPr>
          <w:rFonts w:ascii="Bookman Old Style" w:hAnsi="Bookman Old Style"/>
          <w:bCs/>
        </w:rPr>
        <w:t xml:space="preserve">, en el mes </w:t>
      </w:r>
      <m:oMath>
        <m:r>
          <w:rPr>
            <w:rFonts w:ascii="Cambria Math" w:hAnsi="Cambria Math"/>
          </w:rPr>
          <m:t>m</m:t>
        </m:r>
      </m:oMath>
      <w:r w:rsidR="00135862" w:rsidRPr="00614FAD">
        <w:rPr>
          <w:rFonts w:ascii="Bookman Old Style" w:hAnsi="Bookman Old Style"/>
          <w:bCs/>
        </w:rPr>
        <w:t xml:space="preserve">. Esta variable se calculará conforme se establece en el </w:t>
      </w:r>
      <w:r w:rsidR="002D5ADA" w:rsidRPr="00614FAD">
        <w:rPr>
          <w:rFonts w:ascii="Bookman Old Style" w:hAnsi="Bookman Old Style"/>
          <w:bCs/>
        </w:rPr>
        <w:t>a</w:t>
      </w:r>
      <w:r w:rsidR="00CA6F36" w:rsidRPr="00614FAD">
        <w:rPr>
          <w:rFonts w:ascii="Bookman Old Style" w:hAnsi="Bookman Old Style"/>
          <w:bCs/>
        </w:rPr>
        <w:t xml:space="preserve">rtículo </w:t>
      </w:r>
      <w:r w:rsidR="00294DB5" w:rsidRPr="00614FAD">
        <w:rPr>
          <w:rFonts w:ascii="Bookman Old Style" w:hAnsi="Bookman Old Style"/>
          <w:bCs/>
        </w:rPr>
        <w:t>8</w:t>
      </w:r>
      <w:r w:rsidR="00CA6F36" w:rsidRPr="00614FAD">
        <w:rPr>
          <w:rFonts w:ascii="Bookman Old Style" w:hAnsi="Bookman Old Style"/>
          <w:bCs/>
        </w:rPr>
        <w:t xml:space="preserve"> de la </w:t>
      </w:r>
      <w:r w:rsidR="00135862" w:rsidRPr="00614FAD">
        <w:rPr>
          <w:rFonts w:ascii="Bookman Old Style" w:hAnsi="Bookman Old Style"/>
          <w:bCs/>
        </w:rPr>
        <w:t>Resolución</w:t>
      </w:r>
      <w:r w:rsidR="00CA6F36" w:rsidRPr="00614FAD">
        <w:rPr>
          <w:rFonts w:ascii="Bookman Old Style" w:hAnsi="Bookman Old Style"/>
          <w:bCs/>
        </w:rPr>
        <w:t xml:space="preserve"> CREG </w:t>
      </w:r>
      <w:r w:rsidR="00C62D2B" w:rsidRPr="00614FAD">
        <w:rPr>
          <w:rFonts w:ascii="Bookman Old Style" w:hAnsi="Bookman Old Style"/>
          <w:bCs/>
        </w:rPr>
        <w:t>044</w:t>
      </w:r>
      <w:r w:rsidR="00CA6F36" w:rsidRPr="00614FAD">
        <w:rPr>
          <w:rFonts w:ascii="Bookman Old Style" w:hAnsi="Bookman Old Style"/>
          <w:bCs/>
        </w:rPr>
        <w:t xml:space="preserve"> de 2012</w:t>
      </w:r>
      <w:r w:rsidR="00135862" w:rsidRPr="00614FAD">
        <w:rPr>
          <w:rFonts w:ascii="Bookman Old Style" w:hAnsi="Bookman Old Style"/>
          <w:bCs/>
        </w:rPr>
        <w:t>.</w:t>
      </w:r>
    </w:p>
    <w:p w:rsidR="00135862" w:rsidRDefault="00135862" w:rsidP="000200D5">
      <w:pPr>
        <w:widowControl w:val="0"/>
        <w:ind w:left="1985" w:hanging="1276"/>
        <w:jc w:val="both"/>
        <w:rPr>
          <w:rFonts w:ascii="Bookman Old Style" w:hAnsi="Bookman Old Style"/>
          <w:bCs/>
        </w:rPr>
      </w:pPr>
    </w:p>
    <w:p w:rsidR="00EB244A" w:rsidRPr="00614FAD" w:rsidRDefault="00EB244A"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CER</m:t>
            </m:r>
          </m:e>
          <m:sub>
            <m:r>
              <w:rPr>
                <w:rFonts w:ascii="Cambria Math" w:hAnsi="Cambria Math"/>
              </w:rPr>
              <m:t>i,m</m:t>
            </m:r>
          </m:sub>
        </m:sSub>
      </m:oMath>
      <w:r w:rsidR="00135862" w:rsidRPr="00614FAD">
        <w:rPr>
          <w:rFonts w:ascii="Bookman Old Style" w:hAnsi="Bookman Old Style"/>
          <w:bCs/>
        </w:rPr>
        <w:t xml:space="preserve">: </w:t>
      </w:r>
      <w:r w:rsidR="00135862" w:rsidRPr="00614FAD">
        <w:rPr>
          <w:rFonts w:ascii="Bookman Old Style" w:hAnsi="Bookman Old Style"/>
          <w:bCs/>
        </w:rPr>
        <w:tab/>
        <w:t xml:space="preserve">Costo mensual de las contribuciones a las entidades de regulación (CREG) y control (SSPD), liquidado al </w:t>
      </w:r>
      <w:r w:rsidR="00C764F9" w:rsidRPr="00614FAD">
        <w:rPr>
          <w:rFonts w:ascii="Bookman Old Style" w:hAnsi="Bookman Old Style"/>
          <w:bCs/>
        </w:rPr>
        <w:t>C</w:t>
      </w:r>
      <w:r w:rsidR="00135862" w:rsidRPr="00614FAD">
        <w:rPr>
          <w:rFonts w:ascii="Bookman Old Style" w:hAnsi="Bookman Old Style"/>
          <w:bCs/>
        </w:rPr>
        <w:t xml:space="preserve">omercializador </w:t>
      </w:r>
      <w:r w:rsidR="00C764F9" w:rsidRPr="00614FAD">
        <w:rPr>
          <w:rFonts w:ascii="Bookman Old Style" w:hAnsi="Bookman Old Style"/>
          <w:bCs/>
        </w:rPr>
        <w:t xml:space="preserve">Minorista </w:t>
      </w:r>
      <w:r w:rsidR="00132B01" w:rsidRPr="00614FAD">
        <w:rPr>
          <w:rFonts w:ascii="Bookman Old Style" w:hAnsi="Bookman Old Style"/>
          <w:bCs/>
          <w:i/>
        </w:rPr>
        <w:t>i</w:t>
      </w:r>
      <w:r w:rsidR="00135862" w:rsidRPr="00614FAD">
        <w:rPr>
          <w:rFonts w:ascii="Bookman Old Style" w:hAnsi="Bookman Old Style"/>
          <w:bCs/>
        </w:rPr>
        <w:t xml:space="preserve"> conforme a la regulación vigente. </w:t>
      </w:r>
      <w:r w:rsidR="00135862" w:rsidRPr="00614FAD">
        <w:rPr>
          <w:rFonts w:ascii="Bookman Old Style" w:hAnsi="Bookman Old Style"/>
          <w:bCs/>
        </w:rPr>
        <w:lastRenderedPageBreak/>
        <w:t>El costo mensual de las contribuciones corresponderá a una doceava parte del pago anual que se</w:t>
      </w:r>
      <w:r w:rsidR="008B2757" w:rsidRPr="00614FAD">
        <w:rPr>
          <w:rFonts w:ascii="Bookman Old Style" w:hAnsi="Bookman Old Style"/>
          <w:bCs/>
        </w:rPr>
        <w:t xml:space="preserve"> efectúa a la CREG y a la SSPD.</w:t>
      </w:r>
    </w:p>
    <w:p w:rsidR="00135862" w:rsidRPr="00614FAD" w:rsidRDefault="00135862"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CCD</m:t>
            </m:r>
          </m:e>
          <m:sub>
            <m:r>
              <w:rPr>
                <w:rFonts w:ascii="Cambria Math" w:hAnsi="Cambria Math"/>
              </w:rPr>
              <m:t>i,m-1</m:t>
            </m:r>
          </m:sub>
        </m:sSub>
      </m:oMath>
      <w:r w:rsidR="00135862" w:rsidRPr="00614FAD">
        <w:rPr>
          <w:rFonts w:ascii="Bookman Old Style" w:hAnsi="Bookman Old Style"/>
          <w:bCs/>
        </w:rPr>
        <w:t xml:space="preserve">: </w:t>
      </w:r>
      <w:r w:rsidR="00135862" w:rsidRPr="00614FAD">
        <w:rPr>
          <w:rFonts w:ascii="Bookman Old Style" w:hAnsi="Bookman Old Style"/>
          <w:bCs/>
        </w:rPr>
        <w:tab/>
        <w:t>Costos de los servicios del Centro Nacional de Despacho y del Administrador del Sistema de Intercambio Comerciales, ASIC, expresados en pesos ($) asignados al Comercializador</w:t>
      </w:r>
      <w:r w:rsidR="0039427C" w:rsidRPr="00614FAD">
        <w:rPr>
          <w:rFonts w:ascii="Bookman Old Style" w:hAnsi="Bookman Old Style"/>
          <w:bCs/>
        </w:rPr>
        <w:t xml:space="preserve"> Minorista</w:t>
      </w:r>
      <w:r w:rsidR="00135862" w:rsidRPr="00614FAD">
        <w:rPr>
          <w:rFonts w:ascii="Bookman Old Style" w:hAnsi="Bookman Old Style"/>
          <w:bCs/>
        </w:rPr>
        <w:t xml:space="preserve"> </w:t>
      </w:r>
      <w:r w:rsidR="00135862" w:rsidRPr="00614FAD">
        <w:rPr>
          <w:rFonts w:ascii="Bookman Old Style" w:hAnsi="Bookman Old Style"/>
          <w:bCs/>
          <w:i/>
        </w:rPr>
        <w:t>i</w:t>
      </w:r>
      <w:r w:rsidR="00135862" w:rsidRPr="00614FAD">
        <w:rPr>
          <w:rFonts w:ascii="Bookman Old Style" w:hAnsi="Bookman Old Style"/>
          <w:bCs/>
        </w:rPr>
        <w:t xml:space="preserve">, correspondientes al mes </w:t>
      </w:r>
      <m:oMath>
        <m:r>
          <w:rPr>
            <w:rFonts w:ascii="Cambria Math" w:hAnsi="Cambria Math"/>
          </w:rPr>
          <m:t>m-1</m:t>
        </m:r>
      </m:oMath>
      <w:r w:rsidR="00135862" w:rsidRPr="00614FAD">
        <w:rPr>
          <w:rFonts w:ascii="Bookman Old Style" w:hAnsi="Bookman Old Style"/>
          <w:bCs/>
        </w:rPr>
        <w:t>, de acu</w:t>
      </w:r>
      <w:r w:rsidR="008B2757" w:rsidRPr="00614FAD">
        <w:rPr>
          <w:rFonts w:ascii="Bookman Old Style" w:hAnsi="Bookman Old Style"/>
          <w:bCs/>
        </w:rPr>
        <w:t>erdo con la regulación vigente.</w:t>
      </w:r>
    </w:p>
    <w:p w:rsidR="00C62D2B" w:rsidRPr="00614FAD" w:rsidRDefault="00C62D2B"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CG</m:t>
            </m:r>
          </m:e>
          <m:sub>
            <m:r>
              <w:rPr>
                <w:rFonts w:ascii="Cambria Math" w:hAnsi="Cambria Math"/>
              </w:rPr>
              <m:t>i,m-1</m:t>
            </m:r>
          </m:sub>
        </m:sSub>
      </m:oMath>
      <w:r w:rsidR="00135862" w:rsidRPr="00614FAD">
        <w:rPr>
          <w:rFonts w:ascii="Bookman Old Style" w:hAnsi="Bookman Old Style"/>
          <w:bCs/>
        </w:rPr>
        <w:t xml:space="preserve">: </w:t>
      </w:r>
      <w:r w:rsidR="00135862" w:rsidRPr="00614FAD">
        <w:rPr>
          <w:rFonts w:ascii="Bookman Old Style" w:hAnsi="Bookman Old Style"/>
          <w:bCs/>
        </w:rPr>
        <w:tab/>
        <w:t xml:space="preserve">Costos de </w:t>
      </w:r>
      <w:r w:rsidR="0039427C" w:rsidRPr="00614FAD">
        <w:rPr>
          <w:rFonts w:ascii="Bookman Old Style" w:hAnsi="Bookman Old Style"/>
          <w:bCs/>
        </w:rPr>
        <w:t>g</w:t>
      </w:r>
      <w:r w:rsidR="00135862" w:rsidRPr="00614FAD">
        <w:rPr>
          <w:rFonts w:ascii="Bookman Old Style" w:hAnsi="Bookman Old Style"/>
          <w:bCs/>
        </w:rPr>
        <w:t xml:space="preserve">arantías en el Mercado Mayorista expresados en </w:t>
      </w:r>
      <w:r w:rsidR="002D5ADA" w:rsidRPr="00614FAD">
        <w:rPr>
          <w:rFonts w:ascii="Bookman Old Style" w:hAnsi="Bookman Old Style"/>
          <w:bCs/>
        </w:rPr>
        <w:t>p</w:t>
      </w:r>
      <w:r w:rsidR="00135862" w:rsidRPr="00614FAD">
        <w:rPr>
          <w:rFonts w:ascii="Bookman Old Style" w:hAnsi="Bookman Old Style"/>
          <w:bCs/>
        </w:rPr>
        <w:t xml:space="preserve">esos ($), para el </w:t>
      </w:r>
      <w:r w:rsidR="00C62D2B" w:rsidRPr="00614FAD">
        <w:rPr>
          <w:rFonts w:ascii="Bookman Old Style" w:hAnsi="Bookman Old Style"/>
          <w:bCs/>
        </w:rPr>
        <w:t>Comercializador</w:t>
      </w:r>
      <w:r w:rsidR="0039427C" w:rsidRPr="00614FAD">
        <w:rPr>
          <w:rFonts w:ascii="Bookman Old Style" w:hAnsi="Bookman Old Style"/>
          <w:bCs/>
        </w:rPr>
        <w:t xml:space="preserve"> Minorista </w:t>
      </w:r>
      <m:oMath>
        <m:r>
          <w:rPr>
            <w:rFonts w:ascii="Cambria Math" w:hAnsi="Cambria Math"/>
          </w:rPr>
          <m:t>i</m:t>
        </m:r>
      </m:oMath>
      <w:r w:rsidR="00135862" w:rsidRPr="00614FAD">
        <w:rPr>
          <w:rFonts w:ascii="Bookman Old Style" w:hAnsi="Bookman Old Style"/>
          <w:bCs/>
        </w:rPr>
        <w:t xml:space="preserve">, correspondientes al mes </w:t>
      </w:r>
      <m:oMath>
        <m:r>
          <w:rPr>
            <w:rFonts w:ascii="Cambria Math" w:hAnsi="Cambria Math"/>
          </w:rPr>
          <m:t>m-1</m:t>
        </m:r>
      </m:oMath>
      <w:r w:rsidR="00135862" w:rsidRPr="00614FAD">
        <w:rPr>
          <w:rFonts w:ascii="Bookman Old Style" w:hAnsi="Bookman Old Style"/>
          <w:bCs/>
        </w:rPr>
        <w:t xml:space="preserve">, conforme con la regulación vigente. Esta variable se calculará de acuerdo con lo establecido en el </w:t>
      </w:r>
      <w:r w:rsidR="002D5ADA" w:rsidRPr="00614FAD">
        <w:rPr>
          <w:rFonts w:ascii="Bookman Old Style" w:hAnsi="Bookman Old Style"/>
          <w:bCs/>
        </w:rPr>
        <w:t>a</w:t>
      </w:r>
      <w:r w:rsidR="00C62D2B" w:rsidRPr="00614FAD">
        <w:rPr>
          <w:rFonts w:ascii="Bookman Old Style" w:hAnsi="Bookman Old Style"/>
          <w:bCs/>
        </w:rPr>
        <w:t xml:space="preserve">rtículo </w:t>
      </w:r>
      <w:r w:rsidR="00294DB5" w:rsidRPr="00614FAD">
        <w:rPr>
          <w:rFonts w:ascii="Bookman Old Style" w:hAnsi="Bookman Old Style"/>
          <w:bCs/>
        </w:rPr>
        <w:t>12</w:t>
      </w:r>
      <w:r w:rsidR="00C62D2B" w:rsidRPr="00614FAD">
        <w:rPr>
          <w:rFonts w:ascii="Bookman Old Style" w:hAnsi="Bookman Old Style"/>
          <w:bCs/>
        </w:rPr>
        <w:t xml:space="preserve"> de la </w:t>
      </w:r>
      <w:r w:rsidR="00135862" w:rsidRPr="00614FAD">
        <w:rPr>
          <w:rFonts w:ascii="Bookman Old Style" w:hAnsi="Bookman Old Style"/>
          <w:bCs/>
        </w:rPr>
        <w:t>Resolución</w:t>
      </w:r>
      <w:r w:rsidR="00C62D2B" w:rsidRPr="00614FAD">
        <w:rPr>
          <w:rFonts w:ascii="Bookman Old Style" w:hAnsi="Bookman Old Style"/>
          <w:bCs/>
        </w:rPr>
        <w:t xml:space="preserve"> CREG 044 de 2012</w:t>
      </w:r>
      <w:r w:rsidR="00135862" w:rsidRPr="00614FAD">
        <w:rPr>
          <w:rFonts w:ascii="Bookman Old Style" w:hAnsi="Bookman Old Style"/>
          <w:bCs/>
        </w:rPr>
        <w:t>.</w:t>
      </w:r>
    </w:p>
    <w:p w:rsidR="00135862" w:rsidRPr="00614FAD" w:rsidRDefault="00135862" w:rsidP="000200D5">
      <w:pPr>
        <w:widowControl w:val="0"/>
        <w:ind w:left="1985" w:hanging="1276"/>
        <w:rPr>
          <w:rFonts w:ascii="Bookman Old Style" w:hAnsi="Bookman Old Style"/>
          <w:bCs/>
        </w:rPr>
      </w:pPr>
    </w:p>
    <w:p w:rsidR="00CB2618"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V</m:t>
            </m:r>
          </m:e>
          <m:sub>
            <m:r>
              <w:rPr>
                <w:rFonts w:ascii="Cambria Math" w:hAnsi="Cambria Math"/>
              </w:rPr>
              <m:t>i,m-1</m:t>
            </m:r>
          </m:sub>
        </m:sSub>
      </m:oMath>
      <w:r w:rsidR="00D530D4">
        <w:rPr>
          <w:rFonts w:ascii="Bookman Old Style" w:hAnsi="Bookman Old Style"/>
          <w:bCs/>
        </w:rPr>
        <w:t>:</w:t>
      </w:r>
      <w:r w:rsidR="00135862" w:rsidRPr="00614FAD">
        <w:rPr>
          <w:rFonts w:ascii="Bookman Old Style" w:hAnsi="Bookman Old Style"/>
          <w:bCs/>
        </w:rPr>
        <w:tab/>
        <w:t xml:space="preserve">Ventas totales a </w:t>
      </w:r>
      <w:r w:rsidR="00883C59" w:rsidRPr="00614FAD">
        <w:rPr>
          <w:rFonts w:ascii="Bookman Old Style" w:hAnsi="Bookman Old Style"/>
          <w:bCs/>
        </w:rPr>
        <w:t>u</w:t>
      </w:r>
      <w:r w:rsidR="00135862" w:rsidRPr="00614FAD">
        <w:rPr>
          <w:rFonts w:ascii="Bookman Old Style" w:hAnsi="Bookman Old Style"/>
          <w:bCs/>
        </w:rPr>
        <w:t xml:space="preserve">suarios del Comercializador </w:t>
      </w:r>
      <w:r w:rsidR="00883C59" w:rsidRPr="00614FAD">
        <w:rPr>
          <w:rFonts w:ascii="Bookman Old Style" w:hAnsi="Bookman Old Style"/>
          <w:bCs/>
        </w:rPr>
        <w:t xml:space="preserve">Minorista </w:t>
      </w:r>
      <m:oMath>
        <m:r>
          <w:rPr>
            <w:rFonts w:ascii="Cambria Math" w:hAnsi="Cambria Math"/>
          </w:rPr>
          <m:t>i</m:t>
        </m:r>
      </m:oMath>
      <w:r w:rsidR="00135862" w:rsidRPr="00614FAD">
        <w:rPr>
          <w:rFonts w:ascii="Bookman Old Style" w:hAnsi="Bookman Old Style"/>
          <w:bCs/>
        </w:rPr>
        <w:t xml:space="preserve">, regulados y no regulados, en el mes </w:t>
      </w:r>
      <m:oMath>
        <m:r>
          <w:rPr>
            <w:rFonts w:ascii="Cambria Math" w:hAnsi="Cambria Math"/>
          </w:rPr>
          <m:t>m-1</m:t>
        </m:r>
      </m:oMath>
      <w:r w:rsidR="00135862" w:rsidRPr="00614FAD">
        <w:rPr>
          <w:rFonts w:ascii="Bookman Old Style" w:hAnsi="Bookman Old Style"/>
          <w:bCs/>
        </w:rPr>
        <w:t>, expresadas en kilovatio</w:t>
      </w:r>
      <w:r w:rsidR="00883C59" w:rsidRPr="00614FAD">
        <w:rPr>
          <w:rFonts w:ascii="Bookman Old Style" w:hAnsi="Bookman Old Style"/>
          <w:bCs/>
        </w:rPr>
        <w:t>s</w:t>
      </w:r>
      <w:r w:rsidR="00135862" w:rsidRPr="00614FAD">
        <w:rPr>
          <w:rFonts w:ascii="Bookman Old Style" w:hAnsi="Bookman Old Style"/>
          <w:bCs/>
        </w:rPr>
        <w:t xml:space="preserve"> hora (kWh).</w:t>
      </w:r>
    </w:p>
    <w:p w:rsidR="00CB2618" w:rsidRPr="00614FAD" w:rsidRDefault="00CB2618" w:rsidP="000200D5">
      <w:pPr>
        <w:widowControl w:val="0"/>
        <w:ind w:left="2127" w:hanging="1418"/>
        <w:jc w:val="both"/>
        <w:rPr>
          <w:rFonts w:ascii="Bookman Old Style" w:hAnsi="Bookman Old Style"/>
        </w:rPr>
      </w:pPr>
    </w:p>
    <w:p w:rsidR="00CB2618" w:rsidRPr="00614FAD" w:rsidRDefault="00942C2A" w:rsidP="000200D5">
      <w:pPr>
        <w:widowControl w:val="0"/>
        <w:ind w:left="2127" w:hanging="1418"/>
        <w:jc w:val="both"/>
        <w:rPr>
          <w:rFonts w:ascii="Bookman Old Style" w:hAnsi="Bookman Old Style"/>
          <w:bCs/>
        </w:rPr>
      </w:pPr>
      <m:oMath>
        <m:sSub>
          <m:sSubPr>
            <m:ctrlPr>
              <w:rPr>
                <w:rFonts w:ascii="Cambria Math" w:hAnsi="Cambria Math"/>
                <w:i/>
              </w:rPr>
            </m:ctrlPr>
          </m:sSubPr>
          <m:e>
            <m:r>
              <w:rPr>
                <w:rFonts w:ascii="Cambria Math" w:hAnsi="Cambria Math"/>
              </w:rPr>
              <m:t>CvR</m:t>
            </m:r>
          </m:e>
          <m:sub>
            <m:r>
              <w:rPr>
                <w:rFonts w:ascii="Cambria Math" w:hAnsi="Cambria Math"/>
              </w:rPr>
              <m:t>i,j,m</m:t>
            </m:r>
          </m:sub>
        </m:sSub>
      </m:oMath>
      <w:r w:rsidR="00CB2618" w:rsidRPr="00614FAD">
        <w:rPr>
          <w:rFonts w:ascii="Bookman Old Style" w:hAnsi="Bookman Old Style"/>
        </w:rPr>
        <w:t>:</w:t>
      </w:r>
      <w:r w:rsidR="00CB2618" w:rsidRPr="00614FAD">
        <w:rPr>
          <w:rFonts w:ascii="Bookman Old Style" w:hAnsi="Bookman Old Style"/>
        </w:rPr>
        <w:tab/>
        <w:t xml:space="preserve">Componente </w:t>
      </w:r>
      <w:r w:rsidR="00CB2618" w:rsidRPr="00614FAD">
        <w:rPr>
          <w:rFonts w:ascii="Bookman Old Style" w:hAnsi="Bookman Old Style"/>
          <w:bCs/>
        </w:rPr>
        <w:t xml:space="preserve">variable que remunera costos asociados a la atención de usuarios regulados por parte del Comercializador Minorista </w:t>
      </w:r>
      <m:oMath>
        <m:r>
          <w:rPr>
            <w:rFonts w:ascii="Cambria Math" w:hAnsi="Cambria Math"/>
          </w:rPr>
          <m:t>i</m:t>
        </m:r>
      </m:oMath>
      <w:r w:rsidR="00CB2618" w:rsidRPr="00614FAD">
        <w:rPr>
          <w:rFonts w:ascii="Bookman Old Style" w:hAnsi="Bookman Old Style"/>
          <w:bCs/>
        </w:rPr>
        <w:t xml:space="preserve">, del Mercado de Comercialización </w:t>
      </w:r>
      <w:r w:rsidR="00CB2618" w:rsidRPr="00614FAD">
        <w:rPr>
          <w:rFonts w:ascii="Bookman Old Style" w:hAnsi="Bookman Old Style"/>
          <w:bCs/>
          <w:i/>
        </w:rPr>
        <w:t>j</w:t>
      </w:r>
      <w:r w:rsidR="00CB2618" w:rsidRPr="00614FAD">
        <w:rPr>
          <w:rFonts w:ascii="Bookman Old Style" w:hAnsi="Bookman Old Style"/>
          <w:bCs/>
        </w:rPr>
        <w:t xml:space="preserve">, en el mes </w:t>
      </w:r>
      <m:oMath>
        <m:r>
          <w:rPr>
            <w:rFonts w:ascii="Cambria Math" w:hAnsi="Cambria Math"/>
          </w:rPr>
          <m:t>m</m:t>
        </m:r>
      </m:oMath>
      <w:r w:rsidR="00CB2618" w:rsidRPr="00614FAD">
        <w:rPr>
          <w:rFonts w:ascii="Bookman Old Style" w:hAnsi="Bookman Old Style"/>
          <w:bCs/>
        </w:rPr>
        <w:t>.</w:t>
      </w:r>
    </w:p>
    <w:p w:rsidR="00CB2618" w:rsidRPr="00614FAD" w:rsidRDefault="00CB2618" w:rsidP="000200D5">
      <w:pPr>
        <w:widowControl w:val="0"/>
        <w:ind w:left="1985" w:hanging="1276"/>
        <w:jc w:val="both"/>
        <w:rPr>
          <w:rFonts w:ascii="Bookman Old Style" w:hAnsi="Bookman Old Style"/>
          <w:bCs/>
        </w:rPr>
      </w:pPr>
    </w:p>
    <w:p w:rsidR="008B2757" w:rsidRPr="00614FAD" w:rsidRDefault="008B2757" w:rsidP="000200D5">
      <w:pPr>
        <w:widowControl w:val="0"/>
        <w:ind w:left="2127" w:hanging="1418"/>
        <w:jc w:val="both"/>
        <w:rPr>
          <w:rFonts w:ascii="Bookman Old Style" w:hAnsi="Bookman Old Style"/>
        </w:rPr>
      </w:pPr>
      <m:oMath>
        <m:r>
          <w:rPr>
            <w:rFonts w:ascii="Cambria Math" w:hAnsi="Cambria Math"/>
            <w:color w:val="000000"/>
          </w:rPr>
          <m:t>β</m:t>
        </m:r>
      </m:oMath>
      <w:r w:rsidRPr="00614FAD">
        <w:rPr>
          <w:rFonts w:ascii="Bookman Old Style" w:hAnsi="Bookman Old Style" w:cs="Arial"/>
          <w:color w:val="000000"/>
        </w:rPr>
        <w:t>:</w:t>
      </w:r>
      <w:r w:rsidRPr="00614FAD">
        <w:rPr>
          <w:rFonts w:ascii="Bookman Old Style" w:hAnsi="Bookman Old Style" w:cs="Arial"/>
          <w:color w:val="000000"/>
        </w:rPr>
        <w:tab/>
        <w:t>P</w:t>
      </w:r>
      <w:r w:rsidRPr="00614FAD">
        <w:rPr>
          <w:rFonts w:ascii="Bookman Old Style" w:hAnsi="Bookman Old Style" w:cs="Arial"/>
        </w:rPr>
        <w:t xml:space="preserve">orción del Costo Base de Comercialización, </w:t>
      </w:r>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w:r w:rsidRPr="00614FAD">
        <w:rPr>
          <w:rFonts w:ascii="Bookman Old Style" w:hAnsi="Bookman Old Style" w:cs="Arial"/>
          <w:color w:val="000000"/>
        </w:rPr>
        <w:t xml:space="preserve">, </w:t>
      </w:r>
      <w:r w:rsidRPr="00614FAD">
        <w:rPr>
          <w:rFonts w:ascii="Bookman Old Style" w:hAnsi="Bookman Old Style" w:cs="Arial"/>
        </w:rPr>
        <w:t xml:space="preserve">que se remunera a través de la componente fija del </w:t>
      </w:r>
      <w:r w:rsidRPr="00614FAD">
        <w:rPr>
          <w:rFonts w:ascii="Bookman Old Style" w:hAnsi="Bookman Old Style"/>
        </w:rPr>
        <w:t xml:space="preserve">Costo Unitario de Prestación del Servicio, </w:t>
      </w:r>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m,j</m:t>
            </m:r>
          </m:sub>
        </m:sSub>
      </m:oMath>
      <w:r w:rsidRPr="00614FAD">
        <w:rPr>
          <w:rFonts w:ascii="Bookman Old Style" w:hAnsi="Bookman Old Style"/>
          <w:color w:val="000000"/>
        </w:rPr>
        <w:t>.</w:t>
      </w:r>
    </w:p>
    <w:p w:rsidR="008B2757" w:rsidRPr="00614FAD" w:rsidRDefault="008B2757" w:rsidP="000200D5">
      <w:pPr>
        <w:widowControl w:val="0"/>
        <w:ind w:left="1985" w:hanging="1276"/>
        <w:jc w:val="both"/>
        <w:rPr>
          <w:rFonts w:ascii="Bookman Old Style" w:hAnsi="Bookman Old Style"/>
          <w:bCs/>
        </w:rPr>
      </w:pPr>
    </w:p>
    <w:p w:rsidR="00CB2618" w:rsidRPr="00614FAD" w:rsidRDefault="00942C2A" w:rsidP="000200D5">
      <w:pPr>
        <w:widowControl w:val="0"/>
        <w:ind w:left="2127" w:hanging="1418"/>
        <w:jc w:val="both"/>
        <w:rPr>
          <w:rFonts w:ascii="Bookman Old Style" w:hAnsi="Bookman Old Style"/>
          <w:bCs/>
        </w:rPr>
      </w:pPr>
      <m:oMath>
        <m:sSub>
          <m:sSubPr>
            <m:ctrlPr>
              <w:rPr>
                <w:rFonts w:ascii="Cambria Math" w:hAnsi="Cambria Math"/>
                <w:i/>
              </w:rPr>
            </m:ctrlPr>
          </m:sSubPr>
          <m:e>
            <m:r>
              <w:rPr>
                <w:rFonts w:ascii="Cambria Math" w:hAnsi="Cambria Math"/>
              </w:rPr>
              <m:t>UR</m:t>
            </m:r>
          </m:e>
          <m:sub>
            <m:r>
              <w:rPr>
                <w:rFonts w:ascii="Cambria Math" w:hAnsi="Cambria Math"/>
              </w:rPr>
              <m:t>i,j,m-2</m:t>
            </m:r>
          </m:sub>
        </m:sSub>
      </m:oMath>
      <w:r w:rsidR="00CB2618" w:rsidRPr="00614FAD">
        <w:rPr>
          <w:rFonts w:ascii="Bookman Old Style" w:hAnsi="Bookman Old Style"/>
        </w:rPr>
        <w:t>:</w:t>
      </w:r>
      <w:r w:rsidR="00CB2618" w:rsidRPr="00614FAD">
        <w:rPr>
          <w:rFonts w:ascii="Bookman Old Style" w:hAnsi="Bookman Old Style"/>
        </w:rPr>
        <w:tab/>
        <w:t xml:space="preserve">Número de usuarios regulados atendidos por </w:t>
      </w:r>
      <w:r w:rsidR="00CB2618" w:rsidRPr="00614FAD">
        <w:rPr>
          <w:rFonts w:ascii="Bookman Old Style" w:hAnsi="Bookman Old Style"/>
          <w:bCs/>
        </w:rPr>
        <w:t xml:space="preserve">el Comercializador Minorista </w:t>
      </w:r>
      <m:oMath>
        <m:r>
          <w:rPr>
            <w:rFonts w:ascii="Cambria Math" w:hAnsi="Cambria Math"/>
          </w:rPr>
          <m:t>i</m:t>
        </m:r>
      </m:oMath>
      <w:r w:rsidR="00CB2618" w:rsidRPr="00614FAD">
        <w:rPr>
          <w:rFonts w:ascii="Bookman Old Style" w:hAnsi="Bookman Old Style"/>
          <w:bCs/>
        </w:rPr>
        <w:t xml:space="preserve">, del Mercado de Comercialización </w:t>
      </w:r>
      <w:r w:rsidR="00CB2618" w:rsidRPr="00614FAD">
        <w:rPr>
          <w:rFonts w:ascii="Bookman Old Style" w:hAnsi="Bookman Old Style"/>
          <w:bCs/>
          <w:i/>
        </w:rPr>
        <w:t>j</w:t>
      </w:r>
      <w:r w:rsidR="00CB2618" w:rsidRPr="00614FAD">
        <w:rPr>
          <w:rFonts w:ascii="Bookman Old Style" w:hAnsi="Bookman Old Style"/>
          <w:bCs/>
        </w:rPr>
        <w:t xml:space="preserve">, en el mes </w:t>
      </w:r>
      <m:oMath>
        <m:r>
          <w:rPr>
            <w:rFonts w:ascii="Cambria Math" w:hAnsi="Cambria Math"/>
          </w:rPr>
          <m:t>m-2</m:t>
        </m:r>
      </m:oMath>
      <w:r w:rsidR="00CB2618" w:rsidRPr="00614FAD">
        <w:rPr>
          <w:rFonts w:ascii="Bookman Old Style" w:hAnsi="Bookman Old Style"/>
          <w:bCs/>
        </w:rPr>
        <w:t>.</w:t>
      </w:r>
      <w:r w:rsidR="001972A9" w:rsidRPr="00614FAD">
        <w:rPr>
          <w:rFonts w:ascii="Bookman Old Style" w:hAnsi="Bookman Old Style"/>
          <w:bCs/>
        </w:rPr>
        <w:t xml:space="preserve"> Corresponderá al número total usuarios </w:t>
      </w:r>
      <w:r w:rsidR="000779CB" w:rsidRPr="00614FAD">
        <w:rPr>
          <w:rFonts w:ascii="Bookman Old Style" w:hAnsi="Bookman Old Style"/>
          <w:bCs/>
        </w:rPr>
        <w:t xml:space="preserve">regulados </w:t>
      </w:r>
      <w:r w:rsidR="001972A9" w:rsidRPr="00614FAD">
        <w:rPr>
          <w:rFonts w:ascii="Bookman Old Style" w:hAnsi="Bookman Old Style"/>
          <w:bCs/>
        </w:rPr>
        <w:t xml:space="preserve">reportados en </w:t>
      </w:r>
      <w:r w:rsidR="000779CB" w:rsidRPr="00614FAD">
        <w:rPr>
          <w:rFonts w:ascii="Bookman Old Style" w:hAnsi="Bookman Old Style"/>
          <w:bCs/>
        </w:rPr>
        <w:t>los formatos 2 y 3 de la Resolución SSPD 20102400008055</w:t>
      </w:r>
      <w:r w:rsidR="00241FEE" w:rsidRPr="00614FAD">
        <w:rPr>
          <w:rFonts w:ascii="Bookman Old Style" w:hAnsi="Bookman Old Style"/>
          <w:bCs/>
        </w:rPr>
        <w:t xml:space="preserve"> o aquella que la modifique o sustituya</w:t>
      </w:r>
      <w:r w:rsidR="000779CB" w:rsidRPr="00614FAD">
        <w:rPr>
          <w:rFonts w:ascii="Bookman Old Style" w:hAnsi="Bookman Old Style"/>
          <w:bCs/>
        </w:rPr>
        <w:t>.</w:t>
      </w:r>
    </w:p>
    <w:p w:rsidR="00CB2618" w:rsidRPr="00614FAD" w:rsidRDefault="00CB2618"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CGCU</m:t>
            </m:r>
          </m:e>
          <m:sub>
            <m:r>
              <w:rPr>
                <w:rFonts w:ascii="Cambria Math" w:hAnsi="Cambria Math"/>
              </w:rPr>
              <m:t>i,j,m-1</m:t>
            </m:r>
          </m:sub>
        </m:sSub>
      </m:oMath>
      <w:r w:rsidR="00D530D4">
        <w:rPr>
          <w:rFonts w:ascii="Bookman Old Style" w:hAnsi="Bookman Old Style"/>
          <w:bCs/>
        </w:rPr>
        <w:t>:</w:t>
      </w:r>
      <w:r w:rsidR="00135862" w:rsidRPr="00614FAD">
        <w:rPr>
          <w:rFonts w:ascii="Bookman Old Style" w:hAnsi="Bookman Old Style"/>
          <w:bCs/>
        </w:rPr>
        <w:tab/>
        <w:t xml:space="preserve">Costos de </w:t>
      </w:r>
      <w:r w:rsidR="0039427C" w:rsidRPr="00614FAD">
        <w:rPr>
          <w:rFonts w:ascii="Bookman Old Style" w:hAnsi="Bookman Old Style"/>
          <w:bCs/>
        </w:rPr>
        <w:t>g</w:t>
      </w:r>
      <w:r w:rsidR="00135862" w:rsidRPr="00614FAD">
        <w:rPr>
          <w:rFonts w:ascii="Bookman Old Style" w:hAnsi="Bookman Old Style"/>
          <w:bCs/>
        </w:rPr>
        <w:t>arantías para cubrir el pago de los cargos por uso del STR y/o del SDL, de usuarios regulados, expresados en Pesos ($), para el Comercializador</w:t>
      </w:r>
      <w:r w:rsidR="0039427C" w:rsidRPr="00614FAD">
        <w:rPr>
          <w:rFonts w:ascii="Bookman Old Style" w:hAnsi="Bookman Old Style"/>
          <w:bCs/>
        </w:rPr>
        <w:t xml:space="preserve"> Minorista</w:t>
      </w:r>
      <w:r w:rsidR="00135862" w:rsidRPr="00614FAD">
        <w:rPr>
          <w:rFonts w:ascii="Bookman Old Style" w:hAnsi="Bookman Old Style"/>
          <w:bCs/>
        </w:rPr>
        <w:t xml:space="preserve"> </w:t>
      </w:r>
      <m:oMath>
        <m:r>
          <w:rPr>
            <w:rFonts w:ascii="Cambria Math" w:hAnsi="Cambria Math"/>
          </w:rPr>
          <m:t>i</m:t>
        </m:r>
      </m:oMath>
      <w:r w:rsidR="00135862" w:rsidRPr="00614FAD">
        <w:rPr>
          <w:rFonts w:ascii="Bookman Old Style" w:hAnsi="Bookman Old Style"/>
          <w:bCs/>
        </w:rPr>
        <w:t xml:space="preserve">, </w:t>
      </w:r>
      <w:r w:rsidR="001972A9" w:rsidRPr="00614FAD">
        <w:rPr>
          <w:rFonts w:ascii="Bookman Old Style" w:hAnsi="Bookman Old Style"/>
          <w:bCs/>
        </w:rPr>
        <w:t xml:space="preserve">del Mercado de Comercialización </w:t>
      </w:r>
      <w:r w:rsidR="001972A9" w:rsidRPr="00614FAD">
        <w:rPr>
          <w:rFonts w:ascii="Bookman Old Style" w:hAnsi="Bookman Old Style"/>
          <w:bCs/>
          <w:i/>
        </w:rPr>
        <w:t>j</w:t>
      </w:r>
      <w:r w:rsidR="001972A9" w:rsidRPr="00614FAD">
        <w:rPr>
          <w:rFonts w:ascii="Bookman Old Style" w:hAnsi="Bookman Old Style"/>
          <w:bCs/>
        </w:rPr>
        <w:t xml:space="preserve">, </w:t>
      </w:r>
      <w:r w:rsidR="00135862" w:rsidRPr="00614FAD">
        <w:rPr>
          <w:rFonts w:ascii="Bookman Old Style" w:hAnsi="Bookman Old Style"/>
          <w:bCs/>
        </w:rPr>
        <w:t xml:space="preserve">correspondientes al mes </w:t>
      </w:r>
      <m:oMath>
        <m:r>
          <w:rPr>
            <w:rFonts w:ascii="Cambria Math" w:hAnsi="Cambria Math"/>
          </w:rPr>
          <m:t>m-1</m:t>
        </m:r>
      </m:oMath>
      <w:r w:rsidR="00135862" w:rsidRPr="00614FAD">
        <w:rPr>
          <w:rFonts w:ascii="Bookman Old Style" w:hAnsi="Bookman Old Style"/>
          <w:bCs/>
        </w:rPr>
        <w:t xml:space="preserve">, conforme con la regulación vigente. Esta variable se calculará de acuerdo con lo establecido en el </w:t>
      </w:r>
      <w:r w:rsidR="002D5ADA" w:rsidRPr="00614FAD">
        <w:rPr>
          <w:rFonts w:ascii="Bookman Old Style" w:hAnsi="Bookman Old Style"/>
          <w:bCs/>
        </w:rPr>
        <w:t>a</w:t>
      </w:r>
      <w:r w:rsidR="00C62D2B" w:rsidRPr="00614FAD">
        <w:rPr>
          <w:rFonts w:ascii="Bookman Old Style" w:hAnsi="Bookman Old Style"/>
          <w:bCs/>
        </w:rPr>
        <w:t xml:space="preserve">rtículo </w:t>
      </w:r>
      <w:r w:rsidR="00294DB5" w:rsidRPr="00614FAD">
        <w:rPr>
          <w:rFonts w:ascii="Bookman Old Style" w:hAnsi="Bookman Old Style"/>
          <w:bCs/>
        </w:rPr>
        <w:t>13</w:t>
      </w:r>
      <w:r w:rsidR="00135862" w:rsidRPr="00614FAD">
        <w:rPr>
          <w:rFonts w:ascii="Bookman Old Style" w:hAnsi="Bookman Old Style"/>
          <w:bCs/>
        </w:rPr>
        <w:t xml:space="preserve"> de </w:t>
      </w:r>
      <w:r w:rsidR="00C62D2B" w:rsidRPr="00614FAD">
        <w:rPr>
          <w:rFonts w:ascii="Bookman Old Style" w:hAnsi="Bookman Old Style"/>
          <w:bCs/>
        </w:rPr>
        <w:t>la</w:t>
      </w:r>
      <w:r w:rsidR="00135862" w:rsidRPr="00614FAD">
        <w:rPr>
          <w:rFonts w:ascii="Bookman Old Style" w:hAnsi="Bookman Old Style"/>
          <w:bCs/>
        </w:rPr>
        <w:t xml:space="preserve"> Resolución</w:t>
      </w:r>
      <w:r w:rsidR="00C62D2B" w:rsidRPr="00614FAD">
        <w:rPr>
          <w:rFonts w:ascii="Bookman Old Style" w:hAnsi="Bookman Old Style"/>
          <w:bCs/>
        </w:rPr>
        <w:t xml:space="preserve"> CREG 044 de 2012</w:t>
      </w:r>
      <w:r w:rsidR="00135862" w:rsidRPr="00614FAD">
        <w:rPr>
          <w:rFonts w:ascii="Bookman Old Style" w:hAnsi="Bookman Old Style"/>
          <w:bCs/>
        </w:rPr>
        <w:t>.</w:t>
      </w:r>
    </w:p>
    <w:p w:rsidR="00135862" w:rsidRPr="00614FAD" w:rsidRDefault="00135862" w:rsidP="000200D5">
      <w:pPr>
        <w:widowControl w:val="0"/>
        <w:ind w:left="1985" w:hanging="1276"/>
        <w:jc w:val="both"/>
        <w:rPr>
          <w:rFonts w:ascii="Bookman Old Style" w:hAnsi="Bookman Old Style"/>
          <w:bCs/>
        </w:rPr>
      </w:pP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PUI</m:t>
            </m:r>
          </m:e>
          <m:sub>
            <m:r>
              <w:rPr>
                <w:rFonts w:ascii="Cambria Math" w:hAnsi="Cambria Math"/>
              </w:rPr>
              <m:t>j,m</m:t>
            </m:r>
          </m:sub>
        </m:sSub>
        <m:r>
          <w:rPr>
            <w:rFonts w:ascii="Cambria Math" w:hAnsi="Cambria Math"/>
          </w:rPr>
          <m:t xml:space="preserve"> </m:t>
        </m:r>
      </m:oMath>
      <w:r w:rsidR="00135862" w:rsidRPr="00614FAD">
        <w:rPr>
          <w:rFonts w:ascii="Bookman Old Style" w:hAnsi="Bookman Old Style"/>
          <w:bCs/>
        </w:rPr>
        <w:tab/>
        <w:t xml:space="preserve">Costo que remunera la actividad de Prestador de Última Instancia a </w:t>
      </w:r>
      <w:r w:rsidR="0039427C" w:rsidRPr="00614FAD">
        <w:rPr>
          <w:rFonts w:ascii="Bookman Old Style" w:hAnsi="Bookman Old Style"/>
          <w:bCs/>
        </w:rPr>
        <w:t>u</w:t>
      </w:r>
      <w:r w:rsidR="00135862" w:rsidRPr="00614FAD">
        <w:rPr>
          <w:rFonts w:ascii="Bookman Old Style" w:hAnsi="Bookman Old Style"/>
          <w:bCs/>
        </w:rPr>
        <w:t xml:space="preserve">suarios regulados en el Mercado de Comercialización </w:t>
      </w:r>
      <m:oMath>
        <m:r>
          <w:rPr>
            <w:rFonts w:ascii="Cambria Math" w:hAnsi="Cambria Math"/>
          </w:rPr>
          <m:t>j</m:t>
        </m:r>
      </m:oMath>
      <w:r w:rsidR="00135862" w:rsidRPr="00614FAD">
        <w:rPr>
          <w:rFonts w:ascii="Bookman Old Style" w:hAnsi="Bookman Old Style"/>
          <w:bCs/>
        </w:rPr>
        <w:t xml:space="preserve">, en el mes </w:t>
      </w:r>
      <m:oMath>
        <m:r>
          <w:rPr>
            <w:rFonts w:ascii="Cambria Math" w:hAnsi="Cambria Math"/>
          </w:rPr>
          <m:t>m</m:t>
        </m:r>
      </m:oMath>
      <w:r w:rsidR="00135862" w:rsidRPr="00614FAD">
        <w:rPr>
          <w:rFonts w:ascii="Bookman Old Style" w:hAnsi="Bookman Old Style"/>
          <w:bCs/>
        </w:rPr>
        <w:t xml:space="preserve">. Hasta que se adopte e implemente la resolución que remunera </w:t>
      </w:r>
      <w:r w:rsidR="0039427C" w:rsidRPr="00614FAD">
        <w:rPr>
          <w:rFonts w:ascii="Bookman Old Style" w:hAnsi="Bookman Old Style"/>
          <w:bCs/>
        </w:rPr>
        <w:t>e</w:t>
      </w:r>
      <w:r w:rsidR="00135862" w:rsidRPr="00614FAD">
        <w:rPr>
          <w:rFonts w:ascii="Bookman Old Style" w:hAnsi="Bookman Old Style"/>
          <w:bCs/>
        </w:rPr>
        <w:t>ste costo, el valor de esta variable será igual a cero.</w:t>
      </w:r>
    </w:p>
    <w:p w:rsidR="00135862" w:rsidRPr="00614FAD" w:rsidRDefault="00942C2A" w:rsidP="000200D5">
      <w:pPr>
        <w:widowControl w:val="0"/>
        <w:ind w:left="2127" w:hanging="1418"/>
        <w:jc w:val="both"/>
        <w:rPr>
          <w:rFonts w:ascii="Bookman Old Style" w:hAnsi="Bookman Old Style"/>
          <w:bCs/>
        </w:rPr>
      </w:pPr>
      <m:oMath>
        <m:sSub>
          <m:sSubPr>
            <m:ctrlPr>
              <w:rPr>
                <w:rFonts w:ascii="Cambria Math" w:hAnsi="Cambria Math"/>
                <w:bCs/>
                <w:i/>
              </w:rPr>
            </m:ctrlPr>
          </m:sSubPr>
          <m:e>
            <m:r>
              <w:rPr>
                <w:rFonts w:ascii="Cambria Math" w:hAnsi="Cambria Math"/>
              </w:rPr>
              <m:t>VR</m:t>
            </m:r>
          </m:e>
          <m:sub>
            <m:r>
              <w:rPr>
                <w:rFonts w:ascii="Cambria Math" w:hAnsi="Cambria Math"/>
              </w:rPr>
              <m:t>i,j,m-1</m:t>
            </m:r>
          </m:sub>
        </m:sSub>
      </m:oMath>
      <w:r w:rsidR="00135862" w:rsidRPr="00614FAD">
        <w:rPr>
          <w:rFonts w:ascii="Bookman Old Style" w:hAnsi="Bookman Old Style"/>
          <w:bCs/>
        </w:rPr>
        <w:t xml:space="preserve">: </w:t>
      </w:r>
      <w:r w:rsidR="00135862" w:rsidRPr="00614FAD">
        <w:rPr>
          <w:rFonts w:ascii="Bookman Old Style" w:hAnsi="Bookman Old Style"/>
          <w:bCs/>
        </w:rPr>
        <w:tab/>
        <w:t xml:space="preserve">Ventas totales a </w:t>
      </w:r>
      <w:r w:rsidR="0039427C" w:rsidRPr="00614FAD">
        <w:rPr>
          <w:rFonts w:ascii="Bookman Old Style" w:hAnsi="Bookman Old Style"/>
          <w:bCs/>
        </w:rPr>
        <w:t>u</w:t>
      </w:r>
      <w:r w:rsidR="00135862" w:rsidRPr="00614FAD">
        <w:rPr>
          <w:rFonts w:ascii="Bookman Old Style" w:hAnsi="Bookman Old Style"/>
          <w:bCs/>
        </w:rPr>
        <w:t>suarios regulados del Comercializador</w:t>
      </w:r>
      <w:r w:rsidR="0039427C" w:rsidRPr="00614FAD">
        <w:rPr>
          <w:rFonts w:ascii="Bookman Old Style" w:hAnsi="Bookman Old Style"/>
          <w:bCs/>
        </w:rPr>
        <w:t xml:space="preserve"> Minorista</w:t>
      </w:r>
      <w:r w:rsidR="00135862" w:rsidRPr="00614FAD">
        <w:rPr>
          <w:rFonts w:ascii="Bookman Old Style" w:hAnsi="Bookman Old Style"/>
          <w:bCs/>
        </w:rPr>
        <w:t xml:space="preserve"> </w:t>
      </w:r>
      <m:oMath>
        <m:r>
          <w:rPr>
            <w:rFonts w:ascii="Cambria Math" w:hAnsi="Cambria Math"/>
          </w:rPr>
          <m:t>i</m:t>
        </m:r>
      </m:oMath>
      <w:r w:rsidR="00135862" w:rsidRPr="00614FAD">
        <w:rPr>
          <w:rFonts w:ascii="Bookman Old Style" w:hAnsi="Bookman Old Style"/>
          <w:bCs/>
        </w:rPr>
        <w:t xml:space="preserve">, </w:t>
      </w:r>
      <w:r w:rsidR="001972A9" w:rsidRPr="00614FAD">
        <w:rPr>
          <w:rFonts w:ascii="Bookman Old Style" w:hAnsi="Bookman Old Style"/>
          <w:bCs/>
        </w:rPr>
        <w:t xml:space="preserve">del Mercado de Comercialización </w:t>
      </w:r>
      <w:r w:rsidR="001972A9" w:rsidRPr="00614FAD">
        <w:rPr>
          <w:rFonts w:ascii="Bookman Old Style" w:hAnsi="Bookman Old Style"/>
          <w:bCs/>
          <w:i/>
        </w:rPr>
        <w:t>j</w:t>
      </w:r>
      <w:r w:rsidR="001972A9" w:rsidRPr="00614FAD">
        <w:rPr>
          <w:rFonts w:ascii="Bookman Old Style" w:hAnsi="Bookman Old Style"/>
          <w:bCs/>
        </w:rPr>
        <w:t xml:space="preserve">, </w:t>
      </w:r>
      <w:r w:rsidR="00135862" w:rsidRPr="00614FAD">
        <w:rPr>
          <w:rFonts w:ascii="Bookman Old Style" w:hAnsi="Bookman Old Style"/>
          <w:bCs/>
        </w:rPr>
        <w:t xml:space="preserve">expresadas en </w:t>
      </w:r>
      <w:r w:rsidR="0039427C" w:rsidRPr="00614FAD">
        <w:rPr>
          <w:rFonts w:ascii="Bookman Old Style" w:hAnsi="Bookman Old Style"/>
          <w:bCs/>
        </w:rPr>
        <w:t>kilovatios hora (</w:t>
      </w:r>
      <w:r w:rsidR="00135862" w:rsidRPr="00614FAD">
        <w:rPr>
          <w:rFonts w:ascii="Bookman Old Style" w:hAnsi="Bookman Old Style"/>
          <w:bCs/>
        </w:rPr>
        <w:t>kWh</w:t>
      </w:r>
      <w:r w:rsidR="0039427C" w:rsidRPr="00614FAD">
        <w:rPr>
          <w:rFonts w:ascii="Bookman Old Style" w:hAnsi="Bookman Old Style"/>
          <w:bCs/>
        </w:rPr>
        <w:t>)</w:t>
      </w:r>
      <w:r w:rsidR="00135862" w:rsidRPr="00614FAD">
        <w:rPr>
          <w:rFonts w:ascii="Bookman Old Style" w:hAnsi="Bookman Old Style"/>
          <w:bCs/>
        </w:rPr>
        <w:t xml:space="preserve">, en el mes </w:t>
      </w:r>
      <m:oMath>
        <m:r>
          <w:rPr>
            <w:rFonts w:ascii="Cambria Math" w:hAnsi="Cambria Math"/>
          </w:rPr>
          <m:t>m-1</m:t>
        </m:r>
      </m:oMath>
      <w:r w:rsidR="00135862" w:rsidRPr="00614FAD">
        <w:rPr>
          <w:rFonts w:ascii="Bookman Old Style" w:hAnsi="Bookman Old Style"/>
          <w:bCs/>
        </w:rPr>
        <w:t>.</w:t>
      </w:r>
    </w:p>
    <w:p w:rsidR="00135862" w:rsidRPr="00614FAD" w:rsidRDefault="00135862" w:rsidP="000200D5">
      <w:pPr>
        <w:widowControl w:val="0"/>
        <w:ind w:left="1985" w:hanging="1276"/>
        <w:jc w:val="both"/>
        <w:rPr>
          <w:rFonts w:ascii="Bookman Old Style" w:hAnsi="Bookman Old Style"/>
          <w:bCs/>
        </w:rPr>
      </w:pPr>
    </w:p>
    <w:p w:rsidR="00AF7952" w:rsidRPr="00614FAD" w:rsidRDefault="00AF7952" w:rsidP="000200D5">
      <w:pPr>
        <w:widowControl w:val="0"/>
        <w:ind w:left="709" w:right="47"/>
        <w:jc w:val="both"/>
        <w:rPr>
          <w:rFonts w:ascii="Bookman Old Style" w:hAnsi="Bookman Old Style" w:cs="Arial"/>
        </w:rPr>
      </w:pPr>
      <w:r w:rsidRPr="00614FAD">
        <w:rPr>
          <w:rFonts w:ascii="Bookman Old Style" w:hAnsi="Bookman Old Style" w:cs="Arial"/>
          <w:b/>
        </w:rPr>
        <w:t>Parágrafo 1.</w:t>
      </w:r>
      <w:r w:rsidRPr="00614FAD">
        <w:rPr>
          <w:rFonts w:ascii="Bookman Old Style" w:hAnsi="Bookman Old Style" w:cs="Arial"/>
        </w:rPr>
        <w:t xml:space="preserve"> </w:t>
      </w:r>
      <w:r w:rsidR="00182AC2" w:rsidRPr="00614FAD">
        <w:rPr>
          <w:rFonts w:ascii="Bookman Old Style" w:hAnsi="Bookman Old Style" w:cs="Arial"/>
        </w:rPr>
        <w:t>De conformidad con el literal g) del artículo 3 del Decreto 387 de 2007</w:t>
      </w:r>
      <w:r w:rsidR="0015751B" w:rsidRPr="00614FAD">
        <w:rPr>
          <w:rFonts w:ascii="Bookman Old Style" w:hAnsi="Bookman Old Style" w:cs="Arial"/>
        </w:rPr>
        <w:t xml:space="preserve"> y el artículo 1 del Decreto 3414 de 2009, l</w:t>
      </w:r>
      <w:r w:rsidRPr="00614FAD">
        <w:rPr>
          <w:rFonts w:ascii="Bookman Old Style" w:hAnsi="Bookman Old Style" w:cs="Arial"/>
        </w:rPr>
        <w:t xml:space="preserve">a porción del </w:t>
      </w:r>
      <w:r w:rsidR="0015751B" w:rsidRPr="00614FAD">
        <w:rPr>
          <w:rFonts w:ascii="Bookman Old Style" w:hAnsi="Bookman Old Style" w:cs="Arial"/>
        </w:rPr>
        <w:t xml:space="preserve">Costo </w:t>
      </w:r>
      <w:r w:rsidRPr="00614FAD">
        <w:rPr>
          <w:rFonts w:ascii="Bookman Old Style" w:hAnsi="Bookman Old Style" w:cs="Arial"/>
        </w:rPr>
        <w:t>Base de Comercialización</w:t>
      </w:r>
      <w:r w:rsidR="0015751B" w:rsidRPr="00614FAD">
        <w:rPr>
          <w:rFonts w:ascii="Bookman Old Style" w:hAnsi="Bookman Old Style" w:cs="Arial"/>
        </w:rPr>
        <w:t xml:space="preserve">, </w:t>
      </w:r>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oMath>
      <w:r w:rsidR="0015751B" w:rsidRPr="00614FAD">
        <w:rPr>
          <w:rFonts w:ascii="Bookman Old Style" w:hAnsi="Bookman Old Style" w:cs="Arial"/>
          <w:color w:val="000000"/>
        </w:rPr>
        <w:t>,</w:t>
      </w:r>
      <w:r w:rsidRPr="00614FAD">
        <w:rPr>
          <w:rFonts w:ascii="Bookman Old Style" w:hAnsi="Bookman Old Style" w:cs="Arial"/>
        </w:rPr>
        <w:t xml:space="preserve"> que se </w:t>
      </w:r>
      <w:r w:rsidR="0015751B" w:rsidRPr="00614FAD">
        <w:rPr>
          <w:rFonts w:ascii="Bookman Old Style" w:hAnsi="Bookman Old Style" w:cs="Arial"/>
        </w:rPr>
        <w:t>remunere a través de la c</w:t>
      </w:r>
      <w:r w:rsidR="0015751B" w:rsidRPr="00614FAD">
        <w:rPr>
          <w:rFonts w:ascii="Bookman Old Style" w:hAnsi="Bookman Old Style"/>
        </w:rPr>
        <w:t xml:space="preserve">omponente fija del Costo Unitario de Prestación del Servicio, </w:t>
      </w:r>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m,j</m:t>
            </m:r>
          </m:sub>
        </m:sSub>
      </m:oMath>
      <w:r w:rsidR="0015751B" w:rsidRPr="00614FAD">
        <w:rPr>
          <w:rFonts w:ascii="Bookman Old Style" w:hAnsi="Bookman Old Style"/>
          <w:color w:val="000000"/>
        </w:rPr>
        <w:t>,</w:t>
      </w:r>
      <w:r w:rsidR="0015751B" w:rsidRPr="00614FAD">
        <w:rPr>
          <w:rFonts w:ascii="Bookman Old Style" w:hAnsi="Bookman Old Style" w:cs="Arial"/>
        </w:rPr>
        <w:t xml:space="preserve"> </w:t>
      </w:r>
      <w:r w:rsidRPr="00614FAD">
        <w:rPr>
          <w:rFonts w:ascii="Bookman Old Style" w:hAnsi="Bookman Old Style" w:cs="Arial"/>
        </w:rPr>
        <w:t xml:space="preserve">deberá ser aplicada por los </w:t>
      </w:r>
      <w:r w:rsidR="0015751B" w:rsidRPr="00614FAD">
        <w:rPr>
          <w:rFonts w:ascii="Bookman Old Style" w:hAnsi="Bookman Old Style" w:cs="Arial"/>
        </w:rPr>
        <w:t>C</w:t>
      </w:r>
      <w:r w:rsidRPr="00614FAD">
        <w:rPr>
          <w:rFonts w:ascii="Bookman Old Style" w:hAnsi="Bookman Old Style" w:cs="Arial"/>
        </w:rPr>
        <w:t xml:space="preserve">omercializadores </w:t>
      </w:r>
      <w:r w:rsidR="0015751B" w:rsidRPr="00614FAD">
        <w:rPr>
          <w:rFonts w:ascii="Bookman Old Style" w:hAnsi="Bookman Old Style" w:cs="Arial"/>
        </w:rPr>
        <w:t xml:space="preserve">Minoristas </w:t>
      </w:r>
      <w:r w:rsidRPr="00614FAD">
        <w:rPr>
          <w:rFonts w:ascii="Bookman Old Style" w:hAnsi="Bookman Old Style" w:cs="Arial"/>
        </w:rPr>
        <w:t>como un monto uniforme único para todos los usuarios del Mercado de Comercialización</w:t>
      </w:r>
      <w:r w:rsidR="00C72E62" w:rsidRPr="00614FAD">
        <w:rPr>
          <w:rFonts w:ascii="Bookman Old Style" w:hAnsi="Bookman Old Style" w:cs="Arial"/>
        </w:rPr>
        <w:t>.</w:t>
      </w:r>
    </w:p>
    <w:p w:rsidR="00AF7952" w:rsidRPr="00614FAD" w:rsidRDefault="00AF7952" w:rsidP="000200D5">
      <w:pPr>
        <w:widowControl w:val="0"/>
        <w:ind w:left="709" w:right="47"/>
        <w:jc w:val="both"/>
        <w:rPr>
          <w:rFonts w:ascii="Bookman Old Style" w:hAnsi="Bookman Old Style" w:cs="Arial"/>
        </w:rPr>
      </w:pPr>
    </w:p>
    <w:p w:rsidR="00135862" w:rsidRPr="00614FAD" w:rsidRDefault="00135862" w:rsidP="000200D5">
      <w:pPr>
        <w:widowControl w:val="0"/>
        <w:ind w:left="709" w:right="47"/>
        <w:jc w:val="both"/>
        <w:rPr>
          <w:rFonts w:ascii="Bookman Old Style" w:hAnsi="Bookman Old Style" w:cs="Arial"/>
          <w:spacing w:val="-3"/>
        </w:rPr>
      </w:pPr>
      <w:r w:rsidRPr="00614FAD">
        <w:rPr>
          <w:rFonts w:ascii="Bookman Old Style" w:hAnsi="Bookman Old Style" w:cs="Arial"/>
          <w:b/>
        </w:rPr>
        <w:t xml:space="preserve">Parágrafo </w:t>
      </w:r>
      <w:r w:rsidR="00AF7952" w:rsidRPr="00614FAD">
        <w:rPr>
          <w:rFonts w:ascii="Bookman Old Style" w:hAnsi="Bookman Old Style" w:cs="Arial"/>
          <w:b/>
        </w:rPr>
        <w:t>2</w:t>
      </w:r>
      <w:r w:rsidRPr="00614FAD">
        <w:rPr>
          <w:rFonts w:ascii="Bookman Old Style" w:hAnsi="Bookman Old Style" w:cs="Arial"/>
          <w:b/>
        </w:rPr>
        <w:t>.</w:t>
      </w:r>
      <w:r w:rsidRPr="00614FAD">
        <w:rPr>
          <w:rFonts w:ascii="Bookman Old Style" w:hAnsi="Bookman Old Style" w:cs="Arial"/>
        </w:rPr>
        <w:t xml:space="preserve"> Los Comercializadores</w:t>
      </w:r>
      <w:r w:rsidR="00F15AA7" w:rsidRPr="00614FAD">
        <w:rPr>
          <w:rFonts w:ascii="Bookman Old Style" w:hAnsi="Bookman Old Style" w:cs="Arial"/>
          <w:spacing w:val="-3"/>
        </w:rPr>
        <w:t xml:space="preserve"> Minoristas</w:t>
      </w:r>
      <w:r w:rsidRPr="00614FAD">
        <w:rPr>
          <w:rFonts w:ascii="Bookman Old Style" w:hAnsi="Bookman Old Style" w:cs="Arial"/>
          <w:spacing w:val="-3"/>
        </w:rPr>
        <w:t xml:space="preserve"> que vayan a prestar el servicio público domiciliario de energía eléctrica a </w:t>
      </w:r>
      <w:r w:rsidR="00F15AA7" w:rsidRPr="00614FAD">
        <w:rPr>
          <w:rFonts w:ascii="Bookman Old Style" w:hAnsi="Bookman Old Style" w:cs="Arial"/>
          <w:spacing w:val="-3"/>
        </w:rPr>
        <w:t>u</w:t>
      </w:r>
      <w:r w:rsidRPr="00614FAD">
        <w:rPr>
          <w:rFonts w:ascii="Bookman Old Style" w:hAnsi="Bookman Old Style" w:cs="Arial"/>
          <w:spacing w:val="-3"/>
        </w:rPr>
        <w:t xml:space="preserve">suarios finales regulados en un nuevo Mercado de Comercialización, </w:t>
      </w:r>
      <w:r w:rsidR="00F15AA7" w:rsidRPr="00614FAD">
        <w:rPr>
          <w:rFonts w:ascii="Bookman Old Style" w:hAnsi="Bookman Old Style" w:cs="Arial"/>
          <w:spacing w:val="-3"/>
        </w:rPr>
        <w:t>deberán</w:t>
      </w:r>
      <w:r w:rsidRPr="00614FAD">
        <w:rPr>
          <w:rFonts w:ascii="Bookman Old Style" w:hAnsi="Bookman Old Style" w:cs="Arial"/>
          <w:spacing w:val="-3"/>
        </w:rPr>
        <w:t>:</w:t>
      </w:r>
    </w:p>
    <w:p w:rsidR="00135862" w:rsidRPr="00614FAD" w:rsidRDefault="00135862" w:rsidP="000200D5">
      <w:pPr>
        <w:widowControl w:val="0"/>
        <w:ind w:left="1985" w:right="47" w:hanging="1276"/>
        <w:jc w:val="both"/>
        <w:rPr>
          <w:rFonts w:ascii="Bookman Old Style" w:hAnsi="Bookman Old Style" w:cs="Arial"/>
          <w:spacing w:val="-3"/>
        </w:rPr>
      </w:pPr>
    </w:p>
    <w:p w:rsidR="00C62D2B" w:rsidRPr="00614FAD" w:rsidRDefault="00F15AA7" w:rsidP="000200D5">
      <w:pPr>
        <w:widowControl w:val="0"/>
        <w:numPr>
          <w:ilvl w:val="0"/>
          <w:numId w:val="20"/>
        </w:numPr>
        <w:ind w:left="1134" w:right="47" w:hanging="425"/>
        <w:jc w:val="both"/>
        <w:rPr>
          <w:rFonts w:ascii="Bookman Old Style" w:hAnsi="Bookman Old Style" w:cs="Arial"/>
          <w:spacing w:val="-3"/>
        </w:rPr>
      </w:pPr>
      <w:r w:rsidRPr="00614FAD">
        <w:rPr>
          <w:rFonts w:ascii="Bookman Old Style" w:hAnsi="Bookman Old Style" w:cs="Arial"/>
          <w:spacing w:val="-3"/>
        </w:rPr>
        <w:t xml:space="preserve">Utilizar como valor de la variable </w:t>
      </w:r>
      <m:oMath>
        <m:sSub>
          <m:sSubPr>
            <m:ctrlPr>
              <w:rPr>
                <w:rFonts w:ascii="Cambria Math" w:hAnsi="Cambria Math"/>
                <w:bCs/>
                <w:i/>
              </w:rPr>
            </m:ctrlPr>
          </m:sSubPr>
          <m:e>
            <m:r>
              <w:rPr>
                <w:rFonts w:ascii="Cambria Math" w:hAnsi="Cambria Math"/>
              </w:rPr>
              <m:t>Cv</m:t>
            </m:r>
          </m:e>
          <m:sub>
            <m:r>
              <w:rPr>
                <w:rFonts w:ascii="Cambria Math" w:hAnsi="Cambria Math"/>
              </w:rPr>
              <m:t>m,i,j</m:t>
            </m:r>
          </m:sub>
        </m:sSub>
      </m:oMath>
      <w:r w:rsidRPr="00614FAD">
        <w:rPr>
          <w:rFonts w:ascii="Bookman Old Style" w:hAnsi="Bookman Old Style" w:cs="Arial"/>
          <w:spacing w:val="-3"/>
        </w:rPr>
        <w:t xml:space="preserve"> </w:t>
      </w:r>
      <w:r w:rsidR="002E1C46" w:rsidRPr="00614FAD">
        <w:rPr>
          <w:rFonts w:ascii="Bookman Old Style" w:hAnsi="Bookman Old Style" w:cs="Arial"/>
          <w:spacing w:val="-3"/>
        </w:rPr>
        <w:t xml:space="preserve">para </w:t>
      </w:r>
      <w:r w:rsidR="00135862" w:rsidRPr="00614FAD">
        <w:rPr>
          <w:rFonts w:ascii="Bookman Old Style" w:hAnsi="Bookman Old Style" w:cs="Arial"/>
          <w:spacing w:val="-3"/>
        </w:rPr>
        <w:t xml:space="preserve">el primer mes de operación, el promedio de </w:t>
      </w:r>
      <w:r w:rsidR="002E1C46" w:rsidRPr="00614FAD">
        <w:rPr>
          <w:rFonts w:ascii="Bookman Old Style" w:hAnsi="Bookman Old Style" w:cs="Arial"/>
          <w:spacing w:val="-3"/>
        </w:rPr>
        <w:t xml:space="preserve">los valores de </w:t>
      </w:r>
      <w:r w:rsidR="00135862" w:rsidRPr="00614FAD">
        <w:rPr>
          <w:rFonts w:ascii="Bookman Old Style" w:hAnsi="Bookman Old Style" w:cs="Arial"/>
          <w:spacing w:val="-3"/>
        </w:rPr>
        <w:t xml:space="preserve">la variable </w:t>
      </w:r>
      <m:oMath>
        <m:sSub>
          <m:sSubPr>
            <m:ctrlPr>
              <w:rPr>
                <w:rFonts w:ascii="Cambria Math" w:hAnsi="Cambria Math"/>
                <w:bCs/>
                <w:i/>
              </w:rPr>
            </m:ctrlPr>
          </m:sSubPr>
          <m:e>
            <m:r>
              <w:rPr>
                <w:rFonts w:ascii="Cambria Math" w:hAnsi="Cambria Math"/>
              </w:rPr>
              <m:t>Cv</m:t>
            </m:r>
          </m:e>
          <m:sub>
            <m:r>
              <w:rPr>
                <w:rFonts w:ascii="Cambria Math" w:hAnsi="Cambria Math"/>
              </w:rPr>
              <m:t>m-1,i,j</m:t>
            </m:r>
          </m:sub>
        </m:sSub>
      </m:oMath>
      <w:r w:rsidR="00135862" w:rsidRPr="00614FAD">
        <w:rPr>
          <w:rFonts w:ascii="Bookman Old Style" w:hAnsi="Bookman Old Style"/>
          <w:bCs/>
        </w:rPr>
        <w:t xml:space="preserve"> aplicad</w:t>
      </w:r>
      <w:r w:rsidR="002E1C46" w:rsidRPr="00614FAD">
        <w:rPr>
          <w:rFonts w:ascii="Bookman Old Style" w:hAnsi="Bookman Old Style"/>
          <w:bCs/>
        </w:rPr>
        <w:t>os</w:t>
      </w:r>
      <w:r w:rsidR="00135862" w:rsidRPr="00614FAD">
        <w:rPr>
          <w:rFonts w:ascii="Bookman Old Style" w:hAnsi="Bookman Old Style"/>
          <w:bCs/>
        </w:rPr>
        <w:t xml:space="preserve"> por los </w:t>
      </w:r>
      <w:r w:rsidR="002E1C46" w:rsidRPr="00614FAD">
        <w:rPr>
          <w:rFonts w:ascii="Bookman Old Style" w:hAnsi="Bookman Old Style"/>
          <w:bCs/>
        </w:rPr>
        <w:t>C</w:t>
      </w:r>
      <w:r w:rsidR="00135862" w:rsidRPr="00614FAD">
        <w:rPr>
          <w:rFonts w:ascii="Bookman Old Style" w:hAnsi="Bookman Old Style"/>
          <w:bCs/>
        </w:rPr>
        <w:t xml:space="preserve">omercializadores </w:t>
      </w:r>
      <w:r w:rsidR="002E1C46" w:rsidRPr="00614FAD">
        <w:rPr>
          <w:rFonts w:ascii="Bookman Old Style" w:hAnsi="Bookman Old Style"/>
          <w:bCs/>
        </w:rPr>
        <w:t xml:space="preserve">Minoristas </w:t>
      </w:r>
      <w:r w:rsidR="00135862" w:rsidRPr="00614FAD">
        <w:rPr>
          <w:rFonts w:ascii="Bookman Old Style" w:hAnsi="Bookman Old Style"/>
          <w:bCs/>
        </w:rPr>
        <w:t>integrados a</w:t>
      </w:r>
      <w:r w:rsidR="002E1C46" w:rsidRPr="00614FAD">
        <w:rPr>
          <w:rFonts w:ascii="Bookman Old Style" w:hAnsi="Bookman Old Style"/>
          <w:bCs/>
        </w:rPr>
        <w:t xml:space="preserve"> </w:t>
      </w:r>
      <w:r w:rsidR="00135862" w:rsidRPr="00614FAD">
        <w:rPr>
          <w:rFonts w:ascii="Bookman Old Style" w:hAnsi="Bookman Old Style"/>
          <w:bCs/>
        </w:rPr>
        <w:t>l</w:t>
      </w:r>
      <w:r w:rsidR="002E1C46" w:rsidRPr="00614FAD">
        <w:rPr>
          <w:rFonts w:ascii="Bookman Old Style" w:hAnsi="Bookman Old Style"/>
          <w:bCs/>
        </w:rPr>
        <w:t>os</w:t>
      </w:r>
      <w:r w:rsidR="00135862" w:rsidRPr="00614FAD">
        <w:rPr>
          <w:rFonts w:ascii="Bookman Old Style" w:hAnsi="Bookman Old Style"/>
          <w:bCs/>
        </w:rPr>
        <w:t xml:space="preserve"> operador</w:t>
      </w:r>
      <w:r w:rsidR="002E1C46" w:rsidRPr="00614FAD">
        <w:rPr>
          <w:rFonts w:ascii="Bookman Old Style" w:hAnsi="Bookman Old Style"/>
          <w:bCs/>
        </w:rPr>
        <w:t>es</w:t>
      </w:r>
      <w:r w:rsidR="00135862" w:rsidRPr="00614FAD">
        <w:rPr>
          <w:rFonts w:ascii="Bookman Old Style" w:hAnsi="Bookman Old Style"/>
          <w:bCs/>
        </w:rPr>
        <w:t xml:space="preserve"> de red en sus respectivos mercados de comercialización.</w:t>
      </w:r>
    </w:p>
    <w:p w:rsidR="00C62D2B" w:rsidRPr="00614FAD" w:rsidRDefault="00C62D2B" w:rsidP="000200D5">
      <w:pPr>
        <w:widowControl w:val="0"/>
        <w:ind w:left="1134" w:right="47"/>
        <w:jc w:val="both"/>
        <w:rPr>
          <w:rFonts w:ascii="Bookman Old Style" w:hAnsi="Bookman Old Style" w:cs="Arial"/>
          <w:spacing w:val="-3"/>
        </w:rPr>
      </w:pPr>
    </w:p>
    <w:p w:rsidR="00135862" w:rsidRPr="00614FAD" w:rsidRDefault="002E1C46" w:rsidP="000200D5">
      <w:pPr>
        <w:widowControl w:val="0"/>
        <w:numPr>
          <w:ilvl w:val="0"/>
          <w:numId w:val="20"/>
        </w:numPr>
        <w:ind w:left="1134" w:right="47" w:hanging="425"/>
        <w:jc w:val="both"/>
        <w:rPr>
          <w:rFonts w:ascii="Bookman Old Style" w:hAnsi="Bookman Old Style" w:cs="Arial"/>
          <w:spacing w:val="-3"/>
        </w:rPr>
      </w:pPr>
      <w:r w:rsidRPr="00614FAD">
        <w:rPr>
          <w:rFonts w:ascii="Bookman Old Style" w:hAnsi="Bookman Old Style" w:cs="Arial"/>
          <w:spacing w:val="-3"/>
        </w:rPr>
        <w:t xml:space="preserve">Utilizar cero como valor de la variable </w:t>
      </w:r>
      <m:oMath>
        <m:sSub>
          <m:sSubPr>
            <m:ctrlPr>
              <w:rPr>
                <w:rFonts w:ascii="Cambria Math" w:hAnsi="Cambria Math"/>
                <w:bCs/>
                <w:i/>
              </w:rPr>
            </m:ctrlPr>
          </m:sSubPr>
          <m:e>
            <m:r>
              <w:rPr>
                <w:rFonts w:ascii="Cambria Math" w:hAnsi="Cambria Math"/>
              </w:rPr>
              <m:t>CER</m:t>
            </m:r>
          </m:e>
          <m:sub>
            <m:r>
              <w:rPr>
                <w:rFonts w:ascii="Cambria Math" w:hAnsi="Cambria Math"/>
              </w:rPr>
              <m:t>i,m</m:t>
            </m:r>
          </m:sub>
        </m:sSub>
      </m:oMath>
      <w:r w:rsidRPr="00614FAD">
        <w:rPr>
          <w:rFonts w:ascii="Bookman Old Style" w:hAnsi="Bookman Old Style" w:cs="Arial"/>
          <w:spacing w:val="-3"/>
        </w:rPr>
        <w:t xml:space="preserve"> durante </w:t>
      </w:r>
      <w:r w:rsidR="00135862" w:rsidRPr="00614FAD">
        <w:rPr>
          <w:rFonts w:ascii="Bookman Old Style" w:hAnsi="Bookman Old Style" w:cs="Arial"/>
          <w:spacing w:val="-3"/>
        </w:rPr>
        <w:t>el primer año de operación.</w:t>
      </w:r>
    </w:p>
    <w:p w:rsidR="00135862" w:rsidRPr="00614FAD" w:rsidRDefault="00135862" w:rsidP="000200D5">
      <w:pPr>
        <w:widowControl w:val="0"/>
        <w:ind w:left="1985" w:hanging="1276"/>
        <w:jc w:val="both"/>
        <w:rPr>
          <w:rFonts w:ascii="Bookman Old Style" w:hAnsi="Bookman Old Style"/>
          <w:bCs/>
        </w:rPr>
      </w:pPr>
    </w:p>
    <w:p w:rsidR="00B64152" w:rsidRPr="00614FAD" w:rsidRDefault="00B64152" w:rsidP="000200D5">
      <w:pPr>
        <w:widowControl w:val="0"/>
        <w:ind w:left="708"/>
        <w:jc w:val="both"/>
        <w:rPr>
          <w:rFonts w:ascii="Bookman Old Style" w:hAnsi="Bookman Old Style"/>
          <w:bCs/>
        </w:rPr>
      </w:pPr>
      <w:r w:rsidRPr="00614FAD">
        <w:rPr>
          <w:rFonts w:ascii="Bookman Old Style" w:hAnsi="Bookman Old Style"/>
          <w:b/>
          <w:bCs/>
        </w:rPr>
        <w:t xml:space="preserve">Parágrafo </w:t>
      </w:r>
      <w:r w:rsidR="009C2EF5">
        <w:rPr>
          <w:rFonts w:ascii="Bookman Old Style" w:hAnsi="Bookman Old Style"/>
          <w:b/>
          <w:bCs/>
        </w:rPr>
        <w:t>3</w:t>
      </w:r>
      <w:r w:rsidRPr="00614FAD">
        <w:rPr>
          <w:rFonts w:ascii="Bookman Old Style" w:hAnsi="Bookman Old Style"/>
          <w:b/>
          <w:bCs/>
        </w:rPr>
        <w:t>.</w:t>
      </w:r>
      <w:r w:rsidRPr="00614FAD">
        <w:rPr>
          <w:rFonts w:ascii="Bookman Old Style" w:hAnsi="Bookman Old Style"/>
          <w:bCs/>
        </w:rPr>
        <w:t xml:space="preserve"> En el caso </w:t>
      </w:r>
      <w:r w:rsidR="004F60E8">
        <w:rPr>
          <w:rFonts w:ascii="Bookman Old Style" w:hAnsi="Bookman Old Style"/>
          <w:bCs/>
        </w:rPr>
        <w:t xml:space="preserve">de </w:t>
      </w:r>
      <w:r w:rsidRPr="00614FAD">
        <w:rPr>
          <w:rFonts w:ascii="Bookman Old Style" w:hAnsi="Bookman Old Style"/>
          <w:bCs/>
        </w:rPr>
        <w:t xml:space="preserve">que el Comercializador Minorista </w:t>
      </w:r>
      <m:oMath>
        <m:r>
          <w:rPr>
            <w:rFonts w:ascii="Cambria Math" w:hAnsi="Cambria Math"/>
          </w:rPr>
          <m:t>i</m:t>
        </m:r>
      </m:oMath>
      <w:r w:rsidRPr="00614FAD">
        <w:rPr>
          <w:rFonts w:ascii="Bookman Old Style" w:hAnsi="Bookman Old Style"/>
          <w:bCs/>
        </w:rPr>
        <w:t xml:space="preserve"> no haya atendido usuarios regulados en el mes </w:t>
      </w:r>
      <m:oMath>
        <m:r>
          <w:rPr>
            <w:rFonts w:ascii="Cambria Math" w:hAnsi="Cambria Math"/>
          </w:rPr>
          <m:t>m-1</m:t>
        </m:r>
      </m:oMath>
      <w:r w:rsidRPr="00614FAD">
        <w:rPr>
          <w:rFonts w:ascii="Bookman Old Style" w:hAnsi="Bookman Old Style"/>
          <w:bCs/>
        </w:rPr>
        <w:t xml:space="preserve"> en el Mercado de Comercialización </w:t>
      </w:r>
      <m:oMath>
        <m:r>
          <w:rPr>
            <w:rFonts w:ascii="Cambria Math" w:hAnsi="Cambria Math"/>
          </w:rPr>
          <m:t>j</m:t>
        </m:r>
      </m:oMath>
      <w:r w:rsidRPr="00614FAD">
        <w:rPr>
          <w:rFonts w:ascii="Bookman Old Style" w:hAnsi="Bookman Old Style"/>
          <w:bCs/>
        </w:rPr>
        <w:t xml:space="preserve">, el valor del componente </w:t>
      </w:r>
      <m:oMath>
        <m:sSub>
          <m:sSubPr>
            <m:ctrlPr>
              <w:rPr>
                <w:rFonts w:ascii="Cambria Math" w:hAnsi="Cambria Math"/>
                <w:bCs/>
                <w:i/>
              </w:rPr>
            </m:ctrlPr>
          </m:sSubPr>
          <m:e>
            <m:r>
              <w:rPr>
                <w:rFonts w:ascii="Cambria Math" w:hAnsi="Cambria Math"/>
              </w:rPr>
              <m:t>Cv</m:t>
            </m:r>
          </m:e>
          <m:sub>
            <m:r>
              <w:rPr>
                <w:rFonts w:ascii="Cambria Math" w:hAnsi="Cambria Math"/>
              </w:rPr>
              <m:t>m,i,j</m:t>
            </m:r>
          </m:sub>
        </m:sSub>
      </m:oMath>
      <w:r w:rsidRPr="00614FAD">
        <w:rPr>
          <w:rFonts w:ascii="Bookman Old Style" w:hAnsi="Bookman Old Style"/>
          <w:bCs/>
        </w:rPr>
        <w:t xml:space="preserve"> que deberá aplicar será igual al último valor del componente </w:t>
      </w:r>
      <m:oMath>
        <m:r>
          <w:rPr>
            <w:rFonts w:ascii="Cambria Math" w:hAnsi="Cambria Math"/>
          </w:rPr>
          <m:t>Cv</m:t>
        </m:r>
      </m:oMath>
      <w:r w:rsidR="004F60E8">
        <w:rPr>
          <w:rFonts w:ascii="Bookman Old Style" w:hAnsi="Bookman Old Style"/>
          <w:bCs/>
        </w:rPr>
        <w:t xml:space="preserve"> </w:t>
      </w:r>
      <w:r w:rsidRPr="00614FAD">
        <w:rPr>
          <w:rFonts w:ascii="Bookman Old Style" w:hAnsi="Bookman Old Style"/>
          <w:bCs/>
        </w:rPr>
        <w:t xml:space="preserve">publicado por el Comercializador Minorista </w:t>
      </w:r>
      <w:r w:rsidR="009C2EF5" w:rsidRPr="00614FAD">
        <w:rPr>
          <w:rFonts w:ascii="Bookman Old Style" w:hAnsi="Bookman Old Style"/>
          <w:bCs/>
        </w:rPr>
        <w:t xml:space="preserve">integrado al operador de red </w:t>
      </w:r>
      <w:r w:rsidR="009C2EF5">
        <w:rPr>
          <w:rFonts w:ascii="Bookman Old Style" w:hAnsi="Bookman Old Style"/>
          <w:bCs/>
        </w:rPr>
        <w:t>d</w:t>
      </w:r>
      <w:r w:rsidR="009C2EF5" w:rsidRPr="00614FAD">
        <w:rPr>
          <w:rFonts w:ascii="Bookman Old Style" w:hAnsi="Bookman Old Style"/>
          <w:bCs/>
        </w:rPr>
        <w:t xml:space="preserve">el Mercado de Comercialización </w:t>
      </w:r>
      <m:oMath>
        <m:r>
          <w:rPr>
            <w:rFonts w:ascii="Cambria Math" w:hAnsi="Cambria Math"/>
          </w:rPr>
          <m:t>j</m:t>
        </m:r>
      </m:oMath>
      <w:r w:rsidR="00EB244A">
        <w:rPr>
          <w:rFonts w:ascii="Bookman Old Style" w:hAnsi="Bookman Old Style"/>
          <w:bCs/>
        </w:rPr>
        <w:t>”.</w:t>
      </w:r>
    </w:p>
    <w:p w:rsidR="009C2EF5" w:rsidRPr="009C2EF5" w:rsidRDefault="009C2EF5" w:rsidP="000200D5">
      <w:pPr>
        <w:pStyle w:val="Estilo2"/>
        <w:keepNext w:val="0"/>
        <w:numPr>
          <w:ilvl w:val="0"/>
          <w:numId w:val="0"/>
        </w:numPr>
        <w:rPr>
          <w:b w:val="0"/>
          <w:bCs w:val="0"/>
        </w:rPr>
      </w:pPr>
    </w:p>
    <w:p w:rsidR="00657A3E" w:rsidRPr="00614FAD" w:rsidRDefault="00657A3E" w:rsidP="000200D5">
      <w:pPr>
        <w:pStyle w:val="Estilo2"/>
        <w:keepNext w:val="0"/>
        <w:rPr>
          <w:b w:val="0"/>
          <w:bCs w:val="0"/>
        </w:rPr>
      </w:pPr>
      <w:r w:rsidRPr="00614FAD">
        <w:t>Vigencia</w:t>
      </w:r>
      <w:r w:rsidR="007C0153" w:rsidRPr="00614FAD">
        <w:t>.</w:t>
      </w:r>
      <w:r w:rsidRPr="00614FAD">
        <w:rPr>
          <w:b w:val="0"/>
        </w:rPr>
        <w:t xml:space="preserve"> </w:t>
      </w:r>
      <w:r w:rsidRPr="00614FAD">
        <w:rPr>
          <w:b w:val="0"/>
          <w:bCs w:val="0"/>
        </w:rPr>
        <w:t>Esta Resolución rige a partir de la fecha de su publicación en el Diario Oficial, y deroga todas las disposiciones que le sean contrarias.</w:t>
      </w:r>
    </w:p>
    <w:p w:rsidR="00657A3E" w:rsidRPr="00614FAD" w:rsidRDefault="00657A3E" w:rsidP="000200D5">
      <w:pPr>
        <w:pStyle w:val="Textoindependiente3"/>
        <w:widowControl w:val="0"/>
        <w:ind w:left="0"/>
        <w:jc w:val="both"/>
        <w:rPr>
          <w:rFonts w:ascii="Bookman Old Style" w:hAnsi="Bookman Old Style"/>
          <w:b w:val="0"/>
        </w:rPr>
      </w:pPr>
    </w:p>
    <w:p w:rsidR="00657A3E" w:rsidRPr="009E2240" w:rsidRDefault="00657A3E" w:rsidP="000200D5">
      <w:pPr>
        <w:widowControl w:val="0"/>
        <w:ind w:left="142"/>
        <w:jc w:val="center"/>
        <w:rPr>
          <w:rFonts w:ascii="Bookman Old Style" w:hAnsi="Bookman Old Style" w:cs="Arial"/>
          <w:b/>
        </w:rPr>
      </w:pPr>
      <w:r w:rsidRPr="00614FAD">
        <w:rPr>
          <w:rFonts w:ascii="Bookman Old Style" w:hAnsi="Bookman Old Style" w:cs="Arial"/>
          <w:b/>
        </w:rPr>
        <w:t>PUBLÍQUESE Y CÚMPLASE</w:t>
      </w:r>
    </w:p>
    <w:p w:rsidR="00657A3E" w:rsidRPr="009E2240" w:rsidRDefault="00657A3E" w:rsidP="000200D5">
      <w:pPr>
        <w:widowControl w:val="0"/>
        <w:ind w:left="0"/>
        <w:jc w:val="both"/>
        <w:rPr>
          <w:rFonts w:ascii="Bookman Old Style" w:hAnsi="Bookman Old Style" w:cs="Arial"/>
        </w:rPr>
      </w:pPr>
    </w:p>
    <w:p w:rsidR="00657A3E" w:rsidRPr="009E2240" w:rsidRDefault="00657A3E" w:rsidP="000200D5">
      <w:pPr>
        <w:widowControl w:val="0"/>
        <w:ind w:left="0"/>
        <w:rPr>
          <w:rFonts w:ascii="Bookman Old Style" w:hAnsi="Bookman Old Style" w:cs="Arial"/>
          <w:color w:val="000000"/>
        </w:rPr>
      </w:pPr>
    </w:p>
    <w:p w:rsidR="00657A3E" w:rsidRPr="009E2240" w:rsidRDefault="00EB244A" w:rsidP="00EB244A">
      <w:pPr>
        <w:widowControl w:val="0"/>
        <w:ind w:left="0"/>
        <w:rPr>
          <w:rFonts w:ascii="Bookman Old Style" w:hAnsi="Bookman Old Style" w:cs="Arial"/>
          <w:color w:val="000000"/>
        </w:rPr>
      </w:pPr>
      <w:r>
        <w:rPr>
          <w:rFonts w:ascii="Bookman Old Style" w:hAnsi="Bookman Old Style" w:cs="Arial"/>
          <w:color w:val="000000"/>
        </w:rPr>
        <w:t>Dada en Bogotá, D.C. a los</w:t>
      </w:r>
    </w:p>
    <w:p w:rsidR="00657A3E" w:rsidRPr="009E2240" w:rsidRDefault="00657A3E" w:rsidP="000200D5">
      <w:pPr>
        <w:widowControl w:val="0"/>
        <w:jc w:val="center"/>
        <w:rPr>
          <w:rFonts w:ascii="Bookman Old Style" w:hAnsi="Bookman Old Style" w:cs="Arial"/>
          <w:color w:val="000000"/>
        </w:rPr>
      </w:pPr>
    </w:p>
    <w:p w:rsidR="00657A3E" w:rsidRDefault="00657A3E" w:rsidP="000200D5">
      <w:pPr>
        <w:widowControl w:val="0"/>
        <w:jc w:val="center"/>
        <w:rPr>
          <w:rFonts w:ascii="Bookman Old Style" w:hAnsi="Bookman Old Style" w:cs="Arial"/>
          <w:color w:val="000000"/>
        </w:rPr>
      </w:pPr>
    </w:p>
    <w:p w:rsidR="00EB244A" w:rsidRPr="00A2025D" w:rsidRDefault="00EB244A" w:rsidP="000200D5">
      <w:pPr>
        <w:widowControl w:val="0"/>
        <w:jc w:val="center"/>
        <w:rPr>
          <w:rFonts w:ascii="Bookman Old Style" w:hAnsi="Bookman Old Style" w:cs="Arial"/>
          <w:color w:val="000000"/>
          <w:sz w:val="32"/>
        </w:rPr>
      </w:pPr>
    </w:p>
    <w:tbl>
      <w:tblPr>
        <w:tblW w:w="0" w:type="auto"/>
        <w:jc w:val="center"/>
        <w:tblCellSpacing w:w="0" w:type="dxa"/>
        <w:tblCellMar>
          <w:left w:w="0" w:type="dxa"/>
          <w:right w:w="0" w:type="dxa"/>
        </w:tblCellMar>
        <w:tblLook w:val="04A0" w:firstRow="1" w:lastRow="0" w:firstColumn="1" w:lastColumn="0" w:noHBand="0" w:noVBand="1"/>
      </w:tblPr>
      <w:tblGrid>
        <w:gridCol w:w="4320"/>
        <w:gridCol w:w="4513"/>
      </w:tblGrid>
      <w:tr w:rsidR="00657A3E" w:rsidRPr="009E2240" w:rsidTr="00173AAF">
        <w:trPr>
          <w:tblCellSpacing w:w="0" w:type="dxa"/>
          <w:jc w:val="center"/>
        </w:trPr>
        <w:tc>
          <w:tcPr>
            <w:tcW w:w="4320" w:type="dxa"/>
            <w:hideMark/>
          </w:tcPr>
          <w:p w:rsidR="00657A3E" w:rsidRPr="009E2240" w:rsidRDefault="00657A3E" w:rsidP="000200D5">
            <w:pPr>
              <w:widowControl w:val="0"/>
              <w:ind w:left="0"/>
              <w:jc w:val="center"/>
              <w:rPr>
                <w:rFonts w:ascii="Bookman Old Style" w:hAnsi="Bookman Old Style" w:cs="Arial"/>
                <w:color w:val="000000"/>
              </w:rPr>
            </w:pPr>
            <w:r w:rsidRPr="009E2240">
              <w:rPr>
                <w:rFonts w:ascii="Bookman Old Style" w:hAnsi="Bookman Old Style" w:cs="Arial"/>
                <w:b/>
                <w:bCs/>
                <w:color w:val="000000"/>
              </w:rPr>
              <w:t>TOMÁS GONZÁLEZ ESTRADA</w:t>
            </w:r>
          </w:p>
        </w:tc>
        <w:tc>
          <w:tcPr>
            <w:tcW w:w="4513" w:type="dxa"/>
            <w:hideMark/>
          </w:tcPr>
          <w:p w:rsidR="00657A3E" w:rsidRPr="009E2240" w:rsidRDefault="00B316E3" w:rsidP="000200D5">
            <w:pPr>
              <w:widowControl w:val="0"/>
              <w:ind w:left="0"/>
              <w:jc w:val="center"/>
              <w:rPr>
                <w:rFonts w:ascii="Bookman Old Style" w:hAnsi="Bookman Old Style" w:cs="Arial"/>
                <w:color w:val="000000"/>
              </w:rPr>
            </w:pPr>
            <w:r w:rsidRPr="009E2240">
              <w:rPr>
                <w:rFonts w:ascii="Bookman Old Style" w:hAnsi="Bookman Old Style" w:cs="Arial"/>
                <w:b/>
                <w:bCs/>
                <w:color w:val="000000"/>
              </w:rPr>
              <w:t>GERMÁN CASTRO FERREIRA</w:t>
            </w:r>
          </w:p>
        </w:tc>
      </w:tr>
      <w:tr w:rsidR="00657A3E" w:rsidRPr="009E2240" w:rsidTr="00173AAF">
        <w:trPr>
          <w:tblCellSpacing w:w="0" w:type="dxa"/>
          <w:jc w:val="center"/>
        </w:trPr>
        <w:tc>
          <w:tcPr>
            <w:tcW w:w="4320" w:type="dxa"/>
            <w:hideMark/>
          </w:tcPr>
          <w:p w:rsidR="00657A3E" w:rsidRPr="009E2240" w:rsidRDefault="00657A3E" w:rsidP="00EB244A">
            <w:pPr>
              <w:widowControl w:val="0"/>
              <w:ind w:left="0"/>
              <w:jc w:val="center"/>
              <w:rPr>
                <w:rFonts w:ascii="Bookman Old Style" w:hAnsi="Bookman Old Style" w:cs="Arial"/>
                <w:color w:val="000000"/>
              </w:rPr>
            </w:pPr>
            <w:r w:rsidRPr="009E2240">
              <w:rPr>
                <w:rFonts w:ascii="Bookman Old Style" w:hAnsi="Bookman Old Style" w:cs="Arial"/>
                <w:color w:val="000000"/>
              </w:rPr>
              <w:t>Viceministro de Energía</w:t>
            </w:r>
          </w:p>
        </w:tc>
        <w:tc>
          <w:tcPr>
            <w:tcW w:w="4513" w:type="dxa"/>
            <w:hideMark/>
          </w:tcPr>
          <w:p w:rsidR="00657A3E" w:rsidRPr="009E2240" w:rsidRDefault="00657A3E" w:rsidP="000200D5">
            <w:pPr>
              <w:widowControl w:val="0"/>
              <w:jc w:val="center"/>
              <w:rPr>
                <w:rFonts w:ascii="Bookman Old Style" w:hAnsi="Bookman Old Style" w:cs="Arial"/>
                <w:color w:val="000000"/>
              </w:rPr>
            </w:pPr>
            <w:r w:rsidRPr="009E2240">
              <w:rPr>
                <w:rFonts w:ascii="Bookman Old Style" w:hAnsi="Bookman Old Style" w:cs="Arial"/>
                <w:color w:val="000000"/>
              </w:rPr>
              <w:t>Director Ejecutivo</w:t>
            </w:r>
          </w:p>
        </w:tc>
      </w:tr>
      <w:tr w:rsidR="00657A3E" w:rsidRPr="009E2240" w:rsidTr="00173AAF">
        <w:trPr>
          <w:tblCellSpacing w:w="0" w:type="dxa"/>
          <w:jc w:val="center"/>
        </w:trPr>
        <w:tc>
          <w:tcPr>
            <w:tcW w:w="4320" w:type="dxa"/>
            <w:hideMark/>
          </w:tcPr>
          <w:p w:rsidR="00657A3E" w:rsidRPr="009E2240" w:rsidRDefault="00657A3E" w:rsidP="000200D5">
            <w:pPr>
              <w:widowControl w:val="0"/>
              <w:ind w:left="0"/>
              <w:jc w:val="center"/>
              <w:rPr>
                <w:rFonts w:ascii="Bookman Old Style" w:hAnsi="Bookman Old Style" w:cs="Arial"/>
                <w:color w:val="000000"/>
              </w:rPr>
            </w:pPr>
            <w:r w:rsidRPr="009E2240">
              <w:rPr>
                <w:rFonts w:ascii="Bookman Old Style" w:hAnsi="Bookman Old Style" w:cs="Arial"/>
                <w:color w:val="000000"/>
              </w:rPr>
              <w:t>Delegado del Ministro de Minas y Energía</w:t>
            </w:r>
            <w:r w:rsidRPr="009E2240">
              <w:rPr>
                <w:rFonts w:ascii="Bookman Old Style" w:hAnsi="Bookman Old Style" w:cs="Arial"/>
                <w:color w:val="000000"/>
              </w:rPr>
              <w:br/>
              <w:t>Presidente</w:t>
            </w:r>
          </w:p>
        </w:tc>
        <w:tc>
          <w:tcPr>
            <w:tcW w:w="4513" w:type="dxa"/>
            <w:hideMark/>
          </w:tcPr>
          <w:p w:rsidR="00657A3E" w:rsidRPr="009E2240" w:rsidRDefault="00657A3E" w:rsidP="000200D5">
            <w:pPr>
              <w:widowControl w:val="0"/>
              <w:jc w:val="center"/>
              <w:rPr>
                <w:rFonts w:ascii="Bookman Old Style" w:hAnsi="Bookman Old Style" w:cs="Arial"/>
                <w:color w:val="000000"/>
              </w:rPr>
            </w:pPr>
            <w:r w:rsidRPr="009E2240">
              <w:rPr>
                <w:rFonts w:ascii="Bookman Old Style" w:hAnsi="Bookman Old Style" w:cs="Arial"/>
                <w:noProof/>
                <w:color w:val="000000"/>
                <w:lang w:val="es-CO" w:eastAsia="es-CO"/>
              </w:rPr>
              <w:drawing>
                <wp:inline distT="0" distB="0" distL="0" distR="0" wp14:anchorId="6B10784C" wp14:editId="71E3EC39">
                  <wp:extent cx="155575" cy="889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a:ln>
                            <a:noFill/>
                          </a:ln>
                        </pic:spPr>
                      </pic:pic>
                    </a:graphicData>
                  </a:graphic>
                </wp:inline>
              </w:drawing>
            </w:r>
          </w:p>
        </w:tc>
      </w:tr>
    </w:tbl>
    <w:p w:rsidR="00863A90" w:rsidRPr="009E2240" w:rsidRDefault="00863A90" w:rsidP="000200D5">
      <w:pPr>
        <w:widowControl w:val="0"/>
        <w:ind w:left="0" w:right="47"/>
        <w:jc w:val="both"/>
        <w:rPr>
          <w:rFonts w:ascii="Bookman Old Style" w:hAnsi="Bookman Old Style"/>
          <w:bCs/>
        </w:rPr>
      </w:pPr>
    </w:p>
    <w:sectPr w:rsidR="00863A90" w:rsidRPr="009E2240" w:rsidSect="00EB244A">
      <w:headerReference w:type="default" r:id="rId12"/>
      <w:headerReference w:type="first" r:id="rId13"/>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2A" w:rsidRDefault="00A40B2A">
      <w:r>
        <w:separator/>
      </w:r>
    </w:p>
  </w:endnote>
  <w:endnote w:type="continuationSeparator" w:id="0">
    <w:p w:rsidR="00A40B2A" w:rsidRDefault="00A4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2A" w:rsidRDefault="00A40B2A">
      <w:r>
        <w:separator/>
      </w:r>
    </w:p>
  </w:footnote>
  <w:footnote w:type="continuationSeparator" w:id="0">
    <w:p w:rsidR="00A40B2A" w:rsidRDefault="00A4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B2A" w:rsidRDefault="00A40B2A" w:rsidP="00951F79">
    <w:pPr>
      <w:pStyle w:val="Ttulo1"/>
      <w:ind w:right="6"/>
      <w:jc w:val="left"/>
      <w:rPr>
        <w:rFonts w:ascii="Bookman Old Style" w:hAnsi="Bookman Old Style" w:cs="Arial"/>
        <w:b w:val="0"/>
        <w:sz w:val="22"/>
        <w:szCs w:val="22"/>
      </w:rPr>
    </w:pPr>
  </w:p>
  <w:p w:rsidR="00A40B2A" w:rsidRPr="00951F79" w:rsidRDefault="00A40B2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942C2A">
      <w:rPr>
        <w:rFonts w:ascii="Bookman Old Style" w:hAnsi="Bookman Old Style" w:cs="Arial"/>
        <w:b w:val="0"/>
        <w:noProof/>
        <w:sz w:val="22"/>
        <w:szCs w:val="22"/>
      </w:rPr>
      <w:t>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942C2A" w:rsidRPr="00942C2A">
        <w:rPr>
          <w:rFonts w:ascii="Bookman Old Style" w:hAnsi="Bookman Old Style" w:cs="Arial"/>
          <w:b w:val="0"/>
          <w:noProof/>
          <w:sz w:val="22"/>
          <w:szCs w:val="22"/>
        </w:rPr>
        <w:t>8</w:t>
      </w:r>
    </w:fldSimple>
  </w:p>
  <w:p w:rsidR="00A40B2A" w:rsidRDefault="00A40B2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19A6F607" wp14:editId="35391C12">
              <wp:simplePos x="0" y="0"/>
              <wp:positionH relativeFrom="column">
                <wp:posOffset>-175260</wp:posOffset>
              </wp:positionH>
              <wp:positionV relativeFrom="paragraph">
                <wp:posOffset>139065</wp:posOffset>
              </wp:positionV>
              <wp:extent cx="6267450" cy="9900920"/>
              <wp:effectExtent l="9525" t="15240" r="952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A40B2A" w:rsidRPr="00C20249" w:rsidRDefault="00A40B2A" w:rsidP="00CD189B">
    <w:pPr>
      <w:pBdr>
        <w:bottom w:val="single" w:sz="4" w:space="11" w:color="auto"/>
      </w:pBdr>
      <w:spacing w:before="120" w:after="480"/>
      <w:ind w:left="142" w:right="147"/>
      <w:jc w:val="both"/>
      <w:rPr>
        <w:rFonts w:ascii="Bookman Old Style" w:hAnsi="Bookman Old Style" w:cs="Arial"/>
        <w:spacing w:val="-3"/>
        <w:sz w:val="22"/>
        <w:szCs w:val="22"/>
        <w:lang w:val="es-ES_tradnl"/>
      </w:rPr>
    </w:pPr>
    <w:r w:rsidRPr="001B5578">
      <w:rPr>
        <w:rFonts w:ascii="Bookman Old Style" w:hAnsi="Bookman Old Style"/>
        <w:sz w:val="22"/>
        <w:szCs w:val="22"/>
        <w:lang w:eastAsia="es-CO"/>
      </w:rPr>
      <w:t>Por la cual se ordena publicar un proyecto de resolución “Por la cual se modifica y complementa la Resolución CREG 119 de 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B2A" w:rsidRDefault="00A40B2A"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A40B2A" w:rsidRDefault="00A40B2A">
    <w:pPr>
      <w:pStyle w:val="Encabezado"/>
      <w:jc w:val="center"/>
      <w:rPr>
        <w:rFonts w:ascii="Arial" w:hAnsi="Arial" w:cs="Arial"/>
        <w:spacing w:val="20"/>
        <w:sz w:val="20"/>
      </w:rPr>
    </w:pPr>
  </w:p>
  <w:p w:rsidR="00A40B2A" w:rsidRDefault="00A40B2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2F0B241A" wp14:editId="5974CCFD">
              <wp:simplePos x="0" y="0"/>
              <wp:positionH relativeFrom="column">
                <wp:posOffset>-213360</wp:posOffset>
              </wp:positionH>
              <wp:positionV relativeFrom="paragraph">
                <wp:posOffset>377190</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3">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8">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24">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25">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9">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25"/>
  </w:num>
  <w:num w:numId="10">
    <w:abstractNumId w:val="7"/>
  </w:num>
  <w:num w:numId="11">
    <w:abstractNumId w:val="0"/>
  </w:num>
  <w:num w:numId="12">
    <w:abstractNumId w:val="13"/>
  </w:num>
  <w:num w:numId="13">
    <w:abstractNumId w:val="9"/>
  </w:num>
  <w:num w:numId="14">
    <w:abstractNumId w:val="17"/>
  </w:num>
  <w:num w:numId="15">
    <w:abstractNumId w:val="8"/>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2"/>
  </w:num>
  <w:num w:numId="22">
    <w:abstractNumId w:val="19"/>
  </w:num>
  <w:num w:numId="23">
    <w:abstractNumId w:val="5"/>
  </w:num>
  <w:num w:numId="24">
    <w:abstractNumId w:val="16"/>
  </w:num>
  <w:num w:numId="25">
    <w:abstractNumId w:val="23"/>
  </w:num>
  <w:num w:numId="26">
    <w:abstractNumId w:val="11"/>
  </w:num>
  <w:num w:numId="27">
    <w:abstractNumId w:val="24"/>
  </w:num>
  <w:num w:numId="28">
    <w:abstractNumId w:val="22"/>
  </w:num>
  <w:num w:numId="29">
    <w:abstractNumId w:val="14"/>
  </w:num>
  <w:num w:numId="30">
    <w:abstractNumId w:val="30"/>
  </w:num>
  <w:num w:numId="31">
    <w:abstractNumId w:val="18"/>
  </w:num>
  <w:num w:numId="32">
    <w:abstractNumId w:val="27"/>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A"/>
    <w:rsid w:val="0000119B"/>
    <w:rsid w:val="000023B4"/>
    <w:rsid w:val="00006281"/>
    <w:rsid w:val="00006AE2"/>
    <w:rsid w:val="000076A1"/>
    <w:rsid w:val="000113FD"/>
    <w:rsid w:val="00012259"/>
    <w:rsid w:val="00016E84"/>
    <w:rsid w:val="00017636"/>
    <w:rsid w:val="000200D5"/>
    <w:rsid w:val="000204C1"/>
    <w:rsid w:val="00020D8D"/>
    <w:rsid w:val="000210ED"/>
    <w:rsid w:val="00025383"/>
    <w:rsid w:val="00034BAC"/>
    <w:rsid w:val="00035DD0"/>
    <w:rsid w:val="00036AFE"/>
    <w:rsid w:val="00037A0F"/>
    <w:rsid w:val="00040089"/>
    <w:rsid w:val="000451F6"/>
    <w:rsid w:val="000469EC"/>
    <w:rsid w:val="0005376E"/>
    <w:rsid w:val="00055B4B"/>
    <w:rsid w:val="00056DA1"/>
    <w:rsid w:val="000570F2"/>
    <w:rsid w:val="00062372"/>
    <w:rsid w:val="00063657"/>
    <w:rsid w:val="00064508"/>
    <w:rsid w:val="00067061"/>
    <w:rsid w:val="00070C31"/>
    <w:rsid w:val="00071A69"/>
    <w:rsid w:val="00074987"/>
    <w:rsid w:val="00075DCD"/>
    <w:rsid w:val="00076443"/>
    <w:rsid w:val="00076680"/>
    <w:rsid w:val="000779CB"/>
    <w:rsid w:val="0008073E"/>
    <w:rsid w:val="00081FA7"/>
    <w:rsid w:val="00084AEB"/>
    <w:rsid w:val="000878DD"/>
    <w:rsid w:val="000905C0"/>
    <w:rsid w:val="000918B9"/>
    <w:rsid w:val="00091CDB"/>
    <w:rsid w:val="00093974"/>
    <w:rsid w:val="00097B29"/>
    <w:rsid w:val="000A1267"/>
    <w:rsid w:val="000A19AC"/>
    <w:rsid w:val="000A2352"/>
    <w:rsid w:val="000A3342"/>
    <w:rsid w:val="000A730D"/>
    <w:rsid w:val="000A787B"/>
    <w:rsid w:val="000B1B3C"/>
    <w:rsid w:val="000B22A2"/>
    <w:rsid w:val="000B22B8"/>
    <w:rsid w:val="000B3E9E"/>
    <w:rsid w:val="000C04F8"/>
    <w:rsid w:val="000C0CBA"/>
    <w:rsid w:val="000C47E8"/>
    <w:rsid w:val="000C4DEC"/>
    <w:rsid w:val="000C6292"/>
    <w:rsid w:val="000C68E0"/>
    <w:rsid w:val="000C712D"/>
    <w:rsid w:val="000D10EE"/>
    <w:rsid w:val="000D1160"/>
    <w:rsid w:val="000D25BF"/>
    <w:rsid w:val="000D26F8"/>
    <w:rsid w:val="000D36E2"/>
    <w:rsid w:val="000D3BB2"/>
    <w:rsid w:val="000D4E6D"/>
    <w:rsid w:val="000D58EB"/>
    <w:rsid w:val="000D7708"/>
    <w:rsid w:val="000E0AB6"/>
    <w:rsid w:val="000E0AE0"/>
    <w:rsid w:val="000E0F07"/>
    <w:rsid w:val="000E1253"/>
    <w:rsid w:val="000E1B57"/>
    <w:rsid w:val="000E4308"/>
    <w:rsid w:val="000E7159"/>
    <w:rsid w:val="000F06D9"/>
    <w:rsid w:val="000F0A49"/>
    <w:rsid w:val="000F3734"/>
    <w:rsid w:val="000F5A5D"/>
    <w:rsid w:val="0010039E"/>
    <w:rsid w:val="00100C8C"/>
    <w:rsid w:val="001011B7"/>
    <w:rsid w:val="00101DF3"/>
    <w:rsid w:val="00102476"/>
    <w:rsid w:val="0010399D"/>
    <w:rsid w:val="001054DF"/>
    <w:rsid w:val="00105B5E"/>
    <w:rsid w:val="0011402F"/>
    <w:rsid w:val="00114A5E"/>
    <w:rsid w:val="001151AB"/>
    <w:rsid w:val="00116085"/>
    <w:rsid w:val="001174EA"/>
    <w:rsid w:val="001201B9"/>
    <w:rsid w:val="00121687"/>
    <w:rsid w:val="001246BF"/>
    <w:rsid w:val="00124A7C"/>
    <w:rsid w:val="0012653D"/>
    <w:rsid w:val="00127C93"/>
    <w:rsid w:val="00130865"/>
    <w:rsid w:val="001317FA"/>
    <w:rsid w:val="00132B01"/>
    <w:rsid w:val="0013334F"/>
    <w:rsid w:val="00135862"/>
    <w:rsid w:val="001369F2"/>
    <w:rsid w:val="00136B90"/>
    <w:rsid w:val="001405C6"/>
    <w:rsid w:val="00141013"/>
    <w:rsid w:val="00141DAC"/>
    <w:rsid w:val="00144DE6"/>
    <w:rsid w:val="00144F7A"/>
    <w:rsid w:val="001471F1"/>
    <w:rsid w:val="00147770"/>
    <w:rsid w:val="001508FD"/>
    <w:rsid w:val="0015265B"/>
    <w:rsid w:val="00152C82"/>
    <w:rsid w:val="001548A5"/>
    <w:rsid w:val="00154B7F"/>
    <w:rsid w:val="0015609C"/>
    <w:rsid w:val="00156632"/>
    <w:rsid w:val="00156F5C"/>
    <w:rsid w:val="0015751B"/>
    <w:rsid w:val="00157CE2"/>
    <w:rsid w:val="001621F7"/>
    <w:rsid w:val="001639E4"/>
    <w:rsid w:val="00164FCB"/>
    <w:rsid w:val="001655E4"/>
    <w:rsid w:val="00167A95"/>
    <w:rsid w:val="001701A5"/>
    <w:rsid w:val="00173AAF"/>
    <w:rsid w:val="00175F02"/>
    <w:rsid w:val="001772E2"/>
    <w:rsid w:val="00177C9B"/>
    <w:rsid w:val="001817A0"/>
    <w:rsid w:val="00182AC2"/>
    <w:rsid w:val="00182FA5"/>
    <w:rsid w:val="00184114"/>
    <w:rsid w:val="0018455D"/>
    <w:rsid w:val="001846BD"/>
    <w:rsid w:val="001864A9"/>
    <w:rsid w:val="00192CBF"/>
    <w:rsid w:val="00192FBE"/>
    <w:rsid w:val="00192FF1"/>
    <w:rsid w:val="00195FD6"/>
    <w:rsid w:val="00196524"/>
    <w:rsid w:val="001972A9"/>
    <w:rsid w:val="001A1689"/>
    <w:rsid w:val="001A2BDB"/>
    <w:rsid w:val="001A4B4F"/>
    <w:rsid w:val="001A4D86"/>
    <w:rsid w:val="001A5DD6"/>
    <w:rsid w:val="001A5F1B"/>
    <w:rsid w:val="001A6435"/>
    <w:rsid w:val="001A6B56"/>
    <w:rsid w:val="001A6CD5"/>
    <w:rsid w:val="001A7674"/>
    <w:rsid w:val="001A76ED"/>
    <w:rsid w:val="001B1296"/>
    <w:rsid w:val="001B1C22"/>
    <w:rsid w:val="001B34C6"/>
    <w:rsid w:val="001B36D8"/>
    <w:rsid w:val="001B5578"/>
    <w:rsid w:val="001B6A1A"/>
    <w:rsid w:val="001B7190"/>
    <w:rsid w:val="001C2A2E"/>
    <w:rsid w:val="001C405F"/>
    <w:rsid w:val="001C52BE"/>
    <w:rsid w:val="001C5AE4"/>
    <w:rsid w:val="001C6CF3"/>
    <w:rsid w:val="001C7329"/>
    <w:rsid w:val="001C7801"/>
    <w:rsid w:val="001D140D"/>
    <w:rsid w:val="001D2640"/>
    <w:rsid w:val="001D518F"/>
    <w:rsid w:val="001D6B3B"/>
    <w:rsid w:val="001D7832"/>
    <w:rsid w:val="001E0DE7"/>
    <w:rsid w:val="001E0F36"/>
    <w:rsid w:val="001E2E9D"/>
    <w:rsid w:val="001E3B05"/>
    <w:rsid w:val="001E3B7C"/>
    <w:rsid w:val="001E49C6"/>
    <w:rsid w:val="001E77E6"/>
    <w:rsid w:val="001F0770"/>
    <w:rsid w:val="001F0F39"/>
    <w:rsid w:val="001F1771"/>
    <w:rsid w:val="001F3F3C"/>
    <w:rsid w:val="001F414F"/>
    <w:rsid w:val="001F596F"/>
    <w:rsid w:val="0020210D"/>
    <w:rsid w:val="0020454D"/>
    <w:rsid w:val="00204BA1"/>
    <w:rsid w:val="00204FA7"/>
    <w:rsid w:val="0020624B"/>
    <w:rsid w:val="00206915"/>
    <w:rsid w:val="00211A80"/>
    <w:rsid w:val="00211AB6"/>
    <w:rsid w:val="00211D34"/>
    <w:rsid w:val="00214C2D"/>
    <w:rsid w:val="00214F04"/>
    <w:rsid w:val="002158D6"/>
    <w:rsid w:val="00216A6C"/>
    <w:rsid w:val="0021706F"/>
    <w:rsid w:val="002170F4"/>
    <w:rsid w:val="002205D0"/>
    <w:rsid w:val="00222A78"/>
    <w:rsid w:val="002250AF"/>
    <w:rsid w:val="0022654E"/>
    <w:rsid w:val="002315E1"/>
    <w:rsid w:val="00231A90"/>
    <w:rsid w:val="002337CD"/>
    <w:rsid w:val="00235954"/>
    <w:rsid w:val="00235A8E"/>
    <w:rsid w:val="00236FC3"/>
    <w:rsid w:val="0023736C"/>
    <w:rsid w:val="002379AC"/>
    <w:rsid w:val="00237CB4"/>
    <w:rsid w:val="00240D34"/>
    <w:rsid w:val="00241FEE"/>
    <w:rsid w:val="00242F69"/>
    <w:rsid w:val="00253752"/>
    <w:rsid w:val="00253D15"/>
    <w:rsid w:val="00253E97"/>
    <w:rsid w:val="00255610"/>
    <w:rsid w:val="00256C76"/>
    <w:rsid w:val="002603F1"/>
    <w:rsid w:val="00260DE2"/>
    <w:rsid w:val="00261993"/>
    <w:rsid w:val="002622FF"/>
    <w:rsid w:val="0026337E"/>
    <w:rsid w:val="002648C8"/>
    <w:rsid w:val="00266CD6"/>
    <w:rsid w:val="002710DB"/>
    <w:rsid w:val="00273D60"/>
    <w:rsid w:val="0027471A"/>
    <w:rsid w:val="002747CA"/>
    <w:rsid w:val="0027555A"/>
    <w:rsid w:val="00275C11"/>
    <w:rsid w:val="0027644B"/>
    <w:rsid w:val="00276811"/>
    <w:rsid w:val="00276B1D"/>
    <w:rsid w:val="00277C32"/>
    <w:rsid w:val="00281280"/>
    <w:rsid w:val="0028248D"/>
    <w:rsid w:val="00283EF7"/>
    <w:rsid w:val="002848ED"/>
    <w:rsid w:val="0028544C"/>
    <w:rsid w:val="00285A7D"/>
    <w:rsid w:val="0029066E"/>
    <w:rsid w:val="00293503"/>
    <w:rsid w:val="00294DB5"/>
    <w:rsid w:val="002953A1"/>
    <w:rsid w:val="00296145"/>
    <w:rsid w:val="002A02C0"/>
    <w:rsid w:val="002A0AA2"/>
    <w:rsid w:val="002A596F"/>
    <w:rsid w:val="002A6A5B"/>
    <w:rsid w:val="002B11E2"/>
    <w:rsid w:val="002B24B8"/>
    <w:rsid w:val="002B71E0"/>
    <w:rsid w:val="002C039D"/>
    <w:rsid w:val="002C1A34"/>
    <w:rsid w:val="002C1F3B"/>
    <w:rsid w:val="002C206D"/>
    <w:rsid w:val="002C3FEA"/>
    <w:rsid w:val="002C4D9F"/>
    <w:rsid w:val="002C4E91"/>
    <w:rsid w:val="002D02F0"/>
    <w:rsid w:val="002D3AE9"/>
    <w:rsid w:val="002D4480"/>
    <w:rsid w:val="002D5ADA"/>
    <w:rsid w:val="002D6D02"/>
    <w:rsid w:val="002E1C46"/>
    <w:rsid w:val="002E3914"/>
    <w:rsid w:val="002F0734"/>
    <w:rsid w:val="002F1898"/>
    <w:rsid w:val="002F1F59"/>
    <w:rsid w:val="002F46E7"/>
    <w:rsid w:val="002F5B92"/>
    <w:rsid w:val="0030159C"/>
    <w:rsid w:val="003101DA"/>
    <w:rsid w:val="0031211D"/>
    <w:rsid w:val="00312D6B"/>
    <w:rsid w:val="003142FC"/>
    <w:rsid w:val="00314757"/>
    <w:rsid w:val="003211CE"/>
    <w:rsid w:val="00324A69"/>
    <w:rsid w:val="003254C8"/>
    <w:rsid w:val="0032765E"/>
    <w:rsid w:val="00327B96"/>
    <w:rsid w:val="003310B6"/>
    <w:rsid w:val="003314B1"/>
    <w:rsid w:val="00331922"/>
    <w:rsid w:val="0033199D"/>
    <w:rsid w:val="00332391"/>
    <w:rsid w:val="00332711"/>
    <w:rsid w:val="003345BD"/>
    <w:rsid w:val="0033464F"/>
    <w:rsid w:val="003347B0"/>
    <w:rsid w:val="003355DB"/>
    <w:rsid w:val="003360F8"/>
    <w:rsid w:val="00336F42"/>
    <w:rsid w:val="00337894"/>
    <w:rsid w:val="0034007B"/>
    <w:rsid w:val="00340E5D"/>
    <w:rsid w:val="00341A96"/>
    <w:rsid w:val="00341BBF"/>
    <w:rsid w:val="0034235E"/>
    <w:rsid w:val="00344B1B"/>
    <w:rsid w:val="00345ECA"/>
    <w:rsid w:val="0035143B"/>
    <w:rsid w:val="0035321E"/>
    <w:rsid w:val="00353665"/>
    <w:rsid w:val="0035403A"/>
    <w:rsid w:val="003544CE"/>
    <w:rsid w:val="00356AB1"/>
    <w:rsid w:val="00356F3D"/>
    <w:rsid w:val="003624C2"/>
    <w:rsid w:val="0036394B"/>
    <w:rsid w:val="003657E2"/>
    <w:rsid w:val="0036694B"/>
    <w:rsid w:val="003675D5"/>
    <w:rsid w:val="00367C6B"/>
    <w:rsid w:val="003709B5"/>
    <w:rsid w:val="00370D00"/>
    <w:rsid w:val="0037201F"/>
    <w:rsid w:val="003729C8"/>
    <w:rsid w:val="00374A6C"/>
    <w:rsid w:val="00374F25"/>
    <w:rsid w:val="003759C2"/>
    <w:rsid w:val="0037634F"/>
    <w:rsid w:val="0038198C"/>
    <w:rsid w:val="00382CA0"/>
    <w:rsid w:val="003835E3"/>
    <w:rsid w:val="00384BD0"/>
    <w:rsid w:val="00385594"/>
    <w:rsid w:val="0039427C"/>
    <w:rsid w:val="00395544"/>
    <w:rsid w:val="003972A9"/>
    <w:rsid w:val="00397365"/>
    <w:rsid w:val="00397F58"/>
    <w:rsid w:val="003A31F6"/>
    <w:rsid w:val="003A3D14"/>
    <w:rsid w:val="003A42CF"/>
    <w:rsid w:val="003A4534"/>
    <w:rsid w:val="003A5BE5"/>
    <w:rsid w:val="003B02AE"/>
    <w:rsid w:val="003B03EB"/>
    <w:rsid w:val="003B0EC7"/>
    <w:rsid w:val="003B41F5"/>
    <w:rsid w:val="003B4746"/>
    <w:rsid w:val="003B530A"/>
    <w:rsid w:val="003B716E"/>
    <w:rsid w:val="003B7418"/>
    <w:rsid w:val="003C311F"/>
    <w:rsid w:val="003C3282"/>
    <w:rsid w:val="003C3447"/>
    <w:rsid w:val="003C64B0"/>
    <w:rsid w:val="003C6F9D"/>
    <w:rsid w:val="003C7C25"/>
    <w:rsid w:val="003D0173"/>
    <w:rsid w:val="003D076C"/>
    <w:rsid w:val="003D0792"/>
    <w:rsid w:val="003D2764"/>
    <w:rsid w:val="003D7BA1"/>
    <w:rsid w:val="003E23C5"/>
    <w:rsid w:val="003E2E4C"/>
    <w:rsid w:val="003E65E4"/>
    <w:rsid w:val="003F09BC"/>
    <w:rsid w:val="003F3D9D"/>
    <w:rsid w:val="003F71C5"/>
    <w:rsid w:val="003F7C9F"/>
    <w:rsid w:val="00402D14"/>
    <w:rsid w:val="004055E5"/>
    <w:rsid w:val="00405B07"/>
    <w:rsid w:val="00407868"/>
    <w:rsid w:val="004105E0"/>
    <w:rsid w:val="0041142F"/>
    <w:rsid w:val="00413851"/>
    <w:rsid w:val="004153FE"/>
    <w:rsid w:val="004158FF"/>
    <w:rsid w:val="00415BAB"/>
    <w:rsid w:val="00415D90"/>
    <w:rsid w:val="00415ED2"/>
    <w:rsid w:val="0042068C"/>
    <w:rsid w:val="004233C1"/>
    <w:rsid w:val="0042344D"/>
    <w:rsid w:val="0042392B"/>
    <w:rsid w:val="00424484"/>
    <w:rsid w:val="00435635"/>
    <w:rsid w:val="00435C80"/>
    <w:rsid w:val="00436D71"/>
    <w:rsid w:val="004433CD"/>
    <w:rsid w:val="004451EB"/>
    <w:rsid w:val="00451874"/>
    <w:rsid w:val="00454716"/>
    <w:rsid w:val="00454BEC"/>
    <w:rsid w:val="00454CEA"/>
    <w:rsid w:val="00457137"/>
    <w:rsid w:val="0045775A"/>
    <w:rsid w:val="004600D8"/>
    <w:rsid w:val="00462D5D"/>
    <w:rsid w:val="004649A3"/>
    <w:rsid w:val="00465DDE"/>
    <w:rsid w:val="00470185"/>
    <w:rsid w:val="00471113"/>
    <w:rsid w:val="0047122B"/>
    <w:rsid w:val="00473915"/>
    <w:rsid w:val="00473B7A"/>
    <w:rsid w:val="0047688D"/>
    <w:rsid w:val="00482C62"/>
    <w:rsid w:val="0049012E"/>
    <w:rsid w:val="00490BA6"/>
    <w:rsid w:val="0049242A"/>
    <w:rsid w:val="00492834"/>
    <w:rsid w:val="00492D82"/>
    <w:rsid w:val="00493AA2"/>
    <w:rsid w:val="0049488E"/>
    <w:rsid w:val="00495243"/>
    <w:rsid w:val="00495BE7"/>
    <w:rsid w:val="004960E9"/>
    <w:rsid w:val="004A2E88"/>
    <w:rsid w:val="004A5305"/>
    <w:rsid w:val="004B0400"/>
    <w:rsid w:val="004B6016"/>
    <w:rsid w:val="004B709E"/>
    <w:rsid w:val="004C0980"/>
    <w:rsid w:val="004C210F"/>
    <w:rsid w:val="004C2464"/>
    <w:rsid w:val="004C4229"/>
    <w:rsid w:val="004C580D"/>
    <w:rsid w:val="004D1241"/>
    <w:rsid w:val="004D180C"/>
    <w:rsid w:val="004D1BFE"/>
    <w:rsid w:val="004D4B76"/>
    <w:rsid w:val="004D5768"/>
    <w:rsid w:val="004D7634"/>
    <w:rsid w:val="004E54A7"/>
    <w:rsid w:val="004F1174"/>
    <w:rsid w:val="004F247E"/>
    <w:rsid w:val="004F5F9C"/>
    <w:rsid w:val="004F60E8"/>
    <w:rsid w:val="004F74F6"/>
    <w:rsid w:val="004F7861"/>
    <w:rsid w:val="00500B23"/>
    <w:rsid w:val="00501C23"/>
    <w:rsid w:val="00506321"/>
    <w:rsid w:val="00511026"/>
    <w:rsid w:val="00511579"/>
    <w:rsid w:val="005115BD"/>
    <w:rsid w:val="00515B3F"/>
    <w:rsid w:val="0052222A"/>
    <w:rsid w:val="005227C3"/>
    <w:rsid w:val="005237AD"/>
    <w:rsid w:val="00523EBD"/>
    <w:rsid w:val="005300D3"/>
    <w:rsid w:val="00530CFA"/>
    <w:rsid w:val="00531D1D"/>
    <w:rsid w:val="0053672A"/>
    <w:rsid w:val="00540B35"/>
    <w:rsid w:val="005420EE"/>
    <w:rsid w:val="00543E38"/>
    <w:rsid w:val="00544F82"/>
    <w:rsid w:val="005471EC"/>
    <w:rsid w:val="00551A25"/>
    <w:rsid w:val="00560C24"/>
    <w:rsid w:val="00562E8C"/>
    <w:rsid w:val="00565A80"/>
    <w:rsid w:val="00567015"/>
    <w:rsid w:val="00567889"/>
    <w:rsid w:val="005713DE"/>
    <w:rsid w:val="005735DB"/>
    <w:rsid w:val="0057618F"/>
    <w:rsid w:val="00576B1E"/>
    <w:rsid w:val="0058011C"/>
    <w:rsid w:val="005801B3"/>
    <w:rsid w:val="005813AC"/>
    <w:rsid w:val="00582E6D"/>
    <w:rsid w:val="00592E77"/>
    <w:rsid w:val="00593945"/>
    <w:rsid w:val="00593A87"/>
    <w:rsid w:val="00593C4F"/>
    <w:rsid w:val="005946A8"/>
    <w:rsid w:val="00597AF3"/>
    <w:rsid w:val="005A0FBC"/>
    <w:rsid w:val="005A10DD"/>
    <w:rsid w:val="005A14F4"/>
    <w:rsid w:val="005A3ECF"/>
    <w:rsid w:val="005A4395"/>
    <w:rsid w:val="005A4407"/>
    <w:rsid w:val="005A553F"/>
    <w:rsid w:val="005A59EF"/>
    <w:rsid w:val="005A738A"/>
    <w:rsid w:val="005A76E2"/>
    <w:rsid w:val="005A78B4"/>
    <w:rsid w:val="005B3A13"/>
    <w:rsid w:val="005B3D27"/>
    <w:rsid w:val="005B5F36"/>
    <w:rsid w:val="005C372F"/>
    <w:rsid w:val="005C42F7"/>
    <w:rsid w:val="005C596C"/>
    <w:rsid w:val="005C69E8"/>
    <w:rsid w:val="005D27BE"/>
    <w:rsid w:val="005D2DE3"/>
    <w:rsid w:val="005D37DF"/>
    <w:rsid w:val="005D39A3"/>
    <w:rsid w:val="005D449D"/>
    <w:rsid w:val="005E12F7"/>
    <w:rsid w:val="005E7EDB"/>
    <w:rsid w:val="005F0441"/>
    <w:rsid w:val="005F05BA"/>
    <w:rsid w:val="005F0E67"/>
    <w:rsid w:val="005F1F78"/>
    <w:rsid w:val="005F4D89"/>
    <w:rsid w:val="005F6550"/>
    <w:rsid w:val="005F6E76"/>
    <w:rsid w:val="005F72D6"/>
    <w:rsid w:val="005F76CB"/>
    <w:rsid w:val="0060392A"/>
    <w:rsid w:val="006055C8"/>
    <w:rsid w:val="00605F4B"/>
    <w:rsid w:val="00606F21"/>
    <w:rsid w:val="006076D0"/>
    <w:rsid w:val="00612DAF"/>
    <w:rsid w:val="006135D5"/>
    <w:rsid w:val="006147BA"/>
    <w:rsid w:val="00614EBE"/>
    <w:rsid w:val="00614FAD"/>
    <w:rsid w:val="006167DE"/>
    <w:rsid w:val="0062435B"/>
    <w:rsid w:val="0062451D"/>
    <w:rsid w:val="00625DC6"/>
    <w:rsid w:val="00631E99"/>
    <w:rsid w:val="006342CC"/>
    <w:rsid w:val="00640E81"/>
    <w:rsid w:val="006429FD"/>
    <w:rsid w:val="00645AC3"/>
    <w:rsid w:val="00645B75"/>
    <w:rsid w:val="00646FB7"/>
    <w:rsid w:val="006505FE"/>
    <w:rsid w:val="00651821"/>
    <w:rsid w:val="0065185E"/>
    <w:rsid w:val="00651B1A"/>
    <w:rsid w:val="00653F6D"/>
    <w:rsid w:val="00654384"/>
    <w:rsid w:val="006546DA"/>
    <w:rsid w:val="00654A90"/>
    <w:rsid w:val="00655394"/>
    <w:rsid w:val="006561FA"/>
    <w:rsid w:val="006572AC"/>
    <w:rsid w:val="00657A3E"/>
    <w:rsid w:val="00664150"/>
    <w:rsid w:val="006675CD"/>
    <w:rsid w:val="006702C0"/>
    <w:rsid w:val="006711C4"/>
    <w:rsid w:val="0067365C"/>
    <w:rsid w:val="00676CB6"/>
    <w:rsid w:val="00676CDB"/>
    <w:rsid w:val="00677315"/>
    <w:rsid w:val="00682E95"/>
    <w:rsid w:val="0068378F"/>
    <w:rsid w:val="00684D9B"/>
    <w:rsid w:val="00686609"/>
    <w:rsid w:val="0068764C"/>
    <w:rsid w:val="00693156"/>
    <w:rsid w:val="0069439A"/>
    <w:rsid w:val="00695C4C"/>
    <w:rsid w:val="0069615B"/>
    <w:rsid w:val="00696B68"/>
    <w:rsid w:val="00697556"/>
    <w:rsid w:val="006A0843"/>
    <w:rsid w:val="006A23C4"/>
    <w:rsid w:val="006A3CD2"/>
    <w:rsid w:val="006A5853"/>
    <w:rsid w:val="006A6C11"/>
    <w:rsid w:val="006B0DA1"/>
    <w:rsid w:val="006B2318"/>
    <w:rsid w:val="006B44A0"/>
    <w:rsid w:val="006B4C2B"/>
    <w:rsid w:val="006B5C8E"/>
    <w:rsid w:val="006B623A"/>
    <w:rsid w:val="006B6D47"/>
    <w:rsid w:val="006C1847"/>
    <w:rsid w:val="006C4EE6"/>
    <w:rsid w:val="006C6267"/>
    <w:rsid w:val="006D45E4"/>
    <w:rsid w:val="006D4A50"/>
    <w:rsid w:val="006D59F9"/>
    <w:rsid w:val="006D7CBC"/>
    <w:rsid w:val="006E124D"/>
    <w:rsid w:val="006E518E"/>
    <w:rsid w:val="006E622E"/>
    <w:rsid w:val="006E6AA8"/>
    <w:rsid w:val="006E707C"/>
    <w:rsid w:val="006F28BA"/>
    <w:rsid w:val="006F3361"/>
    <w:rsid w:val="006F374F"/>
    <w:rsid w:val="006F3863"/>
    <w:rsid w:val="006F3D11"/>
    <w:rsid w:val="006F652C"/>
    <w:rsid w:val="006F6D95"/>
    <w:rsid w:val="006F7106"/>
    <w:rsid w:val="00702BCC"/>
    <w:rsid w:val="0070638F"/>
    <w:rsid w:val="00706F13"/>
    <w:rsid w:val="007072E8"/>
    <w:rsid w:val="007079DF"/>
    <w:rsid w:val="00710BD7"/>
    <w:rsid w:val="0071291F"/>
    <w:rsid w:val="0071353C"/>
    <w:rsid w:val="00714323"/>
    <w:rsid w:val="00715577"/>
    <w:rsid w:val="0071618D"/>
    <w:rsid w:val="00716A6B"/>
    <w:rsid w:val="00720E33"/>
    <w:rsid w:val="0072517F"/>
    <w:rsid w:val="007259A9"/>
    <w:rsid w:val="00725FA4"/>
    <w:rsid w:val="00733DF1"/>
    <w:rsid w:val="0073438F"/>
    <w:rsid w:val="00735D2A"/>
    <w:rsid w:val="00740446"/>
    <w:rsid w:val="00741092"/>
    <w:rsid w:val="007438A9"/>
    <w:rsid w:val="007446B6"/>
    <w:rsid w:val="0074491E"/>
    <w:rsid w:val="00760DA5"/>
    <w:rsid w:val="00761BAE"/>
    <w:rsid w:val="007670E5"/>
    <w:rsid w:val="007709CE"/>
    <w:rsid w:val="00772DDC"/>
    <w:rsid w:val="00772F3F"/>
    <w:rsid w:val="00773D53"/>
    <w:rsid w:val="00773F9C"/>
    <w:rsid w:val="00775964"/>
    <w:rsid w:val="00775C57"/>
    <w:rsid w:val="007761B9"/>
    <w:rsid w:val="0077707E"/>
    <w:rsid w:val="00777A83"/>
    <w:rsid w:val="007805AF"/>
    <w:rsid w:val="007846AE"/>
    <w:rsid w:val="007944C7"/>
    <w:rsid w:val="00795BFB"/>
    <w:rsid w:val="00796DE4"/>
    <w:rsid w:val="00797759"/>
    <w:rsid w:val="00797A06"/>
    <w:rsid w:val="007A0C93"/>
    <w:rsid w:val="007A1AD8"/>
    <w:rsid w:val="007A2A40"/>
    <w:rsid w:val="007A3815"/>
    <w:rsid w:val="007A3E4C"/>
    <w:rsid w:val="007A4CDB"/>
    <w:rsid w:val="007A6D4C"/>
    <w:rsid w:val="007A6E12"/>
    <w:rsid w:val="007A7EAC"/>
    <w:rsid w:val="007B0C13"/>
    <w:rsid w:val="007B2760"/>
    <w:rsid w:val="007C0153"/>
    <w:rsid w:val="007C30F2"/>
    <w:rsid w:val="007C50A2"/>
    <w:rsid w:val="007C78D0"/>
    <w:rsid w:val="007D215F"/>
    <w:rsid w:val="007D3E40"/>
    <w:rsid w:val="007D5BE8"/>
    <w:rsid w:val="007D7633"/>
    <w:rsid w:val="007E1D1A"/>
    <w:rsid w:val="007E21FB"/>
    <w:rsid w:val="007E48F7"/>
    <w:rsid w:val="007E680A"/>
    <w:rsid w:val="007E7C33"/>
    <w:rsid w:val="007F0EDE"/>
    <w:rsid w:val="007F1D08"/>
    <w:rsid w:val="007F4F66"/>
    <w:rsid w:val="007F5715"/>
    <w:rsid w:val="007F5CD3"/>
    <w:rsid w:val="007F6D6F"/>
    <w:rsid w:val="007F7081"/>
    <w:rsid w:val="007F716C"/>
    <w:rsid w:val="008008D7"/>
    <w:rsid w:val="00800C10"/>
    <w:rsid w:val="008018D7"/>
    <w:rsid w:val="00802F1E"/>
    <w:rsid w:val="00806C01"/>
    <w:rsid w:val="008115E9"/>
    <w:rsid w:val="00811B3B"/>
    <w:rsid w:val="00813D1C"/>
    <w:rsid w:val="008148CC"/>
    <w:rsid w:val="0081508E"/>
    <w:rsid w:val="00816C2B"/>
    <w:rsid w:val="008211A4"/>
    <w:rsid w:val="00824315"/>
    <w:rsid w:val="008342A2"/>
    <w:rsid w:val="0083498D"/>
    <w:rsid w:val="008451D9"/>
    <w:rsid w:val="00845A85"/>
    <w:rsid w:val="0085270E"/>
    <w:rsid w:val="00854D7A"/>
    <w:rsid w:val="008570C8"/>
    <w:rsid w:val="0085764A"/>
    <w:rsid w:val="00860838"/>
    <w:rsid w:val="00860C35"/>
    <w:rsid w:val="00862359"/>
    <w:rsid w:val="00863A90"/>
    <w:rsid w:val="00866341"/>
    <w:rsid w:val="0086679F"/>
    <w:rsid w:val="00866C87"/>
    <w:rsid w:val="00867B6B"/>
    <w:rsid w:val="008708AD"/>
    <w:rsid w:val="0087298C"/>
    <w:rsid w:val="00873150"/>
    <w:rsid w:val="00876208"/>
    <w:rsid w:val="00876308"/>
    <w:rsid w:val="0087657D"/>
    <w:rsid w:val="00876688"/>
    <w:rsid w:val="008807D5"/>
    <w:rsid w:val="00880832"/>
    <w:rsid w:val="00882ABC"/>
    <w:rsid w:val="00883C59"/>
    <w:rsid w:val="0088579D"/>
    <w:rsid w:val="00885FA6"/>
    <w:rsid w:val="008866A3"/>
    <w:rsid w:val="00886EE1"/>
    <w:rsid w:val="0088727D"/>
    <w:rsid w:val="00887636"/>
    <w:rsid w:val="00887724"/>
    <w:rsid w:val="008924EA"/>
    <w:rsid w:val="00896854"/>
    <w:rsid w:val="00896C1A"/>
    <w:rsid w:val="00896E91"/>
    <w:rsid w:val="00897C75"/>
    <w:rsid w:val="008A2CD1"/>
    <w:rsid w:val="008A58A5"/>
    <w:rsid w:val="008A5B35"/>
    <w:rsid w:val="008A6627"/>
    <w:rsid w:val="008A6B0D"/>
    <w:rsid w:val="008A6D89"/>
    <w:rsid w:val="008A7070"/>
    <w:rsid w:val="008B1842"/>
    <w:rsid w:val="008B2757"/>
    <w:rsid w:val="008B30C0"/>
    <w:rsid w:val="008B4F6B"/>
    <w:rsid w:val="008B50FA"/>
    <w:rsid w:val="008B66EB"/>
    <w:rsid w:val="008C1130"/>
    <w:rsid w:val="008C23FB"/>
    <w:rsid w:val="008C41A1"/>
    <w:rsid w:val="008C6175"/>
    <w:rsid w:val="008D1251"/>
    <w:rsid w:val="008D18E6"/>
    <w:rsid w:val="008D266B"/>
    <w:rsid w:val="008D2C57"/>
    <w:rsid w:val="008D6F4E"/>
    <w:rsid w:val="008D72C8"/>
    <w:rsid w:val="008D7A9B"/>
    <w:rsid w:val="008E016C"/>
    <w:rsid w:val="008E01BB"/>
    <w:rsid w:val="008E1CA1"/>
    <w:rsid w:val="008E76AC"/>
    <w:rsid w:val="008F07DD"/>
    <w:rsid w:val="008F21F6"/>
    <w:rsid w:val="008F2762"/>
    <w:rsid w:val="008F3AD1"/>
    <w:rsid w:val="008F4824"/>
    <w:rsid w:val="008F6AB6"/>
    <w:rsid w:val="008F7DF8"/>
    <w:rsid w:val="00901C9E"/>
    <w:rsid w:val="00907F6E"/>
    <w:rsid w:val="00907F99"/>
    <w:rsid w:val="00910996"/>
    <w:rsid w:val="00910ED3"/>
    <w:rsid w:val="0091156D"/>
    <w:rsid w:val="0091320A"/>
    <w:rsid w:val="009172F6"/>
    <w:rsid w:val="009224BC"/>
    <w:rsid w:val="00922630"/>
    <w:rsid w:val="0092365D"/>
    <w:rsid w:val="0092368C"/>
    <w:rsid w:val="009255F3"/>
    <w:rsid w:val="00926064"/>
    <w:rsid w:val="00930134"/>
    <w:rsid w:val="0093139A"/>
    <w:rsid w:val="0093237A"/>
    <w:rsid w:val="00940956"/>
    <w:rsid w:val="00940E83"/>
    <w:rsid w:val="00941E02"/>
    <w:rsid w:val="00942C2A"/>
    <w:rsid w:val="00944978"/>
    <w:rsid w:val="009466D2"/>
    <w:rsid w:val="00946D79"/>
    <w:rsid w:val="00947BD1"/>
    <w:rsid w:val="00951F79"/>
    <w:rsid w:val="009533DE"/>
    <w:rsid w:val="00955829"/>
    <w:rsid w:val="00960480"/>
    <w:rsid w:val="0096199E"/>
    <w:rsid w:val="00961D8B"/>
    <w:rsid w:val="009624C2"/>
    <w:rsid w:val="00962A82"/>
    <w:rsid w:val="00963F52"/>
    <w:rsid w:val="00964CE3"/>
    <w:rsid w:val="00965B0B"/>
    <w:rsid w:val="0097019D"/>
    <w:rsid w:val="009717CD"/>
    <w:rsid w:val="00971921"/>
    <w:rsid w:val="00972A31"/>
    <w:rsid w:val="00973FB9"/>
    <w:rsid w:val="00974AB5"/>
    <w:rsid w:val="00983A36"/>
    <w:rsid w:val="0098591F"/>
    <w:rsid w:val="00986778"/>
    <w:rsid w:val="0098706D"/>
    <w:rsid w:val="009872AC"/>
    <w:rsid w:val="009878DB"/>
    <w:rsid w:val="009916E2"/>
    <w:rsid w:val="009935FB"/>
    <w:rsid w:val="00994AB6"/>
    <w:rsid w:val="009955A0"/>
    <w:rsid w:val="00996C73"/>
    <w:rsid w:val="00997A82"/>
    <w:rsid w:val="00997C31"/>
    <w:rsid w:val="00997E2A"/>
    <w:rsid w:val="00997EB8"/>
    <w:rsid w:val="00997EF8"/>
    <w:rsid w:val="009A3088"/>
    <w:rsid w:val="009A4299"/>
    <w:rsid w:val="009B068E"/>
    <w:rsid w:val="009B1315"/>
    <w:rsid w:val="009B15FF"/>
    <w:rsid w:val="009B3D08"/>
    <w:rsid w:val="009C097E"/>
    <w:rsid w:val="009C2EF5"/>
    <w:rsid w:val="009C3FA2"/>
    <w:rsid w:val="009C4723"/>
    <w:rsid w:val="009C65DF"/>
    <w:rsid w:val="009C706B"/>
    <w:rsid w:val="009C70EE"/>
    <w:rsid w:val="009C7574"/>
    <w:rsid w:val="009D0960"/>
    <w:rsid w:val="009D7DAA"/>
    <w:rsid w:val="009E13C5"/>
    <w:rsid w:val="009E1671"/>
    <w:rsid w:val="009E2240"/>
    <w:rsid w:val="009E5D97"/>
    <w:rsid w:val="009E72E3"/>
    <w:rsid w:val="009E772E"/>
    <w:rsid w:val="009F0D17"/>
    <w:rsid w:val="009F3875"/>
    <w:rsid w:val="009F4A54"/>
    <w:rsid w:val="009F4BEC"/>
    <w:rsid w:val="00A001C5"/>
    <w:rsid w:val="00A008A9"/>
    <w:rsid w:val="00A0218D"/>
    <w:rsid w:val="00A02A21"/>
    <w:rsid w:val="00A03233"/>
    <w:rsid w:val="00A06AAB"/>
    <w:rsid w:val="00A0784B"/>
    <w:rsid w:val="00A0790D"/>
    <w:rsid w:val="00A107E4"/>
    <w:rsid w:val="00A14EDE"/>
    <w:rsid w:val="00A14F45"/>
    <w:rsid w:val="00A156A7"/>
    <w:rsid w:val="00A174C6"/>
    <w:rsid w:val="00A179D9"/>
    <w:rsid w:val="00A2025D"/>
    <w:rsid w:val="00A20BF8"/>
    <w:rsid w:val="00A22C01"/>
    <w:rsid w:val="00A2456A"/>
    <w:rsid w:val="00A25FD7"/>
    <w:rsid w:val="00A30923"/>
    <w:rsid w:val="00A32EB1"/>
    <w:rsid w:val="00A357B5"/>
    <w:rsid w:val="00A358AB"/>
    <w:rsid w:val="00A359B3"/>
    <w:rsid w:val="00A36F88"/>
    <w:rsid w:val="00A402E3"/>
    <w:rsid w:val="00A407DC"/>
    <w:rsid w:val="00A40B2A"/>
    <w:rsid w:val="00A430B0"/>
    <w:rsid w:val="00A43AFF"/>
    <w:rsid w:val="00A44E16"/>
    <w:rsid w:val="00A477A6"/>
    <w:rsid w:val="00A50E70"/>
    <w:rsid w:val="00A5133F"/>
    <w:rsid w:val="00A51E70"/>
    <w:rsid w:val="00A51EB8"/>
    <w:rsid w:val="00A52D2C"/>
    <w:rsid w:val="00A56375"/>
    <w:rsid w:val="00A579A1"/>
    <w:rsid w:val="00A602AB"/>
    <w:rsid w:val="00A60457"/>
    <w:rsid w:val="00A60DB0"/>
    <w:rsid w:val="00A60F37"/>
    <w:rsid w:val="00A659AD"/>
    <w:rsid w:val="00A659DD"/>
    <w:rsid w:val="00A70017"/>
    <w:rsid w:val="00A7064D"/>
    <w:rsid w:val="00A707FD"/>
    <w:rsid w:val="00A724E1"/>
    <w:rsid w:val="00A72AD7"/>
    <w:rsid w:val="00A73D50"/>
    <w:rsid w:val="00A76425"/>
    <w:rsid w:val="00A7732E"/>
    <w:rsid w:val="00A7793A"/>
    <w:rsid w:val="00A808AF"/>
    <w:rsid w:val="00A8111C"/>
    <w:rsid w:val="00A817E8"/>
    <w:rsid w:val="00A83A0E"/>
    <w:rsid w:val="00A85716"/>
    <w:rsid w:val="00A86DD5"/>
    <w:rsid w:val="00A871C1"/>
    <w:rsid w:val="00A87321"/>
    <w:rsid w:val="00A92FE5"/>
    <w:rsid w:val="00A93073"/>
    <w:rsid w:val="00A93732"/>
    <w:rsid w:val="00A938BD"/>
    <w:rsid w:val="00A94278"/>
    <w:rsid w:val="00A95339"/>
    <w:rsid w:val="00A97BD1"/>
    <w:rsid w:val="00AA295E"/>
    <w:rsid w:val="00AA2C28"/>
    <w:rsid w:val="00AA6583"/>
    <w:rsid w:val="00AA71B4"/>
    <w:rsid w:val="00AB0CB6"/>
    <w:rsid w:val="00AB41C9"/>
    <w:rsid w:val="00AB4CED"/>
    <w:rsid w:val="00AB5564"/>
    <w:rsid w:val="00AB59ED"/>
    <w:rsid w:val="00AB6295"/>
    <w:rsid w:val="00AB6CA7"/>
    <w:rsid w:val="00AC1520"/>
    <w:rsid w:val="00AC233C"/>
    <w:rsid w:val="00AC3791"/>
    <w:rsid w:val="00AC389E"/>
    <w:rsid w:val="00AC3EC7"/>
    <w:rsid w:val="00AC5E03"/>
    <w:rsid w:val="00AC7098"/>
    <w:rsid w:val="00AC777D"/>
    <w:rsid w:val="00AC7D4D"/>
    <w:rsid w:val="00AC7DEB"/>
    <w:rsid w:val="00AD01E4"/>
    <w:rsid w:val="00AD0858"/>
    <w:rsid w:val="00AD376B"/>
    <w:rsid w:val="00AD3BC4"/>
    <w:rsid w:val="00AE4442"/>
    <w:rsid w:val="00AE567D"/>
    <w:rsid w:val="00AE7340"/>
    <w:rsid w:val="00AF1BBD"/>
    <w:rsid w:val="00AF222A"/>
    <w:rsid w:val="00AF3769"/>
    <w:rsid w:val="00AF52A0"/>
    <w:rsid w:val="00AF6573"/>
    <w:rsid w:val="00AF7633"/>
    <w:rsid w:val="00AF7952"/>
    <w:rsid w:val="00AF7A04"/>
    <w:rsid w:val="00B000BE"/>
    <w:rsid w:val="00B00247"/>
    <w:rsid w:val="00B00E64"/>
    <w:rsid w:val="00B010B1"/>
    <w:rsid w:val="00B02DA1"/>
    <w:rsid w:val="00B039A8"/>
    <w:rsid w:val="00B06429"/>
    <w:rsid w:val="00B064FB"/>
    <w:rsid w:val="00B06545"/>
    <w:rsid w:val="00B0735F"/>
    <w:rsid w:val="00B10207"/>
    <w:rsid w:val="00B11640"/>
    <w:rsid w:val="00B13A74"/>
    <w:rsid w:val="00B141E7"/>
    <w:rsid w:val="00B14620"/>
    <w:rsid w:val="00B23002"/>
    <w:rsid w:val="00B235A2"/>
    <w:rsid w:val="00B25528"/>
    <w:rsid w:val="00B3000E"/>
    <w:rsid w:val="00B31452"/>
    <w:rsid w:val="00B316E3"/>
    <w:rsid w:val="00B329AA"/>
    <w:rsid w:val="00B32F19"/>
    <w:rsid w:val="00B33847"/>
    <w:rsid w:val="00B34DF9"/>
    <w:rsid w:val="00B351B4"/>
    <w:rsid w:val="00B36C9D"/>
    <w:rsid w:val="00B4045F"/>
    <w:rsid w:val="00B41266"/>
    <w:rsid w:val="00B41ADF"/>
    <w:rsid w:val="00B427F0"/>
    <w:rsid w:val="00B46BCA"/>
    <w:rsid w:val="00B507A7"/>
    <w:rsid w:val="00B52B7F"/>
    <w:rsid w:val="00B54287"/>
    <w:rsid w:val="00B54475"/>
    <w:rsid w:val="00B54B7B"/>
    <w:rsid w:val="00B55022"/>
    <w:rsid w:val="00B5549E"/>
    <w:rsid w:val="00B55CFF"/>
    <w:rsid w:val="00B55DD5"/>
    <w:rsid w:val="00B56008"/>
    <w:rsid w:val="00B562DA"/>
    <w:rsid w:val="00B57057"/>
    <w:rsid w:val="00B601BE"/>
    <w:rsid w:val="00B60305"/>
    <w:rsid w:val="00B61258"/>
    <w:rsid w:val="00B61D4C"/>
    <w:rsid w:val="00B61ED1"/>
    <w:rsid w:val="00B62EBE"/>
    <w:rsid w:val="00B6392B"/>
    <w:rsid w:val="00B63F74"/>
    <w:rsid w:val="00B64152"/>
    <w:rsid w:val="00B64EB6"/>
    <w:rsid w:val="00B65723"/>
    <w:rsid w:val="00B6620F"/>
    <w:rsid w:val="00B66693"/>
    <w:rsid w:val="00B6722E"/>
    <w:rsid w:val="00B676BC"/>
    <w:rsid w:val="00B70075"/>
    <w:rsid w:val="00B703BD"/>
    <w:rsid w:val="00B71AEF"/>
    <w:rsid w:val="00B73AE6"/>
    <w:rsid w:val="00B74B84"/>
    <w:rsid w:val="00B761E0"/>
    <w:rsid w:val="00B774C9"/>
    <w:rsid w:val="00B7799D"/>
    <w:rsid w:val="00B81594"/>
    <w:rsid w:val="00B81D75"/>
    <w:rsid w:val="00B838AF"/>
    <w:rsid w:val="00B83F21"/>
    <w:rsid w:val="00B851FD"/>
    <w:rsid w:val="00B868A0"/>
    <w:rsid w:val="00B86D6F"/>
    <w:rsid w:val="00B87806"/>
    <w:rsid w:val="00B87C5C"/>
    <w:rsid w:val="00B87EC9"/>
    <w:rsid w:val="00B9132C"/>
    <w:rsid w:val="00B91ECA"/>
    <w:rsid w:val="00B92EAC"/>
    <w:rsid w:val="00B94F05"/>
    <w:rsid w:val="00B94F9D"/>
    <w:rsid w:val="00B96060"/>
    <w:rsid w:val="00B974E7"/>
    <w:rsid w:val="00B97F90"/>
    <w:rsid w:val="00BA4414"/>
    <w:rsid w:val="00BA7149"/>
    <w:rsid w:val="00BA77C9"/>
    <w:rsid w:val="00BB1ED6"/>
    <w:rsid w:val="00BB25B7"/>
    <w:rsid w:val="00BB66EF"/>
    <w:rsid w:val="00BC18F3"/>
    <w:rsid w:val="00BC197F"/>
    <w:rsid w:val="00BC2971"/>
    <w:rsid w:val="00BC38FD"/>
    <w:rsid w:val="00BC5B67"/>
    <w:rsid w:val="00BC6E9E"/>
    <w:rsid w:val="00BC7C8E"/>
    <w:rsid w:val="00BD0139"/>
    <w:rsid w:val="00BD028C"/>
    <w:rsid w:val="00BD3306"/>
    <w:rsid w:val="00BD6E6B"/>
    <w:rsid w:val="00BE168A"/>
    <w:rsid w:val="00BE26BF"/>
    <w:rsid w:val="00BE74B3"/>
    <w:rsid w:val="00BF0D33"/>
    <w:rsid w:val="00BF14EE"/>
    <w:rsid w:val="00BF1A07"/>
    <w:rsid w:val="00BF62A2"/>
    <w:rsid w:val="00BF6515"/>
    <w:rsid w:val="00C00DC6"/>
    <w:rsid w:val="00C034CB"/>
    <w:rsid w:val="00C0399D"/>
    <w:rsid w:val="00C0501E"/>
    <w:rsid w:val="00C051A8"/>
    <w:rsid w:val="00C054BC"/>
    <w:rsid w:val="00C05A43"/>
    <w:rsid w:val="00C07F8F"/>
    <w:rsid w:val="00C12AD7"/>
    <w:rsid w:val="00C12DAE"/>
    <w:rsid w:val="00C16B49"/>
    <w:rsid w:val="00C17897"/>
    <w:rsid w:val="00C20249"/>
    <w:rsid w:val="00C24E2C"/>
    <w:rsid w:val="00C25071"/>
    <w:rsid w:val="00C25B0A"/>
    <w:rsid w:val="00C2671F"/>
    <w:rsid w:val="00C30E16"/>
    <w:rsid w:val="00C31FCD"/>
    <w:rsid w:val="00C34EB4"/>
    <w:rsid w:val="00C3538C"/>
    <w:rsid w:val="00C37E05"/>
    <w:rsid w:val="00C409D5"/>
    <w:rsid w:val="00C434A5"/>
    <w:rsid w:val="00C44666"/>
    <w:rsid w:val="00C44D02"/>
    <w:rsid w:val="00C46F2C"/>
    <w:rsid w:val="00C47FCD"/>
    <w:rsid w:val="00C503CC"/>
    <w:rsid w:val="00C5377D"/>
    <w:rsid w:val="00C5511A"/>
    <w:rsid w:val="00C5633D"/>
    <w:rsid w:val="00C56593"/>
    <w:rsid w:val="00C565A9"/>
    <w:rsid w:val="00C577D8"/>
    <w:rsid w:val="00C60406"/>
    <w:rsid w:val="00C61018"/>
    <w:rsid w:val="00C6234B"/>
    <w:rsid w:val="00C62D2B"/>
    <w:rsid w:val="00C63EAE"/>
    <w:rsid w:val="00C64847"/>
    <w:rsid w:val="00C67605"/>
    <w:rsid w:val="00C7279F"/>
    <w:rsid w:val="00C72C95"/>
    <w:rsid w:val="00C72E62"/>
    <w:rsid w:val="00C73A57"/>
    <w:rsid w:val="00C7629F"/>
    <w:rsid w:val="00C76456"/>
    <w:rsid w:val="00C764F9"/>
    <w:rsid w:val="00C76C0B"/>
    <w:rsid w:val="00C770E7"/>
    <w:rsid w:val="00C81AA6"/>
    <w:rsid w:val="00C82391"/>
    <w:rsid w:val="00C8400C"/>
    <w:rsid w:val="00C843FC"/>
    <w:rsid w:val="00C85AF7"/>
    <w:rsid w:val="00C8661B"/>
    <w:rsid w:val="00C90083"/>
    <w:rsid w:val="00C90D71"/>
    <w:rsid w:val="00C9347D"/>
    <w:rsid w:val="00C940F4"/>
    <w:rsid w:val="00C9413A"/>
    <w:rsid w:val="00C94C62"/>
    <w:rsid w:val="00C961ED"/>
    <w:rsid w:val="00C97A99"/>
    <w:rsid w:val="00C97E49"/>
    <w:rsid w:val="00CA0EC4"/>
    <w:rsid w:val="00CA139A"/>
    <w:rsid w:val="00CA2899"/>
    <w:rsid w:val="00CA394E"/>
    <w:rsid w:val="00CA6E8D"/>
    <w:rsid w:val="00CA6F36"/>
    <w:rsid w:val="00CA7569"/>
    <w:rsid w:val="00CA77FB"/>
    <w:rsid w:val="00CB11D3"/>
    <w:rsid w:val="00CB219C"/>
    <w:rsid w:val="00CB24F6"/>
    <w:rsid w:val="00CB2618"/>
    <w:rsid w:val="00CB357B"/>
    <w:rsid w:val="00CB379B"/>
    <w:rsid w:val="00CB5DD0"/>
    <w:rsid w:val="00CB60A9"/>
    <w:rsid w:val="00CB6723"/>
    <w:rsid w:val="00CB6779"/>
    <w:rsid w:val="00CC10E0"/>
    <w:rsid w:val="00CC2E37"/>
    <w:rsid w:val="00CC3678"/>
    <w:rsid w:val="00CC51D4"/>
    <w:rsid w:val="00CC65DA"/>
    <w:rsid w:val="00CC71B9"/>
    <w:rsid w:val="00CD189B"/>
    <w:rsid w:val="00CD312B"/>
    <w:rsid w:val="00CD7F20"/>
    <w:rsid w:val="00CE0BBD"/>
    <w:rsid w:val="00CE1A0B"/>
    <w:rsid w:val="00CE307B"/>
    <w:rsid w:val="00CE3C73"/>
    <w:rsid w:val="00CE4D9C"/>
    <w:rsid w:val="00CE5D11"/>
    <w:rsid w:val="00CE6E60"/>
    <w:rsid w:val="00CE7727"/>
    <w:rsid w:val="00CE78DB"/>
    <w:rsid w:val="00CF126A"/>
    <w:rsid w:val="00CF12E7"/>
    <w:rsid w:val="00CF21B9"/>
    <w:rsid w:val="00CF2F2C"/>
    <w:rsid w:val="00CF4F5D"/>
    <w:rsid w:val="00CF58AC"/>
    <w:rsid w:val="00CF6BF9"/>
    <w:rsid w:val="00D00283"/>
    <w:rsid w:val="00D0051D"/>
    <w:rsid w:val="00D00539"/>
    <w:rsid w:val="00D008A8"/>
    <w:rsid w:val="00D02EFE"/>
    <w:rsid w:val="00D030DE"/>
    <w:rsid w:val="00D03511"/>
    <w:rsid w:val="00D03800"/>
    <w:rsid w:val="00D03C5A"/>
    <w:rsid w:val="00D0462C"/>
    <w:rsid w:val="00D05519"/>
    <w:rsid w:val="00D065D3"/>
    <w:rsid w:val="00D06CE2"/>
    <w:rsid w:val="00D07C9E"/>
    <w:rsid w:val="00D10716"/>
    <w:rsid w:val="00D10732"/>
    <w:rsid w:val="00D14C94"/>
    <w:rsid w:val="00D226F9"/>
    <w:rsid w:val="00D231F9"/>
    <w:rsid w:val="00D254BE"/>
    <w:rsid w:val="00D2778B"/>
    <w:rsid w:val="00D3260F"/>
    <w:rsid w:val="00D342A6"/>
    <w:rsid w:val="00D34913"/>
    <w:rsid w:val="00D34E3A"/>
    <w:rsid w:val="00D365D0"/>
    <w:rsid w:val="00D400BC"/>
    <w:rsid w:val="00D4069E"/>
    <w:rsid w:val="00D4234C"/>
    <w:rsid w:val="00D4266E"/>
    <w:rsid w:val="00D433C9"/>
    <w:rsid w:val="00D434FB"/>
    <w:rsid w:val="00D43B93"/>
    <w:rsid w:val="00D442AB"/>
    <w:rsid w:val="00D45C95"/>
    <w:rsid w:val="00D464BF"/>
    <w:rsid w:val="00D471B4"/>
    <w:rsid w:val="00D47D72"/>
    <w:rsid w:val="00D5010A"/>
    <w:rsid w:val="00D5032E"/>
    <w:rsid w:val="00D503E2"/>
    <w:rsid w:val="00D50C5D"/>
    <w:rsid w:val="00D50D88"/>
    <w:rsid w:val="00D530D4"/>
    <w:rsid w:val="00D53E26"/>
    <w:rsid w:val="00D53F92"/>
    <w:rsid w:val="00D62375"/>
    <w:rsid w:val="00D62692"/>
    <w:rsid w:val="00D629B3"/>
    <w:rsid w:val="00D63423"/>
    <w:rsid w:val="00D64AFA"/>
    <w:rsid w:val="00D65761"/>
    <w:rsid w:val="00D74BD7"/>
    <w:rsid w:val="00D76D14"/>
    <w:rsid w:val="00D80023"/>
    <w:rsid w:val="00D81CA0"/>
    <w:rsid w:val="00D81CB9"/>
    <w:rsid w:val="00D82DA9"/>
    <w:rsid w:val="00D832D0"/>
    <w:rsid w:val="00D83EBD"/>
    <w:rsid w:val="00D84794"/>
    <w:rsid w:val="00D9086A"/>
    <w:rsid w:val="00D90F43"/>
    <w:rsid w:val="00D9102B"/>
    <w:rsid w:val="00D918EE"/>
    <w:rsid w:val="00D91AAF"/>
    <w:rsid w:val="00D92B07"/>
    <w:rsid w:val="00D93B81"/>
    <w:rsid w:val="00D953FB"/>
    <w:rsid w:val="00D96DCB"/>
    <w:rsid w:val="00DA07C4"/>
    <w:rsid w:val="00DA1FC0"/>
    <w:rsid w:val="00DA2339"/>
    <w:rsid w:val="00DA29A3"/>
    <w:rsid w:val="00DA2FDC"/>
    <w:rsid w:val="00DA320E"/>
    <w:rsid w:val="00DA3CC4"/>
    <w:rsid w:val="00DA50FB"/>
    <w:rsid w:val="00DA5C4B"/>
    <w:rsid w:val="00DA7D7B"/>
    <w:rsid w:val="00DB2378"/>
    <w:rsid w:val="00DB2447"/>
    <w:rsid w:val="00DB35CB"/>
    <w:rsid w:val="00DB3B84"/>
    <w:rsid w:val="00DC0919"/>
    <w:rsid w:val="00DC2127"/>
    <w:rsid w:val="00DC3E76"/>
    <w:rsid w:val="00DC43D0"/>
    <w:rsid w:val="00DC4B78"/>
    <w:rsid w:val="00DC663C"/>
    <w:rsid w:val="00DC7C91"/>
    <w:rsid w:val="00DD3BC2"/>
    <w:rsid w:val="00DD3EBD"/>
    <w:rsid w:val="00DD4F0E"/>
    <w:rsid w:val="00DD764F"/>
    <w:rsid w:val="00DE2BB2"/>
    <w:rsid w:val="00DE32AF"/>
    <w:rsid w:val="00DE450E"/>
    <w:rsid w:val="00DE7729"/>
    <w:rsid w:val="00DF0EA3"/>
    <w:rsid w:val="00DF20AA"/>
    <w:rsid w:val="00DF496D"/>
    <w:rsid w:val="00DF4B43"/>
    <w:rsid w:val="00DF544C"/>
    <w:rsid w:val="00DF6ADF"/>
    <w:rsid w:val="00DF78A1"/>
    <w:rsid w:val="00E0062B"/>
    <w:rsid w:val="00E01E14"/>
    <w:rsid w:val="00E04D73"/>
    <w:rsid w:val="00E04EB4"/>
    <w:rsid w:val="00E050B7"/>
    <w:rsid w:val="00E05E0A"/>
    <w:rsid w:val="00E069BC"/>
    <w:rsid w:val="00E12F45"/>
    <w:rsid w:val="00E13ADC"/>
    <w:rsid w:val="00E15545"/>
    <w:rsid w:val="00E16215"/>
    <w:rsid w:val="00E201AA"/>
    <w:rsid w:val="00E236F5"/>
    <w:rsid w:val="00E23924"/>
    <w:rsid w:val="00E23BAA"/>
    <w:rsid w:val="00E25A44"/>
    <w:rsid w:val="00E25AB3"/>
    <w:rsid w:val="00E25E37"/>
    <w:rsid w:val="00E2701A"/>
    <w:rsid w:val="00E3081A"/>
    <w:rsid w:val="00E3491E"/>
    <w:rsid w:val="00E35316"/>
    <w:rsid w:val="00E37240"/>
    <w:rsid w:val="00E401C0"/>
    <w:rsid w:val="00E42A71"/>
    <w:rsid w:val="00E4431D"/>
    <w:rsid w:val="00E449FB"/>
    <w:rsid w:val="00E450A9"/>
    <w:rsid w:val="00E458A9"/>
    <w:rsid w:val="00E479FA"/>
    <w:rsid w:val="00E47D5B"/>
    <w:rsid w:val="00E51C66"/>
    <w:rsid w:val="00E51E9D"/>
    <w:rsid w:val="00E52973"/>
    <w:rsid w:val="00E534CF"/>
    <w:rsid w:val="00E53594"/>
    <w:rsid w:val="00E53D9F"/>
    <w:rsid w:val="00E53F19"/>
    <w:rsid w:val="00E54CC1"/>
    <w:rsid w:val="00E60668"/>
    <w:rsid w:val="00E60684"/>
    <w:rsid w:val="00E642E2"/>
    <w:rsid w:val="00E64B8B"/>
    <w:rsid w:val="00E667EE"/>
    <w:rsid w:val="00E70B41"/>
    <w:rsid w:val="00E722DD"/>
    <w:rsid w:val="00E723A2"/>
    <w:rsid w:val="00E7392D"/>
    <w:rsid w:val="00E73A4B"/>
    <w:rsid w:val="00E740F2"/>
    <w:rsid w:val="00E7744C"/>
    <w:rsid w:val="00E77C7F"/>
    <w:rsid w:val="00E815DD"/>
    <w:rsid w:val="00E81CB4"/>
    <w:rsid w:val="00E8585B"/>
    <w:rsid w:val="00E85D52"/>
    <w:rsid w:val="00E85DA8"/>
    <w:rsid w:val="00E863D6"/>
    <w:rsid w:val="00E8714A"/>
    <w:rsid w:val="00E947BC"/>
    <w:rsid w:val="00EA09E7"/>
    <w:rsid w:val="00EA1D19"/>
    <w:rsid w:val="00EA1E1F"/>
    <w:rsid w:val="00EA3C32"/>
    <w:rsid w:val="00EA3F15"/>
    <w:rsid w:val="00EA6478"/>
    <w:rsid w:val="00EA7847"/>
    <w:rsid w:val="00EA797A"/>
    <w:rsid w:val="00EB17F3"/>
    <w:rsid w:val="00EB244A"/>
    <w:rsid w:val="00EB4198"/>
    <w:rsid w:val="00EB4707"/>
    <w:rsid w:val="00EB4E1F"/>
    <w:rsid w:val="00EC1707"/>
    <w:rsid w:val="00EC2A4A"/>
    <w:rsid w:val="00EC4B53"/>
    <w:rsid w:val="00EC53EC"/>
    <w:rsid w:val="00EC7FCB"/>
    <w:rsid w:val="00ED2F66"/>
    <w:rsid w:val="00ED3313"/>
    <w:rsid w:val="00ED4A9C"/>
    <w:rsid w:val="00ED6D8C"/>
    <w:rsid w:val="00ED73F9"/>
    <w:rsid w:val="00EE066E"/>
    <w:rsid w:val="00EE2E6E"/>
    <w:rsid w:val="00EE3C00"/>
    <w:rsid w:val="00EE4AD8"/>
    <w:rsid w:val="00EE5C41"/>
    <w:rsid w:val="00EF09EF"/>
    <w:rsid w:val="00EF0A8E"/>
    <w:rsid w:val="00EF0D5F"/>
    <w:rsid w:val="00EF14CA"/>
    <w:rsid w:val="00EF1719"/>
    <w:rsid w:val="00EF2CE6"/>
    <w:rsid w:val="00EF3A10"/>
    <w:rsid w:val="00EF5307"/>
    <w:rsid w:val="00F0428B"/>
    <w:rsid w:val="00F0759E"/>
    <w:rsid w:val="00F0775C"/>
    <w:rsid w:val="00F11977"/>
    <w:rsid w:val="00F122D2"/>
    <w:rsid w:val="00F139B8"/>
    <w:rsid w:val="00F156F7"/>
    <w:rsid w:val="00F15AA7"/>
    <w:rsid w:val="00F2202D"/>
    <w:rsid w:val="00F25839"/>
    <w:rsid w:val="00F25892"/>
    <w:rsid w:val="00F261FE"/>
    <w:rsid w:val="00F367E5"/>
    <w:rsid w:val="00F36D29"/>
    <w:rsid w:val="00F36E2D"/>
    <w:rsid w:val="00F37070"/>
    <w:rsid w:val="00F37454"/>
    <w:rsid w:val="00F44694"/>
    <w:rsid w:val="00F454FC"/>
    <w:rsid w:val="00F4610E"/>
    <w:rsid w:val="00F506A2"/>
    <w:rsid w:val="00F5228C"/>
    <w:rsid w:val="00F527CF"/>
    <w:rsid w:val="00F52839"/>
    <w:rsid w:val="00F538A3"/>
    <w:rsid w:val="00F555FF"/>
    <w:rsid w:val="00F55B78"/>
    <w:rsid w:val="00F70C1A"/>
    <w:rsid w:val="00F72CE0"/>
    <w:rsid w:val="00F7369B"/>
    <w:rsid w:val="00F7604C"/>
    <w:rsid w:val="00F77C64"/>
    <w:rsid w:val="00F77D4B"/>
    <w:rsid w:val="00F821A3"/>
    <w:rsid w:val="00F82760"/>
    <w:rsid w:val="00F841F5"/>
    <w:rsid w:val="00F845F2"/>
    <w:rsid w:val="00F87BF3"/>
    <w:rsid w:val="00F908FD"/>
    <w:rsid w:val="00F9166B"/>
    <w:rsid w:val="00F9314A"/>
    <w:rsid w:val="00F9389E"/>
    <w:rsid w:val="00F951EB"/>
    <w:rsid w:val="00FA234B"/>
    <w:rsid w:val="00FA2A5E"/>
    <w:rsid w:val="00FA30FF"/>
    <w:rsid w:val="00FA4898"/>
    <w:rsid w:val="00FA5303"/>
    <w:rsid w:val="00FA5BF9"/>
    <w:rsid w:val="00FB177E"/>
    <w:rsid w:val="00FB198C"/>
    <w:rsid w:val="00FB3201"/>
    <w:rsid w:val="00FB53D4"/>
    <w:rsid w:val="00FC03F5"/>
    <w:rsid w:val="00FC045B"/>
    <w:rsid w:val="00FC1748"/>
    <w:rsid w:val="00FC1BB4"/>
    <w:rsid w:val="00FC1F37"/>
    <w:rsid w:val="00FC25DC"/>
    <w:rsid w:val="00FC58EF"/>
    <w:rsid w:val="00FC5B5C"/>
    <w:rsid w:val="00FC78D7"/>
    <w:rsid w:val="00FD18B3"/>
    <w:rsid w:val="00FD33DF"/>
    <w:rsid w:val="00FD3AD2"/>
    <w:rsid w:val="00FD6ACD"/>
    <w:rsid w:val="00FD71B7"/>
    <w:rsid w:val="00FD7FF1"/>
    <w:rsid w:val="00FE10E4"/>
    <w:rsid w:val="00FE14F6"/>
    <w:rsid w:val="00FE18F4"/>
    <w:rsid w:val="00FE2824"/>
    <w:rsid w:val="00FE39D7"/>
    <w:rsid w:val="00FE5661"/>
    <w:rsid w:val="00FF060C"/>
    <w:rsid w:val="00FF121E"/>
    <w:rsid w:val="00FF2BBC"/>
    <w:rsid w:val="00FF67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5C"/>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semiHidden/>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5C"/>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semiHidden/>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68D6-CEC2-463A-A10E-21324559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0</TotalTime>
  <Pages>8</Pages>
  <Words>2215</Words>
  <Characters>12184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mpecheverri</dc:creator>
  <cp:lastModifiedBy>Luz Stella Rojas Macias</cp:lastModifiedBy>
  <cp:revision>2</cp:revision>
  <cp:lastPrinted>2012-05-07T19:41:00Z</cp:lastPrinted>
  <dcterms:created xsi:type="dcterms:W3CDTF">2012-05-10T20:02:00Z</dcterms:created>
  <dcterms:modified xsi:type="dcterms:W3CDTF">2012-05-10T20:02:00Z</dcterms:modified>
</cp:coreProperties>
</file>